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AF" w:rsidRPr="00CD6284" w:rsidRDefault="001912AF" w:rsidP="00CD6284">
      <w:pPr>
        <w:spacing w:after="0" w:line="240" w:lineRule="auto"/>
        <w:jc w:val="center"/>
        <w:rPr>
          <w:sz w:val="28"/>
        </w:rPr>
      </w:pPr>
      <w:r w:rsidRPr="00CD6284">
        <w:rPr>
          <w:b/>
          <w:sz w:val="28"/>
          <w:u w:val="single"/>
        </w:rPr>
        <w:t>Characterizing Regional Water Quality Conditions</w:t>
      </w:r>
    </w:p>
    <w:p w:rsidR="00CD6284" w:rsidRPr="001F697A" w:rsidRDefault="00CD6284" w:rsidP="00CD6284">
      <w:pPr>
        <w:spacing w:after="0" w:line="240" w:lineRule="auto"/>
        <w:rPr>
          <w:sz w:val="20"/>
          <w:szCs w:val="24"/>
        </w:rPr>
      </w:pPr>
    </w:p>
    <w:p w:rsidR="001912AF" w:rsidRPr="00CD6284" w:rsidRDefault="001912AF" w:rsidP="00CD6284">
      <w:p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>The WRTC met on July 12</w:t>
      </w:r>
      <w:r w:rsidRPr="00CD6284">
        <w:rPr>
          <w:sz w:val="24"/>
          <w:szCs w:val="24"/>
          <w:vertAlign w:val="superscript"/>
        </w:rPr>
        <w:t>th</w:t>
      </w:r>
      <w:r w:rsidR="001E2AC2" w:rsidRPr="00CD6284">
        <w:rPr>
          <w:sz w:val="24"/>
          <w:szCs w:val="24"/>
        </w:rPr>
        <w:t xml:space="preserve">.   In addition to very useful discussions about </w:t>
      </w:r>
      <w:r w:rsidR="00C26D76" w:rsidRPr="00CD6284">
        <w:rPr>
          <w:sz w:val="24"/>
          <w:szCs w:val="24"/>
        </w:rPr>
        <w:t xml:space="preserve">the impact of air pollutant emissions on </w:t>
      </w:r>
      <w:r w:rsidR="001E2AC2" w:rsidRPr="00CD6284">
        <w:rPr>
          <w:sz w:val="24"/>
          <w:szCs w:val="24"/>
        </w:rPr>
        <w:t>Bay water quality, the WRTC members also d</w:t>
      </w:r>
      <w:r w:rsidRPr="00CD6284">
        <w:rPr>
          <w:sz w:val="24"/>
          <w:szCs w:val="24"/>
        </w:rPr>
        <w:t>iscussed how various media portray local water quality, in partic</w:t>
      </w:r>
      <w:r w:rsidR="001E2AC2" w:rsidRPr="00CD6284">
        <w:rPr>
          <w:sz w:val="24"/>
          <w:szCs w:val="24"/>
        </w:rPr>
        <w:t>ular recent articles and</w:t>
      </w:r>
      <w:r w:rsidR="00CD6284" w:rsidRPr="00CD6284">
        <w:rPr>
          <w:sz w:val="24"/>
          <w:szCs w:val="24"/>
        </w:rPr>
        <w:t xml:space="preserve"> report about the Potomac River (see attached slide).</w:t>
      </w:r>
    </w:p>
    <w:p w:rsidR="001912AF" w:rsidRPr="00CD6284" w:rsidRDefault="001E2AC2" w:rsidP="00CD6284">
      <w:p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 xml:space="preserve">The WRTC members made various observations and </w:t>
      </w:r>
      <w:r w:rsidR="001912AF" w:rsidRPr="00CD6284">
        <w:rPr>
          <w:sz w:val="24"/>
          <w:szCs w:val="24"/>
        </w:rPr>
        <w:t xml:space="preserve">provided COG staff with </w:t>
      </w:r>
      <w:r w:rsidRPr="00CD6284">
        <w:rPr>
          <w:sz w:val="24"/>
          <w:szCs w:val="24"/>
        </w:rPr>
        <w:t xml:space="preserve">recommendations on how these issues should be addressed in the water quality factsheet that COG staff is preparing.  The key points </w:t>
      </w:r>
      <w:r w:rsidR="00092252" w:rsidRPr="00CD6284">
        <w:rPr>
          <w:sz w:val="24"/>
          <w:szCs w:val="24"/>
        </w:rPr>
        <w:t>that came out of that discussion include</w:t>
      </w:r>
      <w:r w:rsidRPr="00CD6284">
        <w:rPr>
          <w:sz w:val="24"/>
          <w:szCs w:val="24"/>
        </w:rPr>
        <w:t>:</w:t>
      </w:r>
    </w:p>
    <w:p w:rsidR="001E2AC2" w:rsidRPr="00CD6284" w:rsidRDefault="00990CA7" w:rsidP="00CD628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b/>
          <w:sz w:val="24"/>
          <w:szCs w:val="24"/>
        </w:rPr>
        <w:t xml:space="preserve">Be </w:t>
      </w:r>
      <w:r w:rsidR="001E2AC2" w:rsidRPr="00CD6284">
        <w:rPr>
          <w:b/>
          <w:sz w:val="24"/>
          <w:szCs w:val="24"/>
        </w:rPr>
        <w:t>proactive</w:t>
      </w:r>
      <w:r w:rsidR="001E2AC2" w:rsidRPr="00CD6284">
        <w:rPr>
          <w:sz w:val="24"/>
          <w:szCs w:val="24"/>
        </w:rPr>
        <w:t xml:space="preserve"> </w:t>
      </w:r>
      <w:r w:rsidR="00CD6284">
        <w:rPr>
          <w:sz w:val="24"/>
          <w:szCs w:val="24"/>
        </w:rPr>
        <w:t>r</w:t>
      </w:r>
      <w:r w:rsidR="00C26D76" w:rsidRPr="00CD6284">
        <w:rPr>
          <w:sz w:val="24"/>
          <w:szCs w:val="24"/>
        </w:rPr>
        <w:t xml:space="preserve">ather than </w:t>
      </w:r>
      <w:r w:rsidR="001E2AC2" w:rsidRPr="00CD6284">
        <w:rPr>
          <w:sz w:val="24"/>
          <w:szCs w:val="24"/>
        </w:rPr>
        <w:t xml:space="preserve">reacting to </w:t>
      </w:r>
      <w:r w:rsidR="004933FE" w:rsidRPr="00CD6284">
        <w:rPr>
          <w:sz w:val="24"/>
          <w:szCs w:val="24"/>
        </w:rPr>
        <w:t>each article/report that is issued</w:t>
      </w:r>
      <w:r w:rsidR="00092252" w:rsidRPr="00CD6284">
        <w:rPr>
          <w:sz w:val="24"/>
          <w:szCs w:val="24"/>
        </w:rPr>
        <w:t xml:space="preserve"> (i.e., don’t chase reports)</w:t>
      </w:r>
    </w:p>
    <w:p w:rsidR="00092252" w:rsidRPr="00CD6284" w:rsidRDefault="004933FE" w:rsidP="00CD6284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6284">
        <w:rPr>
          <w:b/>
          <w:sz w:val="24"/>
          <w:szCs w:val="24"/>
        </w:rPr>
        <w:t>Recognize that ‘good news’ is not always as compelling as ‘bad news’</w:t>
      </w:r>
    </w:p>
    <w:p w:rsidR="004933FE" w:rsidRPr="00CD6284" w:rsidRDefault="00092252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>T</w:t>
      </w:r>
      <w:r w:rsidR="004933FE" w:rsidRPr="00CD6284">
        <w:rPr>
          <w:sz w:val="24"/>
          <w:szCs w:val="24"/>
        </w:rPr>
        <w:t xml:space="preserve">here is a real need to </w:t>
      </w:r>
      <w:r w:rsidR="00990CA7" w:rsidRPr="00CD6284">
        <w:rPr>
          <w:sz w:val="24"/>
          <w:szCs w:val="24"/>
        </w:rPr>
        <w:t>publicize</w:t>
      </w:r>
      <w:r w:rsidR="00C26D76" w:rsidRPr="00CD6284">
        <w:rPr>
          <w:sz w:val="24"/>
          <w:szCs w:val="24"/>
        </w:rPr>
        <w:t xml:space="preserve"> </w:t>
      </w:r>
      <w:r w:rsidR="004933FE" w:rsidRPr="00CD6284">
        <w:rPr>
          <w:sz w:val="24"/>
          <w:szCs w:val="24"/>
        </w:rPr>
        <w:t>our go</w:t>
      </w:r>
      <w:r w:rsidR="00C26D76" w:rsidRPr="00CD6284">
        <w:rPr>
          <w:sz w:val="24"/>
          <w:szCs w:val="24"/>
        </w:rPr>
        <w:t xml:space="preserve">od news repeatedly and in sound </w:t>
      </w:r>
      <w:r w:rsidR="004933FE" w:rsidRPr="00CD6284">
        <w:rPr>
          <w:sz w:val="24"/>
          <w:szCs w:val="24"/>
        </w:rPr>
        <w:t>bites that are defensible</w:t>
      </w:r>
      <w:r w:rsidRPr="00CD6284">
        <w:rPr>
          <w:sz w:val="24"/>
          <w:szCs w:val="24"/>
        </w:rPr>
        <w:t xml:space="preserve"> yet easy for elected officials and the general public</w:t>
      </w:r>
      <w:r w:rsidR="00176290" w:rsidRPr="00CD6284">
        <w:rPr>
          <w:sz w:val="24"/>
          <w:szCs w:val="24"/>
        </w:rPr>
        <w:t xml:space="preserve"> to understand</w:t>
      </w:r>
      <w:r w:rsidR="00C26D76" w:rsidRPr="00CD6284">
        <w:rPr>
          <w:sz w:val="24"/>
          <w:szCs w:val="24"/>
        </w:rPr>
        <w:t>.</w:t>
      </w:r>
    </w:p>
    <w:p w:rsidR="00092252" w:rsidRPr="00CD6284" w:rsidRDefault="00990CA7" w:rsidP="00CD6284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6284">
        <w:rPr>
          <w:b/>
          <w:sz w:val="24"/>
          <w:szCs w:val="24"/>
        </w:rPr>
        <w:t>Di</w:t>
      </w:r>
      <w:r w:rsidR="004933FE" w:rsidRPr="00CD6284">
        <w:rPr>
          <w:b/>
          <w:sz w:val="24"/>
          <w:szCs w:val="24"/>
        </w:rPr>
        <w:t>fferentiate between local water quality,</w:t>
      </w:r>
      <w:r w:rsidR="00092252" w:rsidRPr="00CD6284">
        <w:rPr>
          <w:b/>
          <w:sz w:val="24"/>
          <w:szCs w:val="24"/>
        </w:rPr>
        <w:t xml:space="preserve"> the Potomac River, and the Bay</w:t>
      </w:r>
    </w:p>
    <w:p w:rsidR="004933FE" w:rsidRPr="00CD6284" w:rsidRDefault="00176290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>For example</w:t>
      </w:r>
      <w:r w:rsidR="00390E58" w:rsidRPr="00CD6284">
        <w:rPr>
          <w:sz w:val="24"/>
          <w:szCs w:val="24"/>
        </w:rPr>
        <w:t xml:space="preserve">, </w:t>
      </w:r>
      <w:r w:rsidR="004933FE" w:rsidRPr="00CD6284">
        <w:rPr>
          <w:sz w:val="24"/>
          <w:szCs w:val="24"/>
        </w:rPr>
        <w:t>COG’s members can only directly address implementation at a local</w:t>
      </w:r>
      <w:r w:rsidR="00092252" w:rsidRPr="00CD6284">
        <w:rPr>
          <w:sz w:val="24"/>
          <w:szCs w:val="24"/>
        </w:rPr>
        <w:t>/regional</w:t>
      </w:r>
      <w:r w:rsidR="004933FE" w:rsidRPr="00CD6284">
        <w:rPr>
          <w:sz w:val="24"/>
          <w:szCs w:val="24"/>
        </w:rPr>
        <w:t xml:space="preserve"> scale</w:t>
      </w:r>
    </w:p>
    <w:p w:rsidR="00092252" w:rsidRPr="00CD6284" w:rsidRDefault="00092252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 xml:space="preserve">Also, what may be valid concerns for the Potomac River as-a-whole may not </w:t>
      </w:r>
      <w:r w:rsidR="00176290" w:rsidRPr="00CD6284">
        <w:rPr>
          <w:sz w:val="24"/>
          <w:szCs w:val="24"/>
        </w:rPr>
        <w:t xml:space="preserve">be </w:t>
      </w:r>
      <w:r w:rsidRPr="00CD6284">
        <w:rPr>
          <w:sz w:val="24"/>
          <w:szCs w:val="24"/>
        </w:rPr>
        <w:t>valid for the Upper Potomac estuary in the COG region</w:t>
      </w:r>
    </w:p>
    <w:p w:rsidR="001E2AC2" w:rsidRPr="00CD6284" w:rsidRDefault="001E2AC2" w:rsidP="00CD6284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6284">
        <w:rPr>
          <w:b/>
          <w:sz w:val="24"/>
          <w:szCs w:val="24"/>
        </w:rPr>
        <w:t xml:space="preserve">Recognize the challenge </w:t>
      </w:r>
      <w:r w:rsidR="004933FE" w:rsidRPr="00CD6284">
        <w:rPr>
          <w:b/>
          <w:sz w:val="24"/>
          <w:szCs w:val="24"/>
        </w:rPr>
        <w:t xml:space="preserve">that while water quality improvements </w:t>
      </w:r>
      <w:r w:rsidR="00092252" w:rsidRPr="00CD6284">
        <w:rPr>
          <w:b/>
          <w:sz w:val="24"/>
          <w:szCs w:val="24"/>
        </w:rPr>
        <w:t xml:space="preserve">have </w:t>
      </w:r>
      <w:r w:rsidR="00176290" w:rsidRPr="00CD6284">
        <w:rPr>
          <w:b/>
          <w:sz w:val="24"/>
          <w:szCs w:val="24"/>
        </w:rPr>
        <w:t xml:space="preserve">been </w:t>
      </w:r>
      <w:r w:rsidR="00092252" w:rsidRPr="00CD6284">
        <w:rPr>
          <w:b/>
          <w:sz w:val="24"/>
          <w:szCs w:val="24"/>
        </w:rPr>
        <w:t>and continue to be made</w:t>
      </w:r>
      <w:r w:rsidR="00176290" w:rsidRPr="00CD6284">
        <w:rPr>
          <w:b/>
          <w:sz w:val="24"/>
          <w:szCs w:val="24"/>
        </w:rPr>
        <w:t>,</w:t>
      </w:r>
      <w:r w:rsidR="00990CA7" w:rsidRPr="00CD6284">
        <w:rPr>
          <w:b/>
          <w:sz w:val="24"/>
          <w:szCs w:val="24"/>
        </w:rPr>
        <w:t xml:space="preserve"> </w:t>
      </w:r>
      <w:r w:rsidR="004933FE" w:rsidRPr="00CD6284">
        <w:rPr>
          <w:b/>
          <w:sz w:val="24"/>
          <w:szCs w:val="24"/>
        </w:rPr>
        <w:t>there are many new water quality challenges that the region and COG’s members are facing</w:t>
      </w:r>
    </w:p>
    <w:p w:rsidR="00092252" w:rsidRPr="00CD6284" w:rsidRDefault="00092252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 xml:space="preserve">For example, </w:t>
      </w:r>
      <w:r w:rsidR="00CD6284">
        <w:rPr>
          <w:sz w:val="24"/>
          <w:szCs w:val="24"/>
        </w:rPr>
        <w:t xml:space="preserve">document how </w:t>
      </w:r>
      <w:r w:rsidR="00466105" w:rsidRPr="00CD6284">
        <w:rPr>
          <w:sz w:val="24"/>
          <w:szCs w:val="24"/>
        </w:rPr>
        <w:t>COG’s members</w:t>
      </w:r>
      <w:r w:rsidR="00990CA7" w:rsidRPr="00CD6284">
        <w:rPr>
          <w:sz w:val="24"/>
          <w:szCs w:val="24"/>
        </w:rPr>
        <w:t xml:space="preserve"> </w:t>
      </w:r>
      <w:r w:rsidRPr="00CD6284">
        <w:rPr>
          <w:sz w:val="24"/>
          <w:szCs w:val="24"/>
        </w:rPr>
        <w:t>continue to spend a lot of money on wastewater treatment upgrades that continue to make clear improvements in local water quality</w:t>
      </w:r>
      <w:r w:rsidR="00CD6284">
        <w:rPr>
          <w:sz w:val="24"/>
          <w:szCs w:val="24"/>
        </w:rPr>
        <w:t xml:space="preserve"> – and the investments being made in stormwater management and improvements in local waters</w:t>
      </w:r>
    </w:p>
    <w:p w:rsidR="00CD6284" w:rsidRPr="00CD6284" w:rsidRDefault="004933FE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 xml:space="preserve">Suggest characterizing issues as </w:t>
      </w:r>
      <w:r w:rsidRPr="00CD6284">
        <w:rPr>
          <w:b/>
          <w:sz w:val="24"/>
          <w:szCs w:val="24"/>
        </w:rPr>
        <w:t>‘20</w:t>
      </w:r>
      <w:r w:rsidRPr="00CD6284">
        <w:rPr>
          <w:b/>
          <w:sz w:val="24"/>
          <w:szCs w:val="24"/>
          <w:vertAlign w:val="superscript"/>
        </w:rPr>
        <w:t>th</w:t>
      </w:r>
      <w:r w:rsidRPr="00CD6284">
        <w:rPr>
          <w:b/>
          <w:sz w:val="24"/>
          <w:szCs w:val="24"/>
        </w:rPr>
        <w:t xml:space="preserve"> Century issues that have been successfully addressed’ </w:t>
      </w:r>
      <w:r w:rsidR="00CD6284" w:rsidRPr="00CD6284">
        <w:rPr>
          <w:sz w:val="24"/>
          <w:szCs w:val="24"/>
        </w:rPr>
        <w:t xml:space="preserve">(e.g., traditional point sources like wastewater and industry) </w:t>
      </w:r>
      <w:r w:rsidRPr="00CD6284">
        <w:rPr>
          <w:sz w:val="24"/>
          <w:szCs w:val="24"/>
        </w:rPr>
        <w:t xml:space="preserve">versus </w:t>
      </w:r>
      <w:r w:rsidR="00AD3DDB" w:rsidRPr="00CD6284">
        <w:rPr>
          <w:b/>
          <w:sz w:val="24"/>
          <w:szCs w:val="24"/>
        </w:rPr>
        <w:t xml:space="preserve">‘new </w:t>
      </w:r>
      <w:r w:rsidRPr="00CD6284">
        <w:rPr>
          <w:b/>
          <w:sz w:val="24"/>
          <w:szCs w:val="24"/>
        </w:rPr>
        <w:t>21</w:t>
      </w:r>
      <w:r w:rsidRPr="00CD6284">
        <w:rPr>
          <w:b/>
          <w:sz w:val="24"/>
          <w:szCs w:val="24"/>
          <w:vertAlign w:val="superscript"/>
        </w:rPr>
        <w:t>st</w:t>
      </w:r>
      <w:r w:rsidRPr="00CD6284">
        <w:rPr>
          <w:b/>
          <w:sz w:val="24"/>
          <w:szCs w:val="24"/>
        </w:rPr>
        <w:t xml:space="preserve"> Century challenges’</w:t>
      </w:r>
      <w:r w:rsidR="00CD6284" w:rsidRPr="00CD6284">
        <w:rPr>
          <w:sz w:val="24"/>
          <w:szCs w:val="24"/>
        </w:rPr>
        <w:t xml:space="preserve"> (e.g., ecological degradation in local and regional water bodies; endocrine disrupters, etc.)</w:t>
      </w:r>
    </w:p>
    <w:p w:rsidR="004933FE" w:rsidRPr="00CD6284" w:rsidRDefault="00990CA7" w:rsidP="00CD628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b/>
          <w:sz w:val="24"/>
          <w:szCs w:val="24"/>
        </w:rPr>
        <w:t>A</w:t>
      </w:r>
      <w:r w:rsidR="004933FE" w:rsidRPr="00CD6284">
        <w:rPr>
          <w:b/>
          <w:sz w:val="24"/>
          <w:szCs w:val="24"/>
        </w:rPr>
        <w:t xml:space="preserve">cknowledge the multiple benefits of the </w:t>
      </w:r>
      <w:r w:rsidR="00466105" w:rsidRPr="00CD6284">
        <w:rPr>
          <w:b/>
          <w:sz w:val="24"/>
          <w:szCs w:val="24"/>
        </w:rPr>
        <w:t xml:space="preserve">water quality </w:t>
      </w:r>
      <w:r w:rsidR="004933FE" w:rsidRPr="00CD6284">
        <w:rPr>
          <w:b/>
          <w:sz w:val="24"/>
          <w:szCs w:val="24"/>
        </w:rPr>
        <w:t>impro</w:t>
      </w:r>
      <w:r w:rsidRPr="00CD6284">
        <w:rPr>
          <w:b/>
          <w:sz w:val="24"/>
          <w:szCs w:val="24"/>
        </w:rPr>
        <w:t>vements</w:t>
      </w:r>
      <w:r w:rsidRPr="00CD6284">
        <w:rPr>
          <w:sz w:val="24"/>
          <w:szCs w:val="24"/>
        </w:rPr>
        <w:t xml:space="preserve"> COG’s members have made; </w:t>
      </w:r>
      <w:r w:rsidR="00466105" w:rsidRPr="00CD6284">
        <w:rPr>
          <w:sz w:val="24"/>
          <w:szCs w:val="24"/>
        </w:rPr>
        <w:t>for example, stream restoration projects</w:t>
      </w:r>
      <w:r w:rsidR="00182423" w:rsidRPr="00CD6284">
        <w:rPr>
          <w:sz w:val="24"/>
          <w:szCs w:val="24"/>
        </w:rPr>
        <w:t>,</w:t>
      </w:r>
      <w:r w:rsidRPr="00CD6284">
        <w:rPr>
          <w:sz w:val="24"/>
          <w:szCs w:val="24"/>
        </w:rPr>
        <w:t xml:space="preserve"> al</w:t>
      </w:r>
      <w:r w:rsidR="00182423" w:rsidRPr="00CD6284">
        <w:rPr>
          <w:sz w:val="24"/>
          <w:szCs w:val="24"/>
        </w:rPr>
        <w:t>ong with improving</w:t>
      </w:r>
      <w:r w:rsidR="00182423" w:rsidRPr="00CD6284">
        <w:rPr>
          <w:strike/>
          <w:sz w:val="24"/>
          <w:szCs w:val="24"/>
        </w:rPr>
        <w:t xml:space="preserve"> </w:t>
      </w:r>
      <w:r w:rsidR="004933FE" w:rsidRPr="00CD6284">
        <w:rPr>
          <w:sz w:val="24"/>
          <w:szCs w:val="24"/>
        </w:rPr>
        <w:t>water quality</w:t>
      </w:r>
      <w:r w:rsidR="00182423" w:rsidRPr="00CD6284">
        <w:rPr>
          <w:sz w:val="24"/>
          <w:szCs w:val="24"/>
        </w:rPr>
        <w:t>,</w:t>
      </w:r>
      <w:r w:rsidR="004933FE" w:rsidRPr="00CD6284">
        <w:rPr>
          <w:sz w:val="24"/>
          <w:szCs w:val="24"/>
        </w:rPr>
        <w:t xml:space="preserve"> </w:t>
      </w:r>
      <w:r w:rsidR="00182423" w:rsidRPr="00CD6284">
        <w:rPr>
          <w:sz w:val="24"/>
          <w:szCs w:val="24"/>
        </w:rPr>
        <w:t>also have  boosted wildlife habitat and  tree cover and provided aesthetic benefits</w:t>
      </w:r>
      <w:r w:rsidRPr="00CD6284">
        <w:rPr>
          <w:sz w:val="24"/>
          <w:szCs w:val="24"/>
        </w:rPr>
        <w:t>)</w:t>
      </w:r>
    </w:p>
    <w:p w:rsidR="00092252" w:rsidRPr="00CD6284" w:rsidRDefault="00990CA7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>For example, t</w:t>
      </w:r>
      <w:r w:rsidR="00182423" w:rsidRPr="00CD6284">
        <w:rPr>
          <w:sz w:val="24"/>
          <w:szCs w:val="24"/>
        </w:rPr>
        <w:t xml:space="preserve">he fact that land </w:t>
      </w:r>
      <w:r w:rsidR="00092252" w:rsidRPr="00CD6284">
        <w:rPr>
          <w:sz w:val="24"/>
          <w:szCs w:val="24"/>
        </w:rPr>
        <w:t xml:space="preserve">along waterways </w:t>
      </w:r>
      <w:r w:rsidR="00182423" w:rsidRPr="00CD6284">
        <w:rPr>
          <w:sz w:val="24"/>
          <w:szCs w:val="24"/>
        </w:rPr>
        <w:t xml:space="preserve">is </w:t>
      </w:r>
      <w:r w:rsidR="00092252" w:rsidRPr="00CD6284">
        <w:rPr>
          <w:sz w:val="24"/>
          <w:szCs w:val="24"/>
        </w:rPr>
        <w:t xml:space="preserve">now deemed desirable </w:t>
      </w:r>
      <w:r w:rsidR="00182423" w:rsidRPr="00CD6284">
        <w:rPr>
          <w:sz w:val="24"/>
          <w:szCs w:val="24"/>
        </w:rPr>
        <w:t xml:space="preserve">as either open space or buildable sites is an indication </w:t>
      </w:r>
      <w:r w:rsidR="00092252" w:rsidRPr="00CD6284">
        <w:rPr>
          <w:sz w:val="24"/>
          <w:szCs w:val="24"/>
        </w:rPr>
        <w:t>that the public does care about water quality/quality of life/larger environmental issues</w:t>
      </w:r>
    </w:p>
    <w:p w:rsidR="00092252" w:rsidRPr="00CD6284" w:rsidRDefault="00990CA7" w:rsidP="00CD6284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sz w:val="24"/>
          <w:szCs w:val="24"/>
        </w:rPr>
        <w:t xml:space="preserve">Link </w:t>
      </w:r>
      <w:r w:rsidR="00092252" w:rsidRPr="00CD6284">
        <w:rPr>
          <w:sz w:val="24"/>
          <w:szCs w:val="24"/>
        </w:rPr>
        <w:t>regional messages with those of COG’s members</w:t>
      </w:r>
    </w:p>
    <w:p w:rsidR="004933FE" w:rsidRPr="00CD6284" w:rsidRDefault="00182423" w:rsidP="00CD628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D6284">
        <w:rPr>
          <w:b/>
          <w:sz w:val="24"/>
          <w:szCs w:val="24"/>
        </w:rPr>
        <w:t>A</w:t>
      </w:r>
      <w:r w:rsidR="004933FE" w:rsidRPr="00CD6284">
        <w:rPr>
          <w:b/>
          <w:sz w:val="24"/>
          <w:szCs w:val="24"/>
        </w:rPr>
        <w:t>cknowledge that there are many drivers for water quality</w:t>
      </w:r>
      <w:r w:rsidR="004933FE" w:rsidRPr="00CD6284">
        <w:rPr>
          <w:sz w:val="24"/>
          <w:szCs w:val="24"/>
        </w:rPr>
        <w:t>, not just the Bay TMDL</w:t>
      </w:r>
      <w:r w:rsidR="00CD6284">
        <w:rPr>
          <w:sz w:val="24"/>
          <w:szCs w:val="24"/>
        </w:rPr>
        <w:t xml:space="preserve">- </w:t>
      </w:r>
      <w:r w:rsidRPr="00CD6284">
        <w:rPr>
          <w:sz w:val="24"/>
          <w:szCs w:val="24"/>
        </w:rPr>
        <w:t>for example,</w:t>
      </w:r>
      <w:r w:rsidR="00990CA7" w:rsidRPr="00CD6284">
        <w:rPr>
          <w:sz w:val="24"/>
          <w:szCs w:val="24"/>
        </w:rPr>
        <w:t xml:space="preserve"> </w:t>
      </w:r>
      <w:r w:rsidR="004933FE" w:rsidRPr="00CD6284">
        <w:rPr>
          <w:sz w:val="24"/>
          <w:szCs w:val="24"/>
        </w:rPr>
        <w:t>stormwater permit requirements, addressing local water quality needs</w:t>
      </w:r>
      <w:r w:rsidR="00C26D76" w:rsidRPr="00CD6284">
        <w:rPr>
          <w:sz w:val="24"/>
          <w:szCs w:val="24"/>
        </w:rPr>
        <w:t xml:space="preserve"> and </w:t>
      </w:r>
      <w:r w:rsidR="00390E58" w:rsidRPr="00CD6284">
        <w:rPr>
          <w:sz w:val="24"/>
          <w:szCs w:val="24"/>
        </w:rPr>
        <w:t>local TMDLs, etc.</w:t>
      </w:r>
      <w:r w:rsidR="004933FE" w:rsidRPr="00CD6284">
        <w:rPr>
          <w:sz w:val="24"/>
          <w:szCs w:val="24"/>
        </w:rPr>
        <w:t>)</w:t>
      </w:r>
    </w:p>
    <w:p w:rsidR="00092252" w:rsidRPr="00CD6284" w:rsidRDefault="00092252" w:rsidP="00CD6284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6284">
        <w:rPr>
          <w:b/>
          <w:sz w:val="24"/>
          <w:szCs w:val="24"/>
        </w:rPr>
        <w:t>Be sure to work with ot</w:t>
      </w:r>
      <w:r w:rsidR="00990CA7" w:rsidRPr="00CD6284">
        <w:rPr>
          <w:b/>
          <w:sz w:val="24"/>
          <w:szCs w:val="24"/>
        </w:rPr>
        <w:t xml:space="preserve">her organizations in the region, </w:t>
      </w:r>
      <w:r w:rsidR="0085176E" w:rsidRPr="00CD6284">
        <w:rPr>
          <w:b/>
          <w:sz w:val="24"/>
          <w:szCs w:val="24"/>
        </w:rPr>
        <w:t xml:space="preserve">ICPRB </w:t>
      </w:r>
      <w:r w:rsidR="00C26D76" w:rsidRPr="00CD6284">
        <w:rPr>
          <w:b/>
          <w:sz w:val="24"/>
          <w:szCs w:val="24"/>
        </w:rPr>
        <w:t xml:space="preserve">for example </w:t>
      </w:r>
      <w:r w:rsidRPr="00CD6284">
        <w:rPr>
          <w:b/>
          <w:sz w:val="24"/>
          <w:szCs w:val="24"/>
        </w:rPr>
        <w:t>, to leverage common messages</w:t>
      </w:r>
    </w:p>
    <w:p w:rsidR="001C1526" w:rsidRPr="001F697A" w:rsidRDefault="001C1526" w:rsidP="001C1526">
      <w:pPr>
        <w:pStyle w:val="ListParagraph"/>
        <w:spacing w:after="0" w:line="240" w:lineRule="auto"/>
        <w:rPr>
          <w:sz w:val="28"/>
          <w:szCs w:val="24"/>
        </w:rPr>
      </w:pPr>
    </w:p>
    <w:p w:rsidR="00390E58" w:rsidRPr="001F697A" w:rsidRDefault="001C1526" w:rsidP="00CD6284">
      <w:pPr>
        <w:spacing w:after="0" w:line="240" w:lineRule="auto"/>
        <w:rPr>
          <w:sz w:val="24"/>
          <w:szCs w:val="24"/>
        </w:rPr>
      </w:pPr>
      <w:r w:rsidRPr="001F697A">
        <w:rPr>
          <w:b/>
          <w:sz w:val="24"/>
          <w:szCs w:val="24"/>
        </w:rPr>
        <w:t>Ne</w:t>
      </w:r>
      <w:r w:rsidR="00C26D76" w:rsidRPr="001F697A">
        <w:rPr>
          <w:b/>
          <w:sz w:val="24"/>
          <w:szCs w:val="24"/>
        </w:rPr>
        <w:t>x</w:t>
      </w:r>
      <w:r w:rsidRPr="001F697A">
        <w:rPr>
          <w:b/>
          <w:sz w:val="24"/>
          <w:szCs w:val="24"/>
        </w:rPr>
        <w:t xml:space="preserve">t Steps </w:t>
      </w:r>
      <w:r w:rsidRPr="001F697A">
        <w:rPr>
          <w:sz w:val="24"/>
          <w:szCs w:val="24"/>
        </w:rPr>
        <w:t xml:space="preserve">- </w:t>
      </w:r>
      <w:r w:rsidR="00390E58" w:rsidRPr="001F697A">
        <w:rPr>
          <w:sz w:val="24"/>
          <w:szCs w:val="24"/>
        </w:rPr>
        <w:t>COG staff wi</w:t>
      </w:r>
      <w:r w:rsidR="00CD6284" w:rsidRPr="001F697A">
        <w:rPr>
          <w:sz w:val="24"/>
          <w:szCs w:val="24"/>
        </w:rPr>
        <w:t xml:space="preserve">ll be working with the RWQM </w:t>
      </w:r>
      <w:r w:rsidRPr="001F697A">
        <w:rPr>
          <w:sz w:val="24"/>
          <w:szCs w:val="24"/>
        </w:rPr>
        <w:t xml:space="preserve">Subcommittee and </w:t>
      </w:r>
      <w:r w:rsidR="00390E58" w:rsidRPr="001F697A">
        <w:rPr>
          <w:sz w:val="24"/>
          <w:szCs w:val="24"/>
        </w:rPr>
        <w:t xml:space="preserve">the WRTC members to prepare the </w:t>
      </w:r>
      <w:r w:rsidRPr="001F697A">
        <w:rPr>
          <w:sz w:val="24"/>
          <w:szCs w:val="24"/>
        </w:rPr>
        <w:t xml:space="preserve">regional </w:t>
      </w:r>
      <w:r w:rsidR="00390E58" w:rsidRPr="001F697A">
        <w:rPr>
          <w:sz w:val="24"/>
          <w:szCs w:val="24"/>
        </w:rPr>
        <w:t>water quality factsheet</w:t>
      </w:r>
      <w:r w:rsidR="00990CA7" w:rsidRPr="001F697A">
        <w:rPr>
          <w:sz w:val="24"/>
          <w:szCs w:val="24"/>
        </w:rPr>
        <w:t xml:space="preserve">.  </w:t>
      </w:r>
      <w:r w:rsidR="00C26D76" w:rsidRPr="001F697A">
        <w:rPr>
          <w:sz w:val="24"/>
          <w:szCs w:val="24"/>
        </w:rPr>
        <w:t xml:space="preserve">Staff </w:t>
      </w:r>
      <w:r w:rsidR="00390E58" w:rsidRPr="001F697A">
        <w:rPr>
          <w:sz w:val="24"/>
          <w:szCs w:val="24"/>
        </w:rPr>
        <w:t xml:space="preserve">will provide an update at the </w:t>
      </w:r>
      <w:r w:rsidR="00CD6284" w:rsidRPr="001F697A">
        <w:rPr>
          <w:sz w:val="24"/>
          <w:szCs w:val="24"/>
        </w:rPr>
        <w:t xml:space="preserve">next CBPC’s </w:t>
      </w:r>
      <w:r w:rsidR="00390E58" w:rsidRPr="001F697A">
        <w:rPr>
          <w:sz w:val="24"/>
          <w:szCs w:val="24"/>
        </w:rPr>
        <w:t>meeting.</w:t>
      </w:r>
    </w:p>
    <w:p w:rsidR="00CD6284" w:rsidRPr="001F697A" w:rsidRDefault="00CD6284" w:rsidP="00CD6284">
      <w:pPr>
        <w:spacing w:after="0" w:line="240" w:lineRule="auto"/>
        <w:rPr>
          <w:sz w:val="24"/>
          <w:szCs w:val="24"/>
        </w:rPr>
      </w:pPr>
    </w:p>
    <w:p w:rsidR="00390E58" w:rsidRPr="001F697A" w:rsidRDefault="00390E58" w:rsidP="00CD6284">
      <w:pPr>
        <w:spacing w:after="0" w:line="240" w:lineRule="auto"/>
        <w:rPr>
          <w:sz w:val="24"/>
          <w:szCs w:val="24"/>
        </w:rPr>
      </w:pPr>
      <w:r w:rsidRPr="001F697A">
        <w:rPr>
          <w:b/>
          <w:sz w:val="24"/>
          <w:szCs w:val="24"/>
        </w:rPr>
        <w:t xml:space="preserve">COG staff contact: </w:t>
      </w:r>
      <w:r w:rsidRPr="001F697A">
        <w:rPr>
          <w:sz w:val="24"/>
          <w:szCs w:val="24"/>
        </w:rPr>
        <w:t xml:space="preserve"> Tanya Spano  </w:t>
      </w:r>
      <w:hyperlink r:id="rId8" w:history="1">
        <w:r w:rsidRPr="001F697A">
          <w:rPr>
            <w:rStyle w:val="Hyperlink"/>
            <w:rFonts w:cstheme="minorBidi"/>
            <w:sz w:val="24"/>
            <w:szCs w:val="24"/>
          </w:rPr>
          <w:t>tspano@mwcog.org</w:t>
        </w:r>
      </w:hyperlink>
      <w:r w:rsidRPr="001F697A">
        <w:rPr>
          <w:sz w:val="24"/>
          <w:szCs w:val="24"/>
        </w:rPr>
        <w:t xml:space="preserve"> / 202-962-3776</w:t>
      </w:r>
    </w:p>
    <w:sectPr w:rsidR="00390E58" w:rsidRPr="001F697A" w:rsidSect="00CD6284">
      <w:headerReference w:type="default" r:id="rId9"/>
      <w:headerReference w:type="first" r:id="rId10"/>
      <w:footerReference w:type="first" r:id="rId11"/>
      <w:type w:val="continuous"/>
      <w:pgSz w:w="12240" w:h="15840" w:code="1"/>
      <w:pgMar w:top="1008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84" w:rsidRDefault="00CD6284" w:rsidP="00343872">
      <w:pPr>
        <w:spacing w:after="0" w:line="240" w:lineRule="auto"/>
      </w:pPr>
      <w:r>
        <w:separator/>
      </w:r>
    </w:p>
  </w:endnote>
  <w:endnote w:type="continuationSeparator" w:id="0">
    <w:p w:rsidR="00CD6284" w:rsidRDefault="00CD6284" w:rsidP="0034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84" w:rsidRPr="00CD6284" w:rsidRDefault="00CD6284" w:rsidP="00CD6284">
    <w:pPr>
      <w:pStyle w:val="Footer"/>
      <w:jc w:val="right"/>
      <w:rPr>
        <w:sz w:val="16"/>
      </w:rPr>
    </w:pPr>
    <w:fldSimple w:instr=" FILENAME  \p  \* MERGEFORMAT ">
      <w:r w:rsidRPr="00CD6284">
        <w:rPr>
          <w:noProof/>
          <w:sz w:val="16"/>
        </w:rPr>
        <w:t>I:\RMS\2012\WRTC Updates_071212_COG Staff Summary_updated.docx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84" w:rsidRDefault="00CD6284" w:rsidP="00343872">
      <w:pPr>
        <w:spacing w:after="0" w:line="240" w:lineRule="auto"/>
      </w:pPr>
      <w:r>
        <w:separator/>
      </w:r>
    </w:p>
  </w:footnote>
  <w:footnote w:type="continuationSeparator" w:id="0">
    <w:p w:rsidR="00CD6284" w:rsidRDefault="00CD6284" w:rsidP="0034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84" w:rsidRPr="004E15D6" w:rsidRDefault="00CD6284" w:rsidP="00F75516">
    <w:pPr>
      <w:spacing w:after="0" w:line="240" w:lineRule="auto"/>
      <w:rPr>
        <w:rFonts w:cstheme="minorHAnsi"/>
        <w:sz w:val="20"/>
        <w:szCs w:val="28"/>
      </w:rPr>
    </w:pPr>
    <w:r>
      <w:rPr>
        <w:rFonts w:cstheme="minorHAnsi"/>
        <w:sz w:val="20"/>
        <w:szCs w:val="28"/>
      </w:rPr>
      <w:t>WRTC Updates</w:t>
    </w:r>
  </w:p>
  <w:p w:rsidR="00CD6284" w:rsidRPr="004E15D6" w:rsidRDefault="00CD6284" w:rsidP="00F75516">
    <w:pPr>
      <w:spacing w:after="0" w:line="240" w:lineRule="auto"/>
      <w:rPr>
        <w:rFonts w:cstheme="minorHAnsi"/>
        <w:sz w:val="20"/>
        <w:szCs w:val="28"/>
      </w:rPr>
    </w:pPr>
    <w:r w:rsidRPr="004E15D6">
      <w:rPr>
        <w:rFonts w:cstheme="minorHAnsi"/>
        <w:sz w:val="20"/>
        <w:szCs w:val="28"/>
      </w:rPr>
      <w:t>Summary for CBPC (7/20/12)</w:t>
    </w:r>
  </w:p>
  <w:p w:rsidR="00CD6284" w:rsidRPr="004E15D6" w:rsidRDefault="00CD6284" w:rsidP="00F75516">
    <w:pPr>
      <w:pStyle w:val="Header"/>
      <w:rPr>
        <w:rFonts w:cstheme="minorHAnsi"/>
        <w:sz w:val="20"/>
        <w:szCs w:val="20"/>
      </w:rPr>
    </w:pPr>
    <w:r w:rsidRPr="004E15D6">
      <w:rPr>
        <w:rFonts w:cstheme="minorHAnsi"/>
        <w:sz w:val="20"/>
        <w:szCs w:val="20"/>
      </w:rPr>
      <w:t xml:space="preserve">Page </w:t>
    </w:r>
    <w:r w:rsidRPr="004E15D6">
      <w:rPr>
        <w:rFonts w:cstheme="minorHAnsi"/>
        <w:sz w:val="20"/>
        <w:szCs w:val="20"/>
      </w:rPr>
      <w:fldChar w:fldCharType="begin"/>
    </w:r>
    <w:r w:rsidRPr="004E15D6">
      <w:rPr>
        <w:rFonts w:cstheme="minorHAnsi"/>
        <w:sz w:val="20"/>
        <w:szCs w:val="20"/>
      </w:rPr>
      <w:instrText xml:space="preserve"> PAGE   \* MERGEFORMAT </w:instrText>
    </w:r>
    <w:r w:rsidRPr="004E15D6">
      <w:rPr>
        <w:rFonts w:cstheme="minorHAnsi"/>
        <w:sz w:val="20"/>
        <w:szCs w:val="20"/>
      </w:rPr>
      <w:fldChar w:fldCharType="separate"/>
    </w:r>
    <w:r>
      <w:rPr>
        <w:rFonts w:cstheme="minorHAnsi"/>
        <w:noProof/>
        <w:sz w:val="20"/>
        <w:szCs w:val="20"/>
      </w:rPr>
      <w:t>2</w:t>
    </w:r>
    <w:r w:rsidRPr="004E15D6">
      <w:rPr>
        <w:rFonts w:cstheme="minorHAnsi"/>
        <w:sz w:val="20"/>
        <w:szCs w:val="20"/>
      </w:rPr>
      <w:fldChar w:fldCharType="end"/>
    </w:r>
  </w:p>
  <w:p w:rsidR="00CD6284" w:rsidRDefault="00CD62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84" w:rsidRPr="000F5B4B" w:rsidRDefault="00CD6284" w:rsidP="00F75516">
    <w:pPr>
      <w:spacing w:after="0" w:line="240" w:lineRule="auto"/>
      <w:ind w:left="1620"/>
      <w:jc w:val="center"/>
      <w:rPr>
        <w:b/>
        <w:sz w:val="32"/>
        <w:szCs w:val="28"/>
      </w:rPr>
    </w:pPr>
    <w:r>
      <w:rPr>
        <w:b/>
        <w:sz w:val="32"/>
        <w:szCs w:val="28"/>
      </w:rPr>
      <w:t>Water Resources Technical Committee (WRTC) Updates</w:t>
    </w:r>
  </w:p>
  <w:p w:rsidR="00CD6284" w:rsidRDefault="00CD6284" w:rsidP="00F75516">
    <w:pPr>
      <w:spacing w:after="0" w:line="240" w:lineRule="auto"/>
      <w:jc w:val="center"/>
      <w:rPr>
        <w:i/>
        <w:sz w:val="24"/>
        <w:szCs w:val="28"/>
      </w:rPr>
    </w:pPr>
    <w:r>
      <w:rPr>
        <w:i/>
        <w:noProof/>
        <w:sz w:val="24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8.3pt;margin-top:-19.15pt;width:110.55pt;height:57pt;z-index:251660288;mso-height-percent:200;mso-height-percent:200;mso-width-relative:margin;mso-height-relative:margin" strokecolor="white [3212]" strokeweight="0">
          <v:textbox style="mso-next-textbox:#_x0000_s2051;mso-fit-shape-to-text:t">
            <w:txbxContent>
              <w:p w:rsidR="00CD6284" w:rsidRDefault="00CD6284" w:rsidP="00F75516">
                <w:r w:rsidRPr="00BE2339">
                  <w:rPr>
                    <w:noProof/>
                  </w:rPr>
                  <w:drawing>
                    <wp:inline distT="0" distB="0" distL="0" distR="0">
                      <wp:extent cx="1219200" cy="470535"/>
                      <wp:effectExtent l="19050" t="0" r="0" b="0"/>
                      <wp:docPr id="1" name="Picture 1" descr="Picture">
                        <a:hlinkClick xmlns:a="http://schemas.openxmlformats.org/drawingml/2006/main" r:id="rId1"/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webImgShrinked" descr="Picture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47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i/>
        <w:sz w:val="24"/>
        <w:szCs w:val="28"/>
      </w:rPr>
      <w:t>(COG staff summary, 8/2/12)</w:t>
    </w:r>
  </w:p>
  <w:p w:rsidR="00CD6284" w:rsidRDefault="00CD62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370D"/>
    <w:multiLevelType w:val="hybridMultilevel"/>
    <w:tmpl w:val="47D2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C5AEE"/>
    <w:multiLevelType w:val="hybridMultilevel"/>
    <w:tmpl w:val="3A2E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D7285"/>
    <w:multiLevelType w:val="hybridMultilevel"/>
    <w:tmpl w:val="DB7A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77B27"/>
    <w:multiLevelType w:val="hybridMultilevel"/>
    <w:tmpl w:val="B8D6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1D00"/>
    <w:multiLevelType w:val="hybridMultilevel"/>
    <w:tmpl w:val="84A6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55258"/>
    <w:multiLevelType w:val="hybridMultilevel"/>
    <w:tmpl w:val="B7F4B7B6"/>
    <w:lvl w:ilvl="0" w:tplc="2A52FD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01BBF"/>
    <w:multiLevelType w:val="hybridMultilevel"/>
    <w:tmpl w:val="3296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870AD"/>
    <w:multiLevelType w:val="hybridMultilevel"/>
    <w:tmpl w:val="918C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A3EB5"/>
    <w:multiLevelType w:val="hybridMultilevel"/>
    <w:tmpl w:val="CA862066"/>
    <w:lvl w:ilvl="0" w:tplc="52C25B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B233B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A8F1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46DD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F8A1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80DF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9C48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8CC6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8C73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A953FF6"/>
    <w:multiLevelType w:val="hybridMultilevel"/>
    <w:tmpl w:val="F2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A6051"/>
    <w:multiLevelType w:val="hybridMultilevel"/>
    <w:tmpl w:val="8586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D0AFF"/>
    <w:multiLevelType w:val="hybridMultilevel"/>
    <w:tmpl w:val="F3A8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0354"/>
    <w:rsid w:val="000032E8"/>
    <w:rsid w:val="0000422B"/>
    <w:rsid w:val="00092252"/>
    <w:rsid w:val="000C2065"/>
    <w:rsid w:val="000F4D28"/>
    <w:rsid w:val="000F5B4B"/>
    <w:rsid w:val="00113323"/>
    <w:rsid w:val="00176290"/>
    <w:rsid w:val="00182423"/>
    <w:rsid w:val="001912AF"/>
    <w:rsid w:val="001C1526"/>
    <w:rsid w:val="001D6D7A"/>
    <w:rsid w:val="001E2AC2"/>
    <w:rsid w:val="001F697A"/>
    <w:rsid w:val="00224E5E"/>
    <w:rsid w:val="002B7456"/>
    <w:rsid w:val="002C2C36"/>
    <w:rsid w:val="002D55C9"/>
    <w:rsid w:val="00305B12"/>
    <w:rsid w:val="003268B3"/>
    <w:rsid w:val="00343872"/>
    <w:rsid w:val="00365949"/>
    <w:rsid w:val="00386CE4"/>
    <w:rsid w:val="00390E58"/>
    <w:rsid w:val="003B2AAB"/>
    <w:rsid w:val="00400354"/>
    <w:rsid w:val="00466105"/>
    <w:rsid w:val="004933FE"/>
    <w:rsid w:val="004F520D"/>
    <w:rsid w:val="00515A2C"/>
    <w:rsid w:val="00577B91"/>
    <w:rsid w:val="005E056F"/>
    <w:rsid w:val="00673C88"/>
    <w:rsid w:val="006C0F77"/>
    <w:rsid w:val="00796CAB"/>
    <w:rsid w:val="0080551B"/>
    <w:rsid w:val="0085176E"/>
    <w:rsid w:val="00882EC2"/>
    <w:rsid w:val="008A508E"/>
    <w:rsid w:val="008A7FA2"/>
    <w:rsid w:val="008D3029"/>
    <w:rsid w:val="008D6197"/>
    <w:rsid w:val="008E5D55"/>
    <w:rsid w:val="00970694"/>
    <w:rsid w:val="00990CA7"/>
    <w:rsid w:val="009E4873"/>
    <w:rsid w:val="00A254C0"/>
    <w:rsid w:val="00A3344A"/>
    <w:rsid w:val="00A737B3"/>
    <w:rsid w:val="00A824FE"/>
    <w:rsid w:val="00AC3B8F"/>
    <w:rsid w:val="00AD3DDB"/>
    <w:rsid w:val="00AE6880"/>
    <w:rsid w:val="00B13BF3"/>
    <w:rsid w:val="00BB6A33"/>
    <w:rsid w:val="00BC1484"/>
    <w:rsid w:val="00C26D76"/>
    <w:rsid w:val="00C36C7E"/>
    <w:rsid w:val="00CA3B30"/>
    <w:rsid w:val="00CD6284"/>
    <w:rsid w:val="00CD6DE5"/>
    <w:rsid w:val="00CE09B6"/>
    <w:rsid w:val="00D23397"/>
    <w:rsid w:val="00D535BC"/>
    <w:rsid w:val="00D61AC8"/>
    <w:rsid w:val="00D96EA8"/>
    <w:rsid w:val="00DB544D"/>
    <w:rsid w:val="00E03A26"/>
    <w:rsid w:val="00E82693"/>
    <w:rsid w:val="00E93168"/>
    <w:rsid w:val="00E954A3"/>
    <w:rsid w:val="00EE24AF"/>
    <w:rsid w:val="00F44D74"/>
    <w:rsid w:val="00F64D9A"/>
    <w:rsid w:val="00F75516"/>
    <w:rsid w:val="00F87114"/>
    <w:rsid w:val="00FD7D5C"/>
    <w:rsid w:val="00FF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872"/>
  </w:style>
  <w:style w:type="paragraph" w:styleId="Footer">
    <w:name w:val="footer"/>
    <w:basedOn w:val="Normal"/>
    <w:link w:val="FooterChar"/>
    <w:uiPriority w:val="99"/>
    <w:semiHidden/>
    <w:unhideWhenUsed/>
    <w:rsid w:val="0034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872"/>
  </w:style>
  <w:style w:type="paragraph" w:styleId="BalloonText">
    <w:name w:val="Balloon Text"/>
    <w:basedOn w:val="Normal"/>
    <w:link w:val="BalloonTextChar"/>
    <w:uiPriority w:val="99"/>
    <w:semiHidden/>
    <w:unhideWhenUsed/>
    <w:rsid w:val="003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13B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9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7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FA2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0E58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0E58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5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5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24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66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ano@mwco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.mwcog.org/cognet/LogosImagesPhotos/COGlogo_tex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F9B8-2187-4DBD-80FD-B17F6A28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Berger</dc:creator>
  <cp:lastModifiedBy>tspano</cp:lastModifiedBy>
  <cp:revision>3</cp:revision>
  <cp:lastPrinted>2012-07-26T21:26:00Z</cp:lastPrinted>
  <dcterms:created xsi:type="dcterms:W3CDTF">2012-08-02T18:04:00Z</dcterms:created>
  <dcterms:modified xsi:type="dcterms:W3CDTF">2012-08-02T18:14:00Z</dcterms:modified>
</cp:coreProperties>
</file>