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E5678" w14:textId="77777777" w:rsidR="00C04721" w:rsidRPr="00753BEF" w:rsidRDefault="00DF0DDF" w:rsidP="00C04721">
      <w:pPr>
        <w:pStyle w:val="Heading1"/>
        <w:ind w:left="900" w:hanging="900"/>
        <w:rPr>
          <w:rFonts w:ascii="Franklin Gothic Book" w:hAnsi="Franklin Gothic Book" w:cs="Tahoma"/>
          <w:sz w:val="24"/>
          <w:szCs w:val="24"/>
        </w:rPr>
      </w:pPr>
      <w:r w:rsidRPr="00753BEF">
        <w:rPr>
          <w:rFonts w:ascii="Franklin Gothic Book" w:hAnsi="Franklin Gothic Book" w:cs="Tahoma"/>
          <w:sz w:val="24"/>
          <w:szCs w:val="24"/>
        </w:rPr>
        <w:t>Slide</w:t>
      </w:r>
      <w:r w:rsidR="00201832" w:rsidRPr="00753BEF">
        <w:rPr>
          <w:rFonts w:ascii="Franklin Gothic Book" w:hAnsi="Franklin Gothic Book" w:cs="Tahoma"/>
          <w:sz w:val="24"/>
          <w:szCs w:val="24"/>
        </w:rPr>
        <w:t xml:space="preserve"> 1</w:t>
      </w:r>
      <w:r w:rsidR="00FF301E" w:rsidRPr="00753BEF">
        <w:rPr>
          <w:rFonts w:ascii="Franklin Gothic Book" w:hAnsi="Franklin Gothic Book" w:cs="Tahoma"/>
          <w:sz w:val="24"/>
          <w:szCs w:val="24"/>
        </w:rPr>
        <w:t xml:space="preserve">: </w:t>
      </w:r>
    </w:p>
    <w:p w14:paraId="762C8E97" w14:textId="77777777" w:rsidR="00265960" w:rsidRDefault="00265960" w:rsidP="007F5D02">
      <w:pPr>
        <w:pStyle w:val="Heading1"/>
        <w:ind w:left="0" w:firstLine="0"/>
        <w:rPr>
          <w:rFonts w:ascii="Franklin Gothic Book" w:hAnsi="Franklin Gothic Book" w:cs="Tahoma"/>
          <w:sz w:val="24"/>
          <w:szCs w:val="24"/>
        </w:rPr>
      </w:pPr>
    </w:p>
    <w:p w14:paraId="149E40B2" w14:textId="77777777" w:rsidR="00193FB6" w:rsidRDefault="00C04721" w:rsidP="00193FB6">
      <w:pPr>
        <w:pStyle w:val="Heading1"/>
        <w:rPr>
          <w:rFonts w:ascii="Franklin Gothic Book" w:hAnsi="Franklin Gothic Book" w:cs="Tahoma"/>
          <w:sz w:val="24"/>
          <w:szCs w:val="24"/>
        </w:rPr>
      </w:pPr>
      <w:r w:rsidRPr="00C97CE1">
        <w:rPr>
          <w:rFonts w:ascii="Franklin Gothic Book" w:hAnsi="Franklin Gothic Book" w:cs="Tahoma"/>
          <w:sz w:val="24"/>
          <w:szCs w:val="24"/>
        </w:rPr>
        <w:t xml:space="preserve">Presentation Title: </w:t>
      </w:r>
      <w:r w:rsidR="00193FB6" w:rsidRPr="00193FB6">
        <w:rPr>
          <w:rFonts w:ascii="Franklin Gothic Book" w:hAnsi="Franklin Gothic Book" w:cs="Tahoma"/>
          <w:sz w:val="24"/>
          <w:szCs w:val="24"/>
        </w:rPr>
        <w:t>Update to</w:t>
      </w:r>
      <w:r w:rsidR="00193FB6">
        <w:rPr>
          <w:rFonts w:ascii="Franklin Gothic Book" w:hAnsi="Franklin Gothic Book" w:cs="Tahoma"/>
          <w:sz w:val="24"/>
          <w:szCs w:val="24"/>
        </w:rPr>
        <w:t xml:space="preserve"> </w:t>
      </w:r>
      <w:r w:rsidR="00193FB6" w:rsidRPr="00193FB6">
        <w:rPr>
          <w:rFonts w:ascii="Franklin Gothic Book" w:hAnsi="Franklin Gothic Book" w:cs="Tahoma"/>
          <w:sz w:val="24"/>
          <w:szCs w:val="24"/>
        </w:rPr>
        <w:t>Equity Emphasis Area</w:t>
      </w:r>
    </w:p>
    <w:p w14:paraId="7F2B2519" w14:textId="16C14F83" w:rsidR="008C2947" w:rsidRPr="008C2947" w:rsidRDefault="00193FB6" w:rsidP="00193FB6">
      <w:pPr>
        <w:pStyle w:val="Heading1"/>
        <w:rPr>
          <w:rFonts w:ascii="Franklin Gothic Book" w:hAnsi="Franklin Gothic Book"/>
          <w:sz w:val="24"/>
          <w:szCs w:val="24"/>
        </w:rPr>
      </w:pPr>
      <w:r w:rsidRPr="00193FB6">
        <w:rPr>
          <w:rFonts w:ascii="Franklin Gothic Book" w:hAnsi="Franklin Gothic Book" w:cs="Tahoma"/>
          <w:sz w:val="24"/>
          <w:szCs w:val="24"/>
        </w:rPr>
        <w:t>Environmental Justice (EJ)</w:t>
      </w:r>
      <w:r>
        <w:rPr>
          <w:rFonts w:ascii="Franklin Gothic Book" w:hAnsi="Franklin Gothic Book" w:cs="Tahoma"/>
          <w:sz w:val="24"/>
          <w:szCs w:val="24"/>
        </w:rPr>
        <w:t xml:space="preserve"> </w:t>
      </w:r>
      <w:r w:rsidRPr="00193FB6">
        <w:rPr>
          <w:rFonts w:ascii="Franklin Gothic Book" w:hAnsi="Franklin Gothic Book" w:cs="Tahoma"/>
          <w:sz w:val="24"/>
          <w:szCs w:val="24"/>
        </w:rPr>
        <w:t>Analysis Phase 1</w:t>
      </w:r>
    </w:p>
    <w:p w14:paraId="0C83DF49" w14:textId="24596EB0" w:rsidR="00561F35" w:rsidRPr="00561F35" w:rsidRDefault="00CF4EFA" w:rsidP="008C2947">
      <w:pPr>
        <w:spacing w:after="0" w:line="240" w:lineRule="auto"/>
      </w:pPr>
      <w:r w:rsidRPr="00CF4EFA">
        <w:rPr>
          <w:rFonts w:ascii="Franklin Gothic Book" w:hAnsi="Franklin Gothic Book"/>
          <w:color w:val="000000"/>
          <w:kern w:val="24"/>
          <w:sz w:val="24"/>
          <w:szCs w:val="24"/>
        </w:rPr>
        <w:t>Information Presentation to MWCOG TPB Access for All Committee –September 2, 2022</w:t>
      </w:r>
    </w:p>
    <w:p w14:paraId="1EC96B06" w14:textId="6ED4CAB0" w:rsidR="0065312E" w:rsidRDefault="0065312E" w:rsidP="00D845DF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7470C6B5" w14:textId="77777777" w:rsidR="00B303F0" w:rsidRDefault="00B303F0" w:rsidP="00D845DF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2BEF9600" w14:textId="5892671E" w:rsidR="003A206A" w:rsidRDefault="00DF0DDF" w:rsidP="003A206A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753BEF">
        <w:rPr>
          <w:rFonts w:ascii="Franklin Gothic Book" w:hAnsi="Franklin Gothic Book" w:cs="Tahoma"/>
          <w:sz w:val="24"/>
          <w:szCs w:val="24"/>
        </w:rPr>
        <w:t xml:space="preserve">Slide </w:t>
      </w:r>
      <w:r w:rsidR="00201832" w:rsidRPr="00753BEF">
        <w:rPr>
          <w:rFonts w:ascii="Franklin Gothic Book" w:hAnsi="Franklin Gothic Book" w:cs="Tahoma"/>
          <w:sz w:val="24"/>
          <w:szCs w:val="24"/>
        </w:rPr>
        <w:t>2</w:t>
      </w:r>
      <w:r w:rsidR="00FF301E" w:rsidRPr="00753BEF">
        <w:rPr>
          <w:rFonts w:ascii="Franklin Gothic Book" w:hAnsi="Franklin Gothic Book" w:cs="Tahoma"/>
          <w:sz w:val="24"/>
          <w:szCs w:val="24"/>
        </w:rPr>
        <w:t>:</w:t>
      </w:r>
      <w:r w:rsidR="004C6DF9">
        <w:rPr>
          <w:rFonts w:ascii="Franklin Gothic Book" w:hAnsi="Franklin Gothic Book" w:cs="Tahoma"/>
          <w:sz w:val="24"/>
          <w:szCs w:val="24"/>
        </w:rPr>
        <w:t xml:space="preserve"> </w:t>
      </w:r>
      <w:r w:rsidR="00351132">
        <w:rPr>
          <w:rFonts w:ascii="Franklin Gothic Book" w:hAnsi="Franklin Gothic Book" w:cs="Tahoma"/>
          <w:sz w:val="24"/>
          <w:szCs w:val="24"/>
        </w:rPr>
        <w:t>Overview</w:t>
      </w:r>
    </w:p>
    <w:p w14:paraId="043C8887" w14:textId="378C92DD" w:rsidR="00351132" w:rsidRPr="00351132" w:rsidRDefault="00351132" w:rsidP="00351132">
      <w:pPr>
        <w:spacing w:after="0" w:line="240" w:lineRule="auto"/>
        <w:rPr>
          <w:rFonts w:ascii="Franklin Gothic Book" w:eastAsiaTheme="minorHAnsi" w:hAnsi="Franklin Gothic Book" w:cstheme="minorBidi"/>
          <w:sz w:val="24"/>
          <w:szCs w:val="24"/>
        </w:rPr>
      </w:pPr>
    </w:p>
    <w:p w14:paraId="1FDA6AF1" w14:textId="77777777" w:rsidR="00193FB6" w:rsidRPr="00193FB6" w:rsidRDefault="00193FB6" w:rsidP="00193FB6">
      <w:pPr>
        <w:pStyle w:val="ListParagraph"/>
        <w:numPr>
          <w:ilvl w:val="0"/>
          <w:numId w:val="15"/>
        </w:numPr>
        <w:spacing w:after="0" w:line="240" w:lineRule="auto"/>
        <w:rPr>
          <w:rFonts w:ascii="Franklin Gothic Book" w:eastAsiaTheme="minorHAnsi" w:hAnsi="Franklin Gothic Book" w:cstheme="minorBidi"/>
          <w:sz w:val="24"/>
          <w:szCs w:val="24"/>
        </w:rPr>
      </w:pPr>
      <w:r w:rsidRPr="00193FB6">
        <w:rPr>
          <w:rFonts w:ascii="Franklin Gothic Book" w:eastAsiaTheme="minorHAnsi" w:hAnsi="Franklin Gothic Book" w:cstheme="minorBidi"/>
          <w:sz w:val="24"/>
          <w:szCs w:val="24"/>
        </w:rPr>
        <w:t>Update Summary / Takeaways</w:t>
      </w:r>
    </w:p>
    <w:p w14:paraId="179CB688" w14:textId="77777777" w:rsidR="00193FB6" w:rsidRPr="00193FB6" w:rsidRDefault="00193FB6" w:rsidP="00193FB6">
      <w:pPr>
        <w:pStyle w:val="ListParagraph"/>
        <w:numPr>
          <w:ilvl w:val="0"/>
          <w:numId w:val="15"/>
        </w:numPr>
        <w:spacing w:after="0" w:line="240" w:lineRule="auto"/>
        <w:rPr>
          <w:rFonts w:ascii="Franklin Gothic Book" w:eastAsiaTheme="minorHAnsi" w:hAnsi="Franklin Gothic Book" w:cstheme="minorBidi"/>
          <w:sz w:val="24"/>
          <w:szCs w:val="24"/>
        </w:rPr>
      </w:pPr>
      <w:r w:rsidRPr="00193FB6">
        <w:rPr>
          <w:rFonts w:ascii="Franklin Gothic Book" w:eastAsiaTheme="minorHAnsi" w:hAnsi="Franklin Gothic Book" w:cstheme="minorBidi"/>
          <w:sz w:val="24"/>
          <w:szCs w:val="24"/>
        </w:rPr>
        <w:t>Why update?</w:t>
      </w:r>
    </w:p>
    <w:p w14:paraId="66C76BEF" w14:textId="77777777" w:rsidR="00193FB6" w:rsidRPr="00193FB6" w:rsidRDefault="00193FB6" w:rsidP="00193FB6">
      <w:pPr>
        <w:pStyle w:val="ListParagraph"/>
        <w:numPr>
          <w:ilvl w:val="0"/>
          <w:numId w:val="15"/>
        </w:numPr>
        <w:spacing w:after="0" w:line="240" w:lineRule="auto"/>
        <w:rPr>
          <w:rFonts w:ascii="Franklin Gothic Book" w:eastAsiaTheme="minorHAnsi" w:hAnsi="Franklin Gothic Book" w:cstheme="minorBidi"/>
          <w:sz w:val="24"/>
          <w:szCs w:val="24"/>
        </w:rPr>
      </w:pPr>
      <w:r w:rsidRPr="00193FB6">
        <w:rPr>
          <w:rFonts w:ascii="Franklin Gothic Book" w:eastAsiaTheme="minorHAnsi" w:hAnsi="Franklin Gothic Book" w:cstheme="minorBidi"/>
          <w:sz w:val="24"/>
          <w:szCs w:val="24"/>
        </w:rPr>
        <w:t>What inputs were being updated?</w:t>
      </w:r>
    </w:p>
    <w:p w14:paraId="797C2F94" w14:textId="77777777" w:rsidR="00193FB6" w:rsidRPr="00193FB6" w:rsidRDefault="00193FB6" w:rsidP="00193FB6">
      <w:pPr>
        <w:pStyle w:val="ListParagraph"/>
        <w:numPr>
          <w:ilvl w:val="0"/>
          <w:numId w:val="15"/>
        </w:numPr>
        <w:spacing w:after="0" w:line="240" w:lineRule="auto"/>
        <w:rPr>
          <w:rFonts w:ascii="Franklin Gothic Book" w:eastAsiaTheme="minorHAnsi" w:hAnsi="Franklin Gothic Book" w:cstheme="minorBidi"/>
          <w:sz w:val="24"/>
          <w:szCs w:val="24"/>
        </w:rPr>
      </w:pPr>
      <w:r w:rsidRPr="00193FB6">
        <w:rPr>
          <w:rFonts w:ascii="Franklin Gothic Book" w:eastAsiaTheme="minorHAnsi" w:hAnsi="Franklin Gothic Book" w:cstheme="minorBidi"/>
          <w:sz w:val="24"/>
          <w:szCs w:val="24"/>
        </w:rPr>
        <w:t>Details of primary changes</w:t>
      </w:r>
    </w:p>
    <w:p w14:paraId="50264F7F" w14:textId="77777777" w:rsidR="00193FB6" w:rsidRPr="00193FB6" w:rsidRDefault="00193FB6" w:rsidP="00193FB6">
      <w:pPr>
        <w:pStyle w:val="ListParagraph"/>
        <w:numPr>
          <w:ilvl w:val="0"/>
          <w:numId w:val="15"/>
        </w:numPr>
        <w:spacing w:after="0" w:line="240" w:lineRule="auto"/>
        <w:rPr>
          <w:rFonts w:ascii="Franklin Gothic Book" w:eastAsiaTheme="minorHAnsi" w:hAnsi="Franklin Gothic Book" w:cstheme="minorBidi"/>
          <w:sz w:val="24"/>
          <w:szCs w:val="24"/>
        </w:rPr>
      </w:pPr>
      <w:r w:rsidRPr="00193FB6">
        <w:rPr>
          <w:rFonts w:ascii="Franklin Gothic Book" w:eastAsiaTheme="minorHAnsi" w:hAnsi="Franklin Gothic Book" w:cstheme="minorBidi"/>
          <w:sz w:val="24"/>
          <w:szCs w:val="24"/>
        </w:rPr>
        <w:t>Next Steps</w:t>
      </w:r>
    </w:p>
    <w:p w14:paraId="7A4BEE9C" w14:textId="5B710B83" w:rsidR="00193FB6" w:rsidRPr="00193FB6" w:rsidRDefault="00193FB6" w:rsidP="00193FB6">
      <w:pPr>
        <w:pStyle w:val="ListParagraph"/>
        <w:numPr>
          <w:ilvl w:val="0"/>
          <w:numId w:val="15"/>
        </w:numPr>
        <w:spacing w:after="0" w:line="240" w:lineRule="auto"/>
        <w:rPr>
          <w:rFonts w:ascii="Franklin Gothic Book" w:eastAsiaTheme="minorHAnsi" w:hAnsi="Franklin Gothic Book" w:cstheme="minorBidi"/>
          <w:sz w:val="24"/>
          <w:szCs w:val="24"/>
        </w:rPr>
      </w:pPr>
      <w:r w:rsidRPr="00193FB6">
        <w:rPr>
          <w:rFonts w:ascii="Franklin Gothic Book" w:eastAsiaTheme="minorHAnsi" w:hAnsi="Franklin Gothic Book" w:cstheme="minorBidi"/>
          <w:sz w:val="24"/>
          <w:szCs w:val="24"/>
        </w:rPr>
        <w:t>Frequently Asked Questions</w:t>
      </w:r>
    </w:p>
    <w:p w14:paraId="00B9B155" w14:textId="77777777" w:rsidR="00B303F0" w:rsidRDefault="00B303F0" w:rsidP="00351132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7533FE17" w14:textId="1E604C14" w:rsidR="00CF4EFA" w:rsidRDefault="00FF301E" w:rsidP="00193FB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753BEF">
        <w:rPr>
          <w:rFonts w:ascii="Franklin Gothic Book" w:hAnsi="Franklin Gothic Book" w:cs="Tahoma"/>
          <w:sz w:val="24"/>
          <w:szCs w:val="24"/>
        </w:rPr>
        <w:t>S</w:t>
      </w:r>
      <w:r w:rsidR="00DF0DDF" w:rsidRPr="00753BEF">
        <w:rPr>
          <w:rFonts w:ascii="Franklin Gothic Book" w:hAnsi="Franklin Gothic Book" w:cs="Tahoma"/>
          <w:sz w:val="24"/>
          <w:szCs w:val="24"/>
        </w:rPr>
        <w:t xml:space="preserve">lide </w:t>
      </w:r>
      <w:r w:rsidR="00201832" w:rsidRPr="00753BEF">
        <w:rPr>
          <w:rFonts w:ascii="Franklin Gothic Book" w:hAnsi="Franklin Gothic Book" w:cs="Tahoma"/>
          <w:sz w:val="24"/>
          <w:szCs w:val="24"/>
        </w:rPr>
        <w:t>3</w:t>
      </w:r>
      <w:r w:rsidRPr="00753BEF">
        <w:rPr>
          <w:rFonts w:ascii="Franklin Gothic Book" w:hAnsi="Franklin Gothic Book" w:cs="Tahoma"/>
          <w:sz w:val="24"/>
          <w:szCs w:val="24"/>
        </w:rPr>
        <w:t xml:space="preserve">: </w:t>
      </w:r>
      <w:r w:rsidR="00193FB6" w:rsidRPr="00193FB6">
        <w:rPr>
          <w:rFonts w:ascii="Franklin Gothic Book" w:hAnsi="Franklin Gothic Book" w:cs="Tahoma"/>
          <w:sz w:val="24"/>
          <w:szCs w:val="24"/>
        </w:rPr>
        <w:t>What are Equity Emphasis Areas (EEA)</w:t>
      </w:r>
      <w:r w:rsidR="00193FB6">
        <w:rPr>
          <w:rFonts w:ascii="Franklin Gothic Book" w:hAnsi="Franklin Gothic Book" w:cs="Tahoma"/>
          <w:sz w:val="24"/>
          <w:szCs w:val="24"/>
        </w:rPr>
        <w:t xml:space="preserve"> </w:t>
      </w:r>
      <w:r w:rsidR="00193FB6" w:rsidRPr="00193FB6">
        <w:rPr>
          <w:rFonts w:ascii="Franklin Gothic Book" w:hAnsi="Franklin Gothic Book" w:cs="Tahoma"/>
          <w:sz w:val="24"/>
          <w:szCs w:val="24"/>
        </w:rPr>
        <w:t>and how does the TPB use them?</w:t>
      </w:r>
    </w:p>
    <w:p w14:paraId="66F29403" w14:textId="77777777" w:rsidR="00CF4EFA" w:rsidRPr="00CF4EFA" w:rsidRDefault="00CF4EFA" w:rsidP="00CF4EFA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7FB4398A" w14:textId="77777777" w:rsidR="00193FB6" w:rsidRPr="00193FB6" w:rsidRDefault="00193FB6" w:rsidP="00193FB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193FB6">
        <w:rPr>
          <w:rFonts w:ascii="Franklin Gothic Book" w:hAnsi="Franklin Gothic Book" w:cs="Tahoma"/>
          <w:sz w:val="24"/>
          <w:szCs w:val="24"/>
        </w:rPr>
        <w:t>We identify small geographic areas with higher concentrations of four</w:t>
      </w:r>
    </w:p>
    <w:p w14:paraId="4010691B" w14:textId="77777777" w:rsidR="00193FB6" w:rsidRPr="00193FB6" w:rsidRDefault="00193FB6" w:rsidP="00193FB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193FB6">
        <w:rPr>
          <w:rFonts w:ascii="Franklin Gothic Book" w:hAnsi="Franklin Gothic Book" w:cs="Tahoma"/>
          <w:sz w:val="24"/>
          <w:szCs w:val="24"/>
        </w:rPr>
        <w:t>groups compared to the regional average:</w:t>
      </w:r>
    </w:p>
    <w:p w14:paraId="49F07BE4" w14:textId="77777777" w:rsidR="00193FB6" w:rsidRPr="00193FB6" w:rsidRDefault="00193FB6" w:rsidP="00193FB6">
      <w:pPr>
        <w:pStyle w:val="ListParagraph"/>
        <w:numPr>
          <w:ilvl w:val="0"/>
          <w:numId w:val="16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193FB6">
        <w:rPr>
          <w:rFonts w:ascii="Franklin Gothic Book" w:hAnsi="Franklin Gothic Book" w:cs="Tahoma"/>
          <w:sz w:val="24"/>
          <w:szCs w:val="24"/>
        </w:rPr>
        <w:t>Low Income</w:t>
      </w:r>
    </w:p>
    <w:p w14:paraId="56B1336B" w14:textId="77777777" w:rsidR="00193FB6" w:rsidRPr="00193FB6" w:rsidRDefault="00193FB6" w:rsidP="00193FB6">
      <w:pPr>
        <w:pStyle w:val="ListParagraph"/>
        <w:numPr>
          <w:ilvl w:val="0"/>
          <w:numId w:val="16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193FB6">
        <w:rPr>
          <w:rFonts w:ascii="Franklin Gothic Book" w:hAnsi="Franklin Gothic Book" w:cs="Tahoma"/>
          <w:sz w:val="24"/>
          <w:szCs w:val="24"/>
        </w:rPr>
        <w:t>Black or African American</w:t>
      </w:r>
    </w:p>
    <w:p w14:paraId="2EA6E08A" w14:textId="77777777" w:rsidR="00193FB6" w:rsidRPr="00193FB6" w:rsidRDefault="00193FB6" w:rsidP="00193FB6">
      <w:pPr>
        <w:pStyle w:val="ListParagraph"/>
        <w:numPr>
          <w:ilvl w:val="0"/>
          <w:numId w:val="16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193FB6">
        <w:rPr>
          <w:rFonts w:ascii="Franklin Gothic Book" w:hAnsi="Franklin Gothic Book" w:cs="Tahoma"/>
          <w:sz w:val="24"/>
          <w:szCs w:val="24"/>
        </w:rPr>
        <w:t>Hispanic or Latino</w:t>
      </w:r>
    </w:p>
    <w:p w14:paraId="65686646" w14:textId="77777777" w:rsidR="00193FB6" w:rsidRPr="00193FB6" w:rsidRDefault="00193FB6" w:rsidP="00193FB6">
      <w:pPr>
        <w:pStyle w:val="ListParagraph"/>
        <w:numPr>
          <w:ilvl w:val="0"/>
          <w:numId w:val="16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193FB6">
        <w:rPr>
          <w:rFonts w:ascii="Franklin Gothic Book" w:hAnsi="Franklin Gothic Book" w:cs="Tahoma"/>
          <w:sz w:val="24"/>
          <w:szCs w:val="24"/>
        </w:rPr>
        <w:t>Asian</w:t>
      </w:r>
    </w:p>
    <w:p w14:paraId="553ECF4B" w14:textId="77777777" w:rsidR="00193FB6" w:rsidRDefault="00193FB6" w:rsidP="00193FB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71287095" w14:textId="72CA4826" w:rsidR="00193FB6" w:rsidRPr="00193FB6" w:rsidRDefault="00193FB6" w:rsidP="00193FB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193FB6">
        <w:rPr>
          <w:rFonts w:ascii="Franklin Gothic Book" w:hAnsi="Franklin Gothic Book" w:cs="Tahoma"/>
          <w:sz w:val="24"/>
          <w:szCs w:val="24"/>
        </w:rPr>
        <w:t>Methodology:</w:t>
      </w:r>
    </w:p>
    <w:p w14:paraId="3773E636" w14:textId="77777777" w:rsidR="00193FB6" w:rsidRPr="00193FB6" w:rsidRDefault="00193FB6" w:rsidP="00193FB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193FB6">
        <w:rPr>
          <w:rFonts w:ascii="Franklin Gothic Book" w:hAnsi="Franklin Gothic Book" w:cs="Tahoma"/>
          <w:sz w:val="24"/>
          <w:szCs w:val="24"/>
        </w:rPr>
        <w:t>https://www.mwcog.org/transportation/planning areas/fairness and</w:t>
      </w:r>
    </w:p>
    <w:p w14:paraId="7453769D" w14:textId="77777777" w:rsidR="00193FB6" w:rsidRPr="00193FB6" w:rsidRDefault="00193FB6" w:rsidP="00193FB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193FB6">
        <w:rPr>
          <w:rFonts w:ascii="Franklin Gothic Book" w:hAnsi="Franklin Gothic Book" w:cs="Tahoma"/>
          <w:sz w:val="24"/>
          <w:szCs w:val="24"/>
        </w:rPr>
        <w:t>accessibility/environmental justice/equity emphasis areas/</w:t>
      </w:r>
    </w:p>
    <w:p w14:paraId="0ABE40A6" w14:textId="77777777" w:rsidR="00193FB6" w:rsidRDefault="00193FB6" w:rsidP="00193FB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4967083F" w14:textId="7D75EE96" w:rsidR="00193FB6" w:rsidRPr="00193FB6" w:rsidRDefault="00193FB6" w:rsidP="00193FB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193FB6">
        <w:rPr>
          <w:rFonts w:ascii="Franklin Gothic Book" w:hAnsi="Franklin Gothic Book" w:cs="Tahoma"/>
          <w:sz w:val="24"/>
          <w:szCs w:val="24"/>
        </w:rPr>
        <w:t>Helps us understand the impact of transportation improvements on</w:t>
      </w:r>
      <w:r>
        <w:rPr>
          <w:rFonts w:ascii="Franklin Gothic Book" w:hAnsi="Franklin Gothic Book" w:cs="Tahoma"/>
          <w:sz w:val="24"/>
          <w:szCs w:val="24"/>
        </w:rPr>
        <w:t xml:space="preserve"> </w:t>
      </w:r>
      <w:r w:rsidRPr="00193FB6">
        <w:rPr>
          <w:rFonts w:ascii="Franklin Gothic Book" w:hAnsi="Franklin Gothic Book" w:cs="Tahoma"/>
          <w:sz w:val="24"/>
          <w:szCs w:val="24"/>
        </w:rPr>
        <w:t>these areas compared to the remainder of the region. COG and TPB</w:t>
      </w:r>
      <w:r>
        <w:rPr>
          <w:rFonts w:ascii="Franklin Gothic Book" w:hAnsi="Franklin Gothic Book" w:cs="Tahoma"/>
          <w:sz w:val="24"/>
          <w:szCs w:val="24"/>
        </w:rPr>
        <w:t xml:space="preserve"> </w:t>
      </w:r>
      <w:r w:rsidRPr="00193FB6">
        <w:rPr>
          <w:rFonts w:ascii="Franklin Gothic Book" w:hAnsi="Franklin Gothic Book" w:cs="Tahoma"/>
          <w:sz w:val="24"/>
          <w:szCs w:val="24"/>
        </w:rPr>
        <w:t>also endorsed use of these areas to help highlight areas of the region to</w:t>
      </w:r>
      <w:r>
        <w:rPr>
          <w:rFonts w:ascii="Franklin Gothic Book" w:hAnsi="Franklin Gothic Book" w:cs="Tahoma"/>
          <w:sz w:val="24"/>
          <w:szCs w:val="24"/>
        </w:rPr>
        <w:t xml:space="preserve"> </w:t>
      </w:r>
      <w:r w:rsidRPr="00193FB6">
        <w:rPr>
          <w:rFonts w:ascii="Franklin Gothic Book" w:hAnsi="Franklin Gothic Book" w:cs="Tahoma"/>
          <w:sz w:val="24"/>
          <w:szCs w:val="24"/>
        </w:rPr>
        <w:t>consider with additional sensitivity when developing plans, policies, and</w:t>
      </w:r>
      <w:r>
        <w:rPr>
          <w:rFonts w:ascii="Franklin Gothic Book" w:hAnsi="Franklin Gothic Book" w:cs="Tahoma"/>
          <w:sz w:val="24"/>
          <w:szCs w:val="24"/>
        </w:rPr>
        <w:t xml:space="preserve"> </w:t>
      </w:r>
      <w:r w:rsidRPr="00193FB6">
        <w:rPr>
          <w:rFonts w:ascii="Franklin Gothic Book" w:hAnsi="Franklin Gothic Book" w:cs="Tahoma"/>
          <w:sz w:val="24"/>
          <w:szCs w:val="24"/>
        </w:rPr>
        <w:t>programs.</w:t>
      </w:r>
    </w:p>
    <w:p w14:paraId="1D302DA1" w14:textId="5459731C" w:rsidR="00B303F0" w:rsidRDefault="00B303F0" w:rsidP="00193FB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06A1D39D" w14:textId="77777777" w:rsidR="00193FB6" w:rsidRPr="00193FB6" w:rsidRDefault="00193FB6" w:rsidP="00193FB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3AC8A3F7" w14:textId="166BCE71" w:rsidR="00CF4EFA" w:rsidRDefault="0074520E" w:rsidP="00CF4EFA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A054FA">
        <w:rPr>
          <w:rFonts w:ascii="Franklin Gothic Book" w:hAnsi="Franklin Gothic Book" w:cs="Tahoma"/>
          <w:sz w:val="24"/>
          <w:szCs w:val="24"/>
        </w:rPr>
        <w:t>Slide 4:</w:t>
      </w:r>
      <w:r w:rsidRPr="00A054FA">
        <w:rPr>
          <w:rFonts w:ascii="Franklin Gothic Book" w:hAnsi="Franklin Gothic Book"/>
          <w:sz w:val="24"/>
          <w:szCs w:val="24"/>
        </w:rPr>
        <w:t xml:space="preserve"> </w:t>
      </w:r>
      <w:bookmarkStart w:id="0" w:name="_Hlk2778110"/>
      <w:r w:rsidR="00193FB6">
        <w:rPr>
          <w:rFonts w:ascii="Franklin Gothic Book" w:hAnsi="Franklin Gothic Book"/>
          <w:sz w:val="24"/>
          <w:szCs w:val="24"/>
        </w:rPr>
        <w:t>EEA Update: Takeaways</w:t>
      </w:r>
    </w:p>
    <w:p w14:paraId="182E018B" w14:textId="77777777" w:rsidR="00CF4EFA" w:rsidRPr="00CF4EFA" w:rsidRDefault="00CF4EFA" w:rsidP="00CF4EFA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657874E9" w14:textId="77777777" w:rsidR="00193FB6" w:rsidRPr="00193FB6" w:rsidRDefault="00193FB6" w:rsidP="00193FB6">
      <w:pPr>
        <w:pStyle w:val="ListParagraph"/>
        <w:numPr>
          <w:ilvl w:val="0"/>
          <w:numId w:val="17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193FB6">
        <w:rPr>
          <w:rFonts w:ascii="Franklin Gothic Book" w:hAnsi="Franklin Gothic Book" w:cs="Tahoma"/>
          <w:sz w:val="24"/>
          <w:szCs w:val="24"/>
        </w:rPr>
        <w:t>The 2022 update designates 364 of the region’s 1,330 Census</w:t>
      </w:r>
    </w:p>
    <w:p w14:paraId="5929F751" w14:textId="77777777" w:rsidR="00193FB6" w:rsidRPr="00193FB6" w:rsidRDefault="00193FB6" w:rsidP="00193FB6">
      <w:pPr>
        <w:pStyle w:val="ListParagraph"/>
        <w:numPr>
          <w:ilvl w:val="0"/>
          <w:numId w:val="17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193FB6">
        <w:rPr>
          <w:rFonts w:ascii="Franklin Gothic Book" w:hAnsi="Franklin Gothic Book" w:cs="Tahoma"/>
          <w:sz w:val="24"/>
          <w:szCs w:val="24"/>
        </w:rPr>
        <w:t>tracts as EEA</w:t>
      </w:r>
    </w:p>
    <w:p w14:paraId="73598895" w14:textId="77777777" w:rsidR="00193FB6" w:rsidRPr="00193FB6" w:rsidRDefault="00193FB6" w:rsidP="00193FB6">
      <w:pPr>
        <w:pStyle w:val="ListParagraph"/>
        <w:numPr>
          <w:ilvl w:val="0"/>
          <w:numId w:val="17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193FB6">
        <w:rPr>
          <w:rFonts w:ascii="Franklin Gothic Book" w:hAnsi="Franklin Gothic Book" w:cs="Tahoma"/>
          <w:sz w:val="24"/>
          <w:szCs w:val="24"/>
        </w:rPr>
        <w:t>Number of tracts designated EEA increased (+4%): 351 to 364</w:t>
      </w:r>
    </w:p>
    <w:p w14:paraId="55FB9324" w14:textId="77777777" w:rsidR="00193FB6" w:rsidRPr="00193FB6" w:rsidRDefault="00193FB6" w:rsidP="00193FB6">
      <w:pPr>
        <w:pStyle w:val="ListParagraph"/>
        <w:numPr>
          <w:ilvl w:val="0"/>
          <w:numId w:val="17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193FB6">
        <w:rPr>
          <w:rFonts w:ascii="Franklin Gothic Book" w:hAnsi="Franklin Gothic Book" w:cs="Tahoma"/>
          <w:sz w:val="24"/>
          <w:szCs w:val="24"/>
        </w:rPr>
        <w:t>Represents 27% of all tracts in the region</w:t>
      </w:r>
    </w:p>
    <w:p w14:paraId="2F48BF05" w14:textId="77777777" w:rsidR="00193FB6" w:rsidRPr="00193FB6" w:rsidRDefault="00193FB6" w:rsidP="00193FB6">
      <w:pPr>
        <w:pStyle w:val="ListParagraph"/>
        <w:numPr>
          <w:ilvl w:val="0"/>
          <w:numId w:val="17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193FB6">
        <w:rPr>
          <w:rFonts w:ascii="Franklin Gothic Book" w:hAnsi="Franklin Gothic Book" w:cs="Tahoma"/>
          <w:sz w:val="24"/>
          <w:szCs w:val="24"/>
        </w:rPr>
        <w:t>near the 29% from 2018</w:t>
      </w:r>
    </w:p>
    <w:p w14:paraId="19C6051F" w14:textId="7F12F829" w:rsidR="00193FB6" w:rsidRPr="00193FB6" w:rsidRDefault="00193FB6" w:rsidP="00193FB6">
      <w:pPr>
        <w:pStyle w:val="ListParagraph"/>
        <w:numPr>
          <w:ilvl w:val="0"/>
          <w:numId w:val="17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193FB6">
        <w:rPr>
          <w:rFonts w:ascii="Franklin Gothic Book" w:hAnsi="Franklin Gothic Book" w:cs="Tahoma"/>
          <w:sz w:val="24"/>
          <w:szCs w:val="24"/>
        </w:rPr>
        <w:t>Total number of census tracts in the region increased (+9%):</w:t>
      </w:r>
      <w:r w:rsidRPr="00193FB6">
        <w:rPr>
          <w:rFonts w:ascii="Franklin Gothic Book" w:hAnsi="Franklin Gothic Book" w:cs="Tahoma"/>
          <w:sz w:val="24"/>
          <w:szCs w:val="24"/>
        </w:rPr>
        <w:t xml:space="preserve"> </w:t>
      </w:r>
      <w:r w:rsidRPr="00193FB6">
        <w:rPr>
          <w:rFonts w:ascii="Franklin Gothic Book" w:hAnsi="Franklin Gothic Book" w:cs="Tahoma"/>
          <w:sz w:val="24"/>
          <w:szCs w:val="24"/>
        </w:rPr>
        <w:t>1,222 to 1,330</w:t>
      </w:r>
    </w:p>
    <w:p w14:paraId="57F89FF0" w14:textId="0255E740" w:rsidR="00193FB6" w:rsidRPr="00193FB6" w:rsidRDefault="00193FB6" w:rsidP="00193FB6">
      <w:pPr>
        <w:pStyle w:val="ListParagraph"/>
        <w:numPr>
          <w:ilvl w:val="0"/>
          <w:numId w:val="17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193FB6">
        <w:rPr>
          <w:rFonts w:ascii="Franklin Gothic Book" w:hAnsi="Franklin Gothic Book" w:cs="Tahoma"/>
          <w:sz w:val="24"/>
          <w:szCs w:val="24"/>
        </w:rPr>
        <w:t>No significant change in overall pattern of distribution of EEAs in</w:t>
      </w:r>
      <w:r w:rsidRPr="00193FB6">
        <w:rPr>
          <w:rFonts w:ascii="Franklin Gothic Book" w:hAnsi="Franklin Gothic Book" w:cs="Tahoma"/>
          <w:sz w:val="24"/>
          <w:szCs w:val="24"/>
        </w:rPr>
        <w:t xml:space="preserve"> </w:t>
      </w:r>
      <w:r w:rsidRPr="00193FB6">
        <w:rPr>
          <w:rFonts w:ascii="Franklin Gothic Book" w:hAnsi="Franklin Gothic Book" w:cs="Tahoma"/>
          <w:sz w:val="24"/>
          <w:szCs w:val="24"/>
        </w:rPr>
        <w:t>the region</w:t>
      </w:r>
    </w:p>
    <w:p w14:paraId="3B0626C3" w14:textId="59861CE6" w:rsidR="00CF4EFA" w:rsidRPr="00193FB6" w:rsidRDefault="00193FB6" w:rsidP="00193FB6">
      <w:pPr>
        <w:pStyle w:val="ListParagraph"/>
        <w:numPr>
          <w:ilvl w:val="0"/>
          <w:numId w:val="17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193FB6">
        <w:rPr>
          <w:rFonts w:ascii="Franklin Gothic Book" w:hAnsi="Franklin Gothic Book" w:cs="Tahoma"/>
          <w:sz w:val="24"/>
          <w:szCs w:val="24"/>
        </w:rPr>
        <w:t>No significant change in the overall composition of population</w:t>
      </w:r>
      <w:r w:rsidRPr="00193FB6">
        <w:rPr>
          <w:rFonts w:ascii="Franklin Gothic Book" w:hAnsi="Franklin Gothic Book" w:cs="Tahoma"/>
          <w:sz w:val="24"/>
          <w:szCs w:val="24"/>
        </w:rPr>
        <w:t xml:space="preserve"> </w:t>
      </w:r>
      <w:r w:rsidRPr="00193FB6">
        <w:rPr>
          <w:rFonts w:ascii="Franklin Gothic Book" w:hAnsi="Franklin Gothic Book" w:cs="Tahoma"/>
          <w:sz w:val="24"/>
          <w:szCs w:val="24"/>
        </w:rPr>
        <w:t>groups within the EEAs</w:t>
      </w:r>
    </w:p>
    <w:p w14:paraId="2C04B212" w14:textId="33BE6865" w:rsidR="00351132" w:rsidRDefault="00351132" w:rsidP="00E5309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2AB7ABE1" w14:textId="77777777" w:rsidR="00B303F0" w:rsidRDefault="00B303F0" w:rsidP="00E5309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6044E9C6" w14:textId="759EE99D" w:rsidR="00CF4EFA" w:rsidRDefault="00DF0DDF" w:rsidP="00193FB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753BEF">
        <w:rPr>
          <w:rFonts w:ascii="Franklin Gothic Book" w:hAnsi="Franklin Gothic Book" w:cs="Tahoma"/>
          <w:sz w:val="24"/>
          <w:szCs w:val="24"/>
        </w:rPr>
        <w:t xml:space="preserve">Slide </w:t>
      </w:r>
      <w:r w:rsidR="00DB26E9">
        <w:rPr>
          <w:rFonts w:ascii="Franklin Gothic Book" w:hAnsi="Franklin Gothic Book" w:cs="Tahoma"/>
          <w:sz w:val="24"/>
          <w:szCs w:val="24"/>
        </w:rPr>
        <w:t>5</w:t>
      </w:r>
      <w:r w:rsidR="00894FB4">
        <w:rPr>
          <w:rFonts w:ascii="Franklin Gothic Book" w:hAnsi="Franklin Gothic Book" w:cs="Tahoma"/>
          <w:sz w:val="24"/>
          <w:szCs w:val="24"/>
        </w:rPr>
        <w:t xml:space="preserve">: </w:t>
      </w:r>
      <w:bookmarkEnd w:id="0"/>
      <w:r w:rsidR="00193FB6" w:rsidRPr="00193FB6">
        <w:rPr>
          <w:rFonts w:ascii="Franklin Gothic Book" w:hAnsi="Franklin Gothic Book" w:cs="Tahoma"/>
          <w:sz w:val="24"/>
          <w:szCs w:val="24"/>
        </w:rPr>
        <w:t>Equity Emphasis Areas</w:t>
      </w:r>
      <w:r w:rsidR="00193FB6">
        <w:rPr>
          <w:rFonts w:ascii="Franklin Gothic Book" w:hAnsi="Franklin Gothic Book" w:cs="Tahoma"/>
          <w:sz w:val="24"/>
          <w:szCs w:val="24"/>
        </w:rPr>
        <w:t xml:space="preserve"> - </w:t>
      </w:r>
      <w:r w:rsidR="00193FB6" w:rsidRPr="00193FB6">
        <w:rPr>
          <w:rFonts w:ascii="Franklin Gothic Book" w:hAnsi="Franklin Gothic Book" w:cs="Tahoma"/>
          <w:sz w:val="24"/>
          <w:szCs w:val="24"/>
        </w:rPr>
        <w:t>Updated Overview Map</w:t>
      </w:r>
    </w:p>
    <w:p w14:paraId="2089112E" w14:textId="77777777" w:rsidR="00CF4EFA" w:rsidRDefault="00CF4EFA" w:rsidP="00457E9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3D0FE125" w14:textId="3732D413" w:rsidR="00193FB6" w:rsidRPr="00193FB6" w:rsidRDefault="00193FB6" w:rsidP="00193FB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193FB6">
        <w:rPr>
          <w:rFonts w:ascii="Franklin Gothic Book" w:hAnsi="Franklin Gothic Book" w:cs="Tahoma"/>
          <w:sz w:val="24"/>
          <w:szCs w:val="24"/>
        </w:rPr>
        <w:t>Spatial distribution patterns</w:t>
      </w:r>
      <w:r>
        <w:rPr>
          <w:rFonts w:ascii="Franklin Gothic Book" w:hAnsi="Franklin Gothic Book" w:cs="Tahoma"/>
          <w:sz w:val="24"/>
          <w:szCs w:val="24"/>
        </w:rPr>
        <w:t xml:space="preserve"> </w:t>
      </w:r>
      <w:proofErr w:type="gramStart"/>
      <w:r w:rsidRPr="00193FB6">
        <w:rPr>
          <w:rFonts w:ascii="Franklin Gothic Book" w:hAnsi="Franklin Gothic Book" w:cs="Tahoma"/>
          <w:sz w:val="24"/>
          <w:szCs w:val="24"/>
        </w:rPr>
        <w:t>similar to</w:t>
      </w:r>
      <w:proofErr w:type="gramEnd"/>
      <w:r w:rsidRPr="00193FB6">
        <w:rPr>
          <w:rFonts w:ascii="Franklin Gothic Book" w:hAnsi="Franklin Gothic Book" w:cs="Tahoma"/>
          <w:sz w:val="24"/>
          <w:szCs w:val="24"/>
        </w:rPr>
        <w:t xml:space="preserve"> 2018 designations</w:t>
      </w:r>
    </w:p>
    <w:p w14:paraId="3298B584" w14:textId="77777777" w:rsidR="00193FB6" w:rsidRPr="00193FB6" w:rsidRDefault="00193FB6" w:rsidP="00193FB6">
      <w:pPr>
        <w:pStyle w:val="ListParagraph"/>
        <w:numPr>
          <w:ilvl w:val="0"/>
          <w:numId w:val="18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193FB6">
        <w:rPr>
          <w:rFonts w:ascii="Franklin Gothic Book" w:hAnsi="Franklin Gothic Book" w:cs="Tahoma"/>
          <w:sz w:val="24"/>
          <w:szCs w:val="24"/>
        </w:rPr>
        <w:t>East West Divide</w:t>
      </w:r>
    </w:p>
    <w:p w14:paraId="751A2612" w14:textId="51DEFD41" w:rsidR="00193FB6" w:rsidRPr="00193FB6" w:rsidRDefault="00193FB6" w:rsidP="00193FB6">
      <w:pPr>
        <w:pStyle w:val="ListParagraph"/>
        <w:numPr>
          <w:ilvl w:val="0"/>
          <w:numId w:val="18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193FB6">
        <w:rPr>
          <w:rFonts w:ascii="Franklin Gothic Book" w:hAnsi="Franklin Gothic Book" w:cs="Tahoma"/>
          <w:sz w:val="24"/>
          <w:szCs w:val="24"/>
        </w:rPr>
        <w:t>Inner Suburban and Outer</w:t>
      </w:r>
      <w:r w:rsidRPr="00193FB6">
        <w:rPr>
          <w:rFonts w:ascii="Franklin Gothic Book" w:hAnsi="Franklin Gothic Book" w:cs="Tahoma"/>
          <w:sz w:val="24"/>
          <w:szCs w:val="24"/>
        </w:rPr>
        <w:t xml:space="preserve"> </w:t>
      </w:r>
      <w:r w:rsidRPr="00193FB6">
        <w:rPr>
          <w:rFonts w:ascii="Franklin Gothic Book" w:hAnsi="Franklin Gothic Book" w:cs="Tahoma"/>
          <w:sz w:val="24"/>
          <w:szCs w:val="24"/>
        </w:rPr>
        <w:t>Suburban clusters</w:t>
      </w:r>
    </w:p>
    <w:p w14:paraId="084309D0" w14:textId="428FAB6F" w:rsidR="00351132" w:rsidRPr="00193FB6" w:rsidRDefault="00193FB6" w:rsidP="00193FB6">
      <w:pPr>
        <w:pStyle w:val="ListParagraph"/>
        <w:numPr>
          <w:ilvl w:val="0"/>
          <w:numId w:val="18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193FB6">
        <w:rPr>
          <w:rFonts w:ascii="Franklin Gothic Book" w:hAnsi="Franklin Gothic Book" w:cs="Tahoma"/>
          <w:sz w:val="24"/>
          <w:szCs w:val="24"/>
        </w:rPr>
        <w:t>Handful of large tracts in</w:t>
      </w:r>
      <w:r w:rsidRPr="00193FB6">
        <w:rPr>
          <w:rFonts w:ascii="Franklin Gothic Book" w:hAnsi="Franklin Gothic Book" w:cs="Tahoma"/>
          <w:sz w:val="24"/>
          <w:szCs w:val="24"/>
        </w:rPr>
        <w:t xml:space="preserve"> </w:t>
      </w:r>
      <w:r w:rsidRPr="00193FB6">
        <w:rPr>
          <w:rFonts w:ascii="Franklin Gothic Book" w:hAnsi="Franklin Gothic Book" w:cs="Tahoma"/>
          <w:sz w:val="24"/>
          <w:szCs w:val="24"/>
        </w:rPr>
        <w:t>Outer Suburban areas</w:t>
      </w:r>
      <w:r w:rsidRPr="00193FB6">
        <w:rPr>
          <w:rFonts w:ascii="Franklin Gothic Book" w:hAnsi="Franklin Gothic Book" w:cs="Tahoma"/>
          <w:sz w:val="24"/>
          <w:szCs w:val="24"/>
        </w:rPr>
        <w:t xml:space="preserve"> </w:t>
      </w:r>
      <w:r w:rsidRPr="00193FB6">
        <w:rPr>
          <w:rFonts w:ascii="Franklin Gothic Book" w:hAnsi="Franklin Gothic Book" w:cs="Tahoma"/>
          <w:sz w:val="24"/>
          <w:szCs w:val="24"/>
        </w:rPr>
        <w:t>artifact of methodology</w:t>
      </w:r>
      <w:r w:rsidRPr="00193FB6">
        <w:rPr>
          <w:rFonts w:ascii="Franklin Gothic Book" w:hAnsi="Franklin Gothic Book" w:cs="Tahoma"/>
          <w:sz w:val="24"/>
          <w:szCs w:val="24"/>
        </w:rPr>
        <w:t xml:space="preserve"> </w:t>
      </w:r>
      <w:r w:rsidRPr="00193FB6">
        <w:rPr>
          <w:rFonts w:ascii="Franklin Gothic Book" w:hAnsi="Franklin Gothic Book" w:cs="Tahoma"/>
          <w:sz w:val="24"/>
          <w:szCs w:val="24"/>
        </w:rPr>
        <w:t xml:space="preserve">(sampling </w:t>
      </w:r>
      <w:r w:rsidRPr="00193FB6">
        <w:rPr>
          <w:rFonts w:ascii="Franklin Gothic Book" w:hAnsi="Franklin Gothic Book" w:cs="Tahoma"/>
          <w:sz w:val="24"/>
          <w:szCs w:val="24"/>
        </w:rPr>
        <w:t xml:space="preserve"> r</w:t>
      </w:r>
      <w:r w:rsidRPr="00193FB6">
        <w:rPr>
          <w:rFonts w:ascii="Franklin Gothic Book" w:hAnsi="Franklin Gothic Book" w:cs="Tahoma"/>
          <w:sz w:val="24"/>
          <w:szCs w:val="24"/>
        </w:rPr>
        <w:t>equirements for</w:t>
      </w:r>
      <w:r w:rsidRPr="00193FB6">
        <w:rPr>
          <w:rFonts w:ascii="Franklin Gothic Book" w:hAnsi="Franklin Gothic Book" w:cs="Tahoma"/>
          <w:sz w:val="24"/>
          <w:szCs w:val="24"/>
        </w:rPr>
        <w:t xml:space="preserve"> </w:t>
      </w:r>
      <w:r w:rsidRPr="00193FB6">
        <w:rPr>
          <w:rFonts w:ascii="Franklin Gothic Book" w:hAnsi="Franklin Gothic Book" w:cs="Tahoma"/>
          <w:sz w:val="24"/>
          <w:szCs w:val="24"/>
        </w:rPr>
        <w:t>statistically significant data)</w:t>
      </w:r>
    </w:p>
    <w:p w14:paraId="35380840" w14:textId="14BF3780" w:rsidR="00351132" w:rsidRDefault="00351132" w:rsidP="00351132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06C0F688" w14:textId="77777777" w:rsidR="00B303F0" w:rsidRDefault="00B303F0" w:rsidP="00351132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730C77F9" w14:textId="5A1D5569" w:rsidR="00CF4EFA" w:rsidRDefault="00457E9D" w:rsidP="00193FB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 xml:space="preserve">Slide </w:t>
      </w:r>
      <w:r w:rsidR="000F16D8">
        <w:rPr>
          <w:rFonts w:ascii="Franklin Gothic Book" w:hAnsi="Franklin Gothic Book" w:cs="Tahoma"/>
          <w:sz w:val="24"/>
          <w:szCs w:val="24"/>
        </w:rPr>
        <w:t>6</w:t>
      </w:r>
      <w:r>
        <w:rPr>
          <w:rFonts w:ascii="Franklin Gothic Book" w:hAnsi="Franklin Gothic Book" w:cs="Tahoma"/>
          <w:sz w:val="24"/>
          <w:szCs w:val="24"/>
        </w:rPr>
        <w:t xml:space="preserve">: </w:t>
      </w:r>
      <w:r w:rsidR="00193FB6" w:rsidRPr="00193FB6">
        <w:rPr>
          <w:rFonts w:ascii="Franklin Gothic Book" w:hAnsi="Franklin Gothic Book" w:cs="Tahoma"/>
          <w:sz w:val="24"/>
          <w:szCs w:val="24"/>
        </w:rPr>
        <w:t>Why the 2022 Update?</w:t>
      </w:r>
    </w:p>
    <w:p w14:paraId="2EE28E53" w14:textId="77777777" w:rsidR="00193FB6" w:rsidRPr="00193FB6" w:rsidRDefault="00193FB6" w:rsidP="00193FB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004AAA19" w14:textId="1F419D03" w:rsidR="00193FB6" w:rsidRPr="00193FB6" w:rsidRDefault="00193FB6" w:rsidP="00711544">
      <w:pPr>
        <w:pStyle w:val="ListParagraph"/>
        <w:numPr>
          <w:ilvl w:val="0"/>
          <w:numId w:val="4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193FB6">
        <w:rPr>
          <w:rFonts w:ascii="Franklin Gothic Book" w:hAnsi="Franklin Gothic Book" w:cs="Tahoma"/>
          <w:sz w:val="24"/>
          <w:szCs w:val="24"/>
        </w:rPr>
        <w:t>TPB’s analysis is part of federal Environmental Justice (EJ)</w:t>
      </w:r>
      <w:r w:rsidRPr="00193FB6">
        <w:rPr>
          <w:rFonts w:ascii="Franklin Gothic Book" w:hAnsi="Franklin Gothic Book" w:cs="Tahoma"/>
          <w:sz w:val="24"/>
          <w:szCs w:val="24"/>
        </w:rPr>
        <w:t xml:space="preserve"> </w:t>
      </w:r>
      <w:r w:rsidRPr="00193FB6">
        <w:rPr>
          <w:rFonts w:ascii="Franklin Gothic Book" w:hAnsi="Franklin Gothic Book" w:cs="Tahoma"/>
          <w:sz w:val="24"/>
          <w:szCs w:val="24"/>
        </w:rPr>
        <w:t xml:space="preserve">requirements of its </w:t>
      </w:r>
      <w:r w:rsidRPr="00193FB6">
        <w:rPr>
          <w:rFonts w:ascii="Franklin Gothic Book" w:hAnsi="Franklin Gothic Book" w:cs="Tahoma"/>
          <w:sz w:val="24"/>
          <w:szCs w:val="24"/>
        </w:rPr>
        <w:t>Long-Range</w:t>
      </w:r>
      <w:r w:rsidRPr="00193FB6">
        <w:rPr>
          <w:rFonts w:ascii="Franklin Gothic Book" w:hAnsi="Franklin Gothic Book" w:cs="Tahoma"/>
          <w:sz w:val="24"/>
          <w:szCs w:val="24"/>
        </w:rPr>
        <w:t xml:space="preserve"> Transportation Plan (LRTP)</w:t>
      </w:r>
    </w:p>
    <w:p w14:paraId="10294F23" w14:textId="77777777" w:rsidR="00193FB6" w:rsidRPr="00193FB6" w:rsidRDefault="00193FB6" w:rsidP="00193FB6">
      <w:pPr>
        <w:pStyle w:val="ListParagraph"/>
        <w:numPr>
          <w:ilvl w:val="1"/>
          <w:numId w:val="4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193FB6">
        <w:rPr>
          <w:rFonts w:ascii="Franklin Gothic Book" w:hAnsi="Franklin Gothic Book" w:cs="Tahoma"/>
          <w:sz w:val="24"/>
          <w:szCs w:val="24"/>
        </w:rPr>
        <w:t>Analysis conducted with every major update</w:t>
      </w:r>
    </w:p>
    <w:p w14:paraId="65154B9C" w14:textId="3913FA6F" w:rsidR="00193FB6" w:rsidRPr="00193FB6" w:rsidRDefault="00193FB6" w:rsidP="00193FB6">
      <w:pPr>
        <w:pStyle w:val="ListParagraph"/>
        <w:numPr>
          <w:ilvl w:val="1"/>
          <w:numId w:val="4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193FB6">
        <w:rPr>
          <w:rFonts w:ascii="Franklin Gothic Book" w:hAnsi="Franklin Gothic Book" w:cs="Tahoma"/>
          <w:sz w:val="24"/>
          <w:szCs w:val="24"/>
        </w:rPr>
        <w:t>On June 15, 2022, TPB adopted an update to its 2018</w:t>
      </w:r>
      <w:r>
        <w:rPr>
          <w:rFonts w:ascii="Franklin Gothic Book" w:hAnsi="Franklin Gothic Book" w:cs="Tahoma"/>
          <w:sz w:val="24"/>
          <w:szCs w:val="24"/>
        </w:rPr>
        <w:t xml:space="preserve"> </w:t>
      </w:r>
      <w:r w:rsidRPr="00193FB6">
        <w:rPr>
          <w:rFonts w:ascii="Franklin Gothic Book" w:hAnsi="Franklin Gothic Book" w:cs="Tahoma"/>
          <w:sz w:val="24"/>
          <w:szCs w:val="24"/>
        </w:rPr>
        <w:t>LRTP (Visualize 2045)</w:t>
      </w:r>
    </w:p>
    <w:p w14:paraId="50C7AE04" w14:textId="32F53B2B" w:rsidR="00193FB6" w:rsidRPr="00193FB6" w:rsidRDefault="00193FB6" w:rsidP="00193FB6">
      <w:pPr>
        <w:pStyle w:val="ListParagraph"/>
        <w:numPr>
          <w:ilvl w:val="1"/>
          <w:numId w:val="4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193FB6">
        <w:rPr>
          <w:rFonts w:ascii="Franklin Gothic Book" w:hAnsi="Franklin Gothic Book" w:cs="Tahoma"/>
          <w:sz w:val="24"/>
          <w:szCs w:val="24"/>
        </w:rPr>
        <w:t>Staff has begun an update of the 2018 EJ analysis using</w:t>
      </w:r>
      <w:r>
        <w:rPr>
          <w:rFonts w:ascii="Franklin Gothic Book" w:hAnsi="Franklin Gothic Book" w:cs="Tahoma"/>
          <w:sz w:val="24"/>
          <w:szCs w:val="24"/>
        </w:rPr>
        <w:t xml:space="preserve"> </w:t>
      </w:r>
      <w:r w:rsidRPr="00193FB6">
        <w:rPr>
          <w:rFonts w:ascii="Franklin Gothic Book" w:hAnsi="Franklin Gothic Book" w:cs="Tahoma"/>
          <w:sz w:val="24"/>
          <w:szCs w:val="24"/>
        </w:rPr>
        <w:t>the 2022 edition of Visualize 2045</w:t>
      </w:r>
    </w:p>
    <w:p w14:paraId="1B239669" w14:textId="027C187E" w:rsidR="00CF4EFA" w:rsidRPr="00193FB6" w:rsidRDefault="00193FB6" w:rsidP="00193FB6">
      <w:pPr>
        <w:pStyle w:val="ListParagraph"/>
        <w:numPr>
          <w:ilvl w:val="1"/>
          <w:numId w:val="4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193FB6">
        <w:rPr>
          <w:rFonts w:ascii="Franklin Gothic Book" w:hAnsi="Franklin Gothic Book" w:cs="Tahoma"/>
          <w:sz w:val="24"/>
          <w:szCs w:val="24"/>
        </w:rPr>
        <w:t>Part 1 is the EEA designation of the census tracts within</w:t>
      </w:r>
      <w:r>
        <w:rPr>
          <w:rFonts w:ascii="Franklin Gothic Book" w:hAnsi="Franklin Gothic Book" w:cs="Tahoma"/>
          <w:sz w:val="24"/>
          <w:szCs w:val="24"/>
        </w:rPr>
        <w:t xml:space="preserve"> </w:t>
      </w:r>
      <w:r w:rsidRPr="00193FB6">
        <w:rPr>
          <w:rFonts w:ascii="Franklin Gothic Book" w:hAnsi="Franklin Gothic Book" w:cs="Tahoma"/>
          <w:sz w:val="24"/>
          <w:szCs w:val="24"/>
        </w:rPr>
        <w:t>the TPB’s planning area</w:t>
      </w:r>
    </w:p>
    <w:p w14:paraId="03454B07" w14:textId="71C76EB6" w:rsidR="00351132" w:rsidRDefault="00351132" w:rsidP="00351132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0AEF2DDD" w14:textId="77777777" w:rsidR="00B303F0" w:rsidRDefault="00B303F0" w:rsidP="00351132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1DC981C0" w14:textId="76DE6A0C" w:rsidR="00CF4EFA" w:rsidRDefault="000F16D8" w:rsidP="00E5309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 xml:space="preserve">Slide 7: </w:t>
      </w:r>
      <w:r w:rsidR="00193FB6" w:rsidRPr="00193FB6">
        <w:rPr>
          <w:rFonts w:ascii="Franklin Gothic Book" w:hAnsi="Franklin Gothic Book" w:cs="Tahoma"/>
          <w:sz w:val="24"/>
          <w:szCs w:val="24"/>
        </w:rPr>
        <w:t>What inputs are being updated?</w:t>
      </w:r>
    </w:p>
    <w:p w14:paraId="4228C571" w14:textId="312B6A9A" w:rsidR="00CF4EFA" w:rsidRDefault="00CF4EFA" w:rsidP="00E5309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1459EC41" w14:textId="77777777" w:rsidR="00193FB6" w:rsidRPr="00193FB6" w:rsidRDefault="00193FB6" w:rsidP="00193FB6">
      <w:pPr>
        <w:pStyle w:val="ListParagraph"/>
        <w:numPr>
          <w:ilvl w:val="0"/>
          <w:numId w:val="4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193FB6">
        <w:rPr>
          <w:rFonts w:ascii="Franklin Gothic Book" w:hAnsi="Franklin Gothic Book" w:cs="Tahoma"/>
          <w:sz w:val="24"/>
          <w:szCs w:val="24"/>
        </w:rPr>
        <w:t>In Phase 1: Equity Emphasis Areas</w:t>
      </w:r>
    </w:p>
    <w:p w14:paraId="0D2618C2" w14:textId="08D93F47" w:rsidR="00193FB6" w:rsidRPr="00193FB6" w:rsidRDefault="00193FB6" w:rsidP="00193FB6">
      <w:pPr>
        <w:pStyle w:val="ListParagraph"/>
        <w:numPr>
          <w:ilvl w:val="1"/>
          <w:numId w:val="4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193FB6">
        <w:rPr>
          <w:rFonts w:ascii="Franklin Gothic Book" w:hAnsi="Franklin Gothic Book" w:cs="Tahoma"/>
          <w:sz w:val="24"/>
          <w:szCs w:val="24"/>
        </w:rPr>
        <w:t>The number and boundaries of census tracts within the</w:t>
      </w:r>
      <w:r w:rsidRPr="00193FB6">
        <w:rPr>
          <w:rFonts w:ascii="Franklin Gothic Book" w:hAnsi="Franklin Gothic Book" w:cs="Tahoma"/>
          <w:sz w:val="24"/>
          <w:szCs w:val="24"/>
        </w:rPr>
        <w:t xml:space="preserve"> </w:t>
      </w:r>
      <w:r w:rsidRPr="00193FB6">
        <w:rPr>
          <w:rFonts w:ascii="Franklin Gothic Book" w:hAnsi="Franklin Gothic Book" w:cs="Tahoma"/>
          <w:sz w:val="24"/>
          <w:szCs w:val="24"/>
        </w:rPr>
        <w:t>planning area (update from 2020 US Census data)</w:t>
      </w:r>
    </w:p>
    <w:p w14:paraId="5799B979" w14:textId="5375C62A" w:rsidR="00193FB6" w:rsidRPr="00193FB6" w:rsidRDefault="00193FB6" w:rsidP="00193FB6">
      <w:pPr>
        <w:pStyle w:val="ListParagraph"/>
        <w:numPr>
          <w:ilvl w:val="1"/>
          <w:numId w:val="4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193FB6">
        <w:rPr>
          <w:rFonts w:ascii="Franklin Gothic Book" w:hAnsi="Franklin Gothic Book" w:cs="Tahoma"/>
          <w:sz w:val="24"/>
          <w:szCs w:val="24"/>
        </w:rPr>
        <w:t>The demographics of the population within each census tract</w:t>
      </w:r>
      <w:r w:rsidRPr="00193FB6">
        <w:rPr>
          <w:rFonts w:ascii="Franklin Gothic Book" w:hAnsi="Franklin Gothic Book" w:cs="Tahoma"/>
          <w:sz w:val="24"/>
          <w:szCs w:val="24"/>
        </w:rPr>
        <w:t xml:space="preserve"> </w:t>
      </w:r>
      <w:r w:rsidRPr="00193FB6">
        <w:rPr>
          <w:rFonts w:ascii="Franklin Gothic Book" w:hAnsi="Franklin Gothic Book" w:cs="Tahoma"/>
          <w:sz w:val="24"/>
          <w:szCs w:val="24"/>
        </w:rPr>
        <w:t>(American Community Survey data for 2016 2020 period)</w:t>
      </w:r>
    </w:p>
    <w:p w14:paraId="5EC16811" w14:textId="77777777" w:rsidR="00193FB6" w:rsidRPr="00193FB6" w:rsidRDefault="00193FB6" w:rsidP="00193FB6">
      <w:pPr>
        <w:pStyle w:val="ListParagraph"/>
        <w:numPr>
          <w:ilvl w:val="0"/>
          <w:numId w:val="4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193FB6">
        <w:rPr>
          <w:rFonts w:ascii="Franklin Gothic Book" w:hAnsi="Franklin Gothic Book" w:cs="Tahoma"/>
          <w:sz w:val="24"/>
          <w:szCs w:val="24"/>
        </w:rPr>
        <w:t>In Phase 2: Environmental Justice analysis</w:t>
      </w:r>
    </w:p>
    <w:p w14:paraId="52F4483D" w14:textId="2432EBFB" w:rsidR="00193FB6" w:rsidRPr="00193FB6" w:rsidRDefault="00193FB6" w:rsidP="00193FB6">
      <w:pPr>
        <w:pStyle w:val="ListParagraph"/>
        <w:numPr>
          <w:ilvl w:val="1"/>
          <w:numId w:val="4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193FB6">
        <w:rPr>
          <w:rFonts w:ascii="Franklin Gothic Book" w:hAnsi="Franklin Gothic Book" w:cs="Tahoma"/>
          <w:sz w:val="24"/>
          <w:szCs w:val="24"/>
        </w:rPr>
        <w:t>The above information will be used with updated</w:t>
      </w:r>
      <w:r w:rsidRPr="00193FB6">
        <w:rPr>
          <w:rFonts w:ascii="Franklin Gothic Book" w:hAnsi="Franklin Gothic Book" w:cs="Tahoma"/>
          <w:sz w:val="24"/>
          <w:szCs w:val="24"/>
        </w:rPr>
        <w:t xml:space="preserve"> </w:t>
      </w:r>
      <w:r w:rsidRPr="00193FB6">
        <w:rPr>
          <w:rFonts w:ascii="Franklin Gothic Book" w:hAnsi="Franklin Gothic Book" w:cs="Tahoma"/>
          <w:sz w:val="24"/>
          <w:szCs w:val="24"/>
        </w:rPr>
        <w:t>transportation and land use data from the 2022 update of</w:t>
      </w:r>
      <w:r w:rsidRPr="00193FB6">
        <w:rPr>
          <w:rFonts w:ascii="Franklin Gothic Book" w:hAnsi="Franklin Gothic Book" w:cs="Tahoma"/>
          <w:sz w:val="24"/>
          <w:szCs w:val="24"/>
        </w:rPr>
        <w:t xml:space="preserve"> </w:t>
      </w:r>
      <w:r w:rsidRPr="00193FB6">
        <w:rPr>
          <w:rFonts w:ascii="Franklin Gothic Book" w:hAnsi="Franklin Gothic Book" w:cs="Tahoma"/>
          <w:sz w:val="24"/>
          <w:szCs w:val="24"/>
        </w:rPr>
        <w:t>Visualize 2045</w:t>
      </w:r>
    </w:p>
    <w:p w14:paraId="186486AB" w14:textId="6E21F9FC" w:rsidR="00B303F0" w:rsidRPr="00193FB6" w:rsidRDefault="00193FB6" w:rsidP="00193FB6">
      <w:pPr>
        <w:pStyle w:val="ListParagraph"/>
        <w:numPr>
          <w:ilvl w:val="0"/>
          <w:numId w:val="4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193FB6">
        <w:rPr>
          <w:rFonts w:ascii="Franklin Gothic Book" w:hAnsi="Franklin Gothic Book" w:cs="Tahoma"/>
          <w:sz w:val="24"/>
          <w:szCs w:val="24"/>
        </w:rPr>
        <w:t>There are no changes in the methodologies, used to designate EEAs and</w:t>
      </w:r>
      <w:r w:rsidRPr="00193FB6">
        <w:rPr>
          <w:rFonts w:ascii="Franklin Gothic Book" w:hAnsi="Franklin Gothic Book" w:cs="Tahoma"/>
          <w:sz w:val="24"/>
          <w:szCs w:val="24"/>
        </w:rPr>
        <w:t xml:space="preserve"> </w:t>
      </w:r>
      <w:r w:rsidRPr="00193FB6">
        <w:rPr>
          <w:rFonts w:ascii="Franklin Gothic Book" w:hAnsi="Franklin Gothic Book" w:cs="Tahoma"/>
          <w:sz w:val="24"/>
          <w:szCs w:val="24"/>
        </w:rPr>
        <w:t>conduct the EJ analysis of the LRTP, adopted by the TPB in 2017</w:t>
      </w:r>
    </w:p>
    <w:p w14:paraId="67B978EE" w14:textId="100DF313" w:rsidR="00B303F0" w:rsidRDefault="00B303F0" w:rsidP="00E5309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0232CBF7" w14:textId="77777777" w:rsidR="00B303F0" w:rsidRDefault="00B303F0" w:rsidP="00E5309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5BA0102B" w14:textId="4F66E14F" w:rsidR="00CF4EFA" w:rsidRDefault="002521FD" w:rsidP="00457E9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 xml:space="preserve">Slide </w:t>
      </w:r>
      <w:r w:rsidRPr="00457E9D">
        <w:rPr>
          <w:rFonts w:ascii="Franklin Gothic Book" w:hAnsi="Franklin Gothic Book" w:cs="Tahoma"/>
          <w:sz w:val="24"/>
          <w:szCs w:val="24"/>
        </w:rPr>
        <w:t xml:space="preserve">8: </w:t>
      </w:r>
      <w:r w:rsidR="00193FB6" w:rsidRPr="00193FB6">
        <w:rPr>
          <w:rFonts w:ascii="Franklin Gothic Book" w:hAnsi="Franklin Gothic Book" w:cs="Tahoma"/>
          <w:sz w:val="24"/>
          <w:szCs w:val="24"/>
        </w:rPr>
        <w:t>Details of Changes: U.S. Census Tracts</w:t>
      </w:r>
    </w:p>
    <w:p w14:paraId="51CA69E8" w14:textId="5D4DC4D8" w:rsidR="00CF4EFA" w:rsidRDefault="00CF4EFA" w:rsidP="00457E9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32DEE137" w14:textId="77777777" w:rsidR="00193FB6" w:rsidRPr="00193FB6" w:rsidRDefault="00193FB6" w:rsidP="00193FB6">
      <w:pPr>
        <w:pStyle w:val="ListParagraph"/>
        <w:numPr>
          <w:ilvl w:val="0"/>
          <w:numId w:val="19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193FB6">
        <w:rPr>
          <w:rFonts w:ascii="Franklin Gothic Book" w:hAnsi="Franklin Gothic Book" w:cs="Tahoma"/>
          <w:sz w:val="24"/>
          <w:szCs w:val="24"/>
        </w:rPr>
        <w:t>Average tract population 4,000</w:t>
      </w:r>
    </w:p>
    <w:p w14:paraId="5885EA06" w14:textId="7D4B5FAE" w:rsidR="00193FB6" w:rsidRPr="00193FB6" w:rsidRDefault="00193FB6" w:rsidP="00193FB6">
      <w:pPr>
        <w:pStyle w:val="ListParagraph"/>
        <w:numPr>
          <w:ilvl w:val="1"/>
          <w:numId w:val="19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193FB6">
        <w:rPr>
          <w:rFonts w:ascii="Franklin Gothic Book" w:hAnsi="Franklin Gothic Book" w:cs="Tahoma"/>
          <w:sz w:val="24"/>
          <w:szCs w:val="24"/>
        </w:rPr>
        <w:t>Minimum 1,200, Maximum</w:t>
      </w:r>
      <w:r w:rsidRPr="00193FB6">
        <w:rPr>
          <w:rFonts w:ascii="Franklin Gothic Book" w:hAnsi="Franklin Gothic Book" w:cs="Tahoma"/>
          <w:sz w:val="24"/>
          <w:szCs w:val="24"/>
        </w:rPr>
        <w:t xml:space="preserve"> </w:t>
      </w:r>
      <w:r w:rsidRPr="00193FB6">
        <w:rPr>
          <w:rFonts w:ascii="Franklin Gothic Book" w:hAnsi="Franklin Gothic Book" w:cs="Tahoma"/>
          <w:sz w:val="24"/>
          <w:szCs w:val="24"/>
        </w:rPr>
        <w:t>8,000</w:t>
      </w:r>
    </w:p>
    <w:p w14:paraId="5CFC0AF8" w14:textId="4A2FCDB3" w:rsidR="00193FB6" w:rsidRPr="00193FB6" w:rsidRDefault="00193FB6" w:rsidP="00193FB6">
      <w:pPr>
        <w:pStyle w:val="ListParagraph"/>
        <w:numPr>
          <w:ilvl w:val="0"/>
          <w:numId w:val="19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193FB6">
        <w:rPr>
          <w:rFonts w:ascii="Franklin Gothic Book" w:hAnsi="Franklin Gothic Book" w:cs="Tahoma"/>
          <w:sz w:val="24"/>
          <w:szCs w:val="24"/>
        </w:rPr>
        <w:t>Updated once every ten years to</w:t>
      </w:r>
      <w:r w:rsidRPr="00193FB6">
        <w:rPr>
          <w:rFonts w:ascii="Franklin Gothic Book" w:hAnsi="Franklin Gothic Book" w:cs="Tahoma"/>
          <w:sz w:val="24"/>
          <w:szCs w:val="24"/>
        </w:rPr>
        <w:t xml:space="preserve"> </w:t>
      </w:r>
      <w:r w:rsidRPr="00193FB6">
        <w:rPr>
          <w:rFonts w:ascii="Franklin Gothic Book" w:hAnsi="Franklin Gothic Book" w:cs="Tahoma"/>
          <w:sz w:val="24"/>
          <w:szCs w:val="24"/>
        </w:rPr>
        <w:t>go along with the decennial</w:t>
      </w:r>
      <w:r w:rsidRPr="00193FB6">
        <w:rPr>
          <w:rFonts w:ascii="Franklin Gothic Book" w:hAnsi="Franklin Gothic Book" w:cs="Tahoma"/>
          <w:sz w:val="24"/>
          <w:szCs w:val="24"/>
        </w:rPr>
        <w:t xml:space="preserve"> </w:t>
      </w:r>
      <w:r w:rsidRPr="00193FB6">
        <w:rPr>
          <w:rFonts w:ascii="Franklin Gothic Book" w:hAnsi="Franklin Gothic Book" w:cs="Tahoma"/>
          <w:sz w:val="24"/>
          <w:szCs w:val="24"/>
        </w:rPr>
        <w:t>Census</w:t>
      </w:r>
    </w:p>
    <w:p w14:paraId="0FF2712F" w14:textId="55B3E7B7" w:rsidR="00193FB6" w:rsidRPr="00193FB6" w:rsidRDefault="00193FB6" w:rsidP="00193FB6">
      <w:pPr>
        <w:pStyle w:val="ListParagraph"/>
        <w:numPr>
          <w:ilvl w:val="0"/>
          <w:numId w:val="19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193FB6">
        <w:rPr>
          <w:rFonts w:ascii="Franklin Gothic Book" w:hAnsi="Franklin Gothic Book" w:cs="Tahoma"/>
          <w:sz w:val="24"/>
          <w:szCs w:val="24"/>
        </w:rPr>
        <w:t>Tract is split when population</w:t>
      </w:r>
      <w:r w:rsidRPr="00193FB6">
        <w:rPr>
          <w:rFonts w:ascii="Franklin Gothic Book" w:hAnsi="Franklin Gothic Book" w:cs="Tahoma"/>
          <w:sz w:val="24"/>
          <w:szCs w:val="24"/>
        </w:rPr>
        <w:t xml:space="preserve"> </w:t>
      </w:r>
      <w:r w:rsidRPr="00193FB6">
        <w:rPr>
          <w:rFonts w:ascii="Franklin Gothic Book" w:hAnsi="Franklin Gothic Book" w:cs="Tahoma"/>
          <w:sz w:val="24"/>
          <w:szCs w:val="24"/>
        </w:rPr>
        <w:t>grows over 8,000 inhabitants</w:t>
      </w:r>
    </w:p>
    <w:p w14:paraId="1A537DCD" w14:textId="46A0E799" w:rsidR="00B303F0" w:rsidRPr="00193FB6" w:rsidRDefault="00193FB6" w:rsidP="00193FB6">
      <w:pPr>
        <w:pStyle w:val="ListParagraph"/>
        <w:numPr>
          <w:ilvl w:val="0"/>
          <w:numId w:val="19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193FB6">
        <w:rPr>
          <w:rFonts w:ascii="Franklin Gothic Book" w:hAnsi="Franklin Gothic Book" w:cs="Tahoma"/>
          <w:sz w:val="24"/>
          <w:szCs w:val="24"/>
        </w:rPr>
        <w:t>Tract is consolidated with an</w:t>
      </w:r>
      <w:r w:rsidRPr="00193FB6">
        <w:rPr>
          <w:rFonts w:ascii="Franklin Gothic Book" w:hAnsi="Franklin Gothic Book" w:cs="Tahoma"/>
          <w:sz w:val="24"/>
          <w:szCs w:val="24"/>
        </w:rPr>
        <w:t xml:space="preserve"> </w:t>
      </w:r>
      <w:r w:rsidRPr="00193FB6">
        <w:rPr>
          <w:rFonts w:ascii="Franklin Gothic Book" w:hAnsi="Franklin Gothic Book" w:cs="Tahoma"/>
          <w:sz w:val="24"/>
          <w:szCs w:val="24"/>
        </w:rPr>
        <w:t>adjoining one when less than</w:t>
      </w:r>
      <w:r w:rsidRPr="00193FB6">
        <w:rPr>
          <w:rFonts w:ascii="Franklin Gothic Book" w:hAnsi="Franklin Gothic Book" w:cs="Tahoma"/>
          <w:sz w:val="24"/>
          <w:szCs w:val="24"/>
        </w:rPr>
        <w:t xml:space="preserve"> </w:t>
      </w:r>
      <w:r w:rsidRPr="00193FB6">
        <w:rPr>
          <w:rFonts w:ascii="Franklin Gothic Book" w:hAnsi="Franklin Gothic Book" w:cs="Tahoma"/>
          <w:sz w:val="24"/>
          <w:szCs w:val="24"/>
        </w:rPr>
        <w:t>1,200 inhabitants</w:t>
      </w:r>
    </w:p>
    <w:p w14:paraId="570F76A1" w14:textId="77777777" w:rsidR="00B303F0" w:rsidRDefault="00B303F0" w:rsidP="00457E9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08CF85A9" w14:textId="77777777" w:rsidR="00457E9D" w:rsidRDefault="00457E9D" w:rsidP="00457E9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36E3585C" w14:textId="1FEAF939" w:rsidR="00782598" w:rsidRDefault="00782598" w:rsidP="00782598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 xml:space="preserve">Slide 9: </w:t>
      </w:r>
      <w:r w:rsidR="00193FB6" w:rsidRPr="00193FB6">
        <w:rPr>
          <w:rFonts w:ascii="Franklin Gothic Book" w:hAnsi="Franklin Gothic Book" w:cs="Tahoma"/>
          <w:sz w:val="24"/>
          <w:szCs w:val="24"/>
        </w:rPr>
        <w:t>Details of changes: Tract Demographics</w:t>
      </w:r>
    </w:p>
    <w:p w14:paraId="24683021" w14:textId="4C0B2BDE" w:rsidR="00CF4EFA" w:rsidRDefault="00CF4EFA" w:rsidP="00782598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58265BB7" w14:textId="36A0AA09" w:rsidR="00193FB6" w:rsidRPr="00193FB6" w:rsidRDefault="00193FB6" w:rsidP="00832907">
      <w:pPr>
        <w:pStyle w:val="ListParagraph"/>
        <w:numPr>
          <w:ilvl w:val="0"/>
          <w:numId w:val="7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193FB6">
        <w:rPr>
          <w:rFonts w:ascii="Franklin Gothic Book" w:hAnsi="Franklin Gothic Book" w:cs="Tahoma"/>
          <w:sz w:val="24"/>
          <w:szCs w:val="24"/>
        </w:rPr>
        <w:t>From 2012 2016 ACS to</w:t>
      </w:r>
      <w:r>
        <w:rPr>
          <w:rFonts w:ascii="Franklin Gothic Book" w:hAnsi="Franklin Gothic Book" w:cs="Tahoma"/>
          <w:sz w:val="24"/>
          <w:szCs w:val="24"/>
        </w:rPr>
        <w:t xml:space="preserve"> </w:t>
      </w:r>
      <w:r w:rsidRPr="00193FB6">
        <w:rPr>
          <w:rFonts w:ascii="Franklin Gothic Book" w:hAnsi="Franklin Gothic Book" w:cs="Tahoma"/>
          <w:sz w:val="24"/>
          <w:szCs w:val="24"/>
        </w:rPr>
        <w:t>2016 2020 ACS data sets</w:t>
      </w:r>
    </w:p>
    <w:p w14:paraId="5D8E5C5B" w14:textId="1029F169" w:rsidR="00193FB6" w:rsidRPr="00193FB6" w:rsidRDefault="00193FB6" w:rsidP="00DA7B2A">
      <w:pPr>
        <w:pStyle w:val="ListParagraph"/>
        <w:numPr>
          <w:ilvl w:val="0"/>
          <w:numId w:val="7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193FB6">
        <w:rPr>
          <w:rFonts w:ascii="Franklin Gothic Book" w:hAnsi="Franklin Gothic Book" w:cs="Tahoma"/>
          <w:sz w:val="24"/>
          <w:szCs w:val="24"/>
        </w:rPr>
        <w:t>Planning area population</w:t>
      </w:r>
      <w:r w:rsidRPr="00193FB6">
        <w:rPr>
          <w:rFonts w:ascii="Franklin Gothic Book" w:hAnsi="Franklin Gothic Book" w:cs="Tahoma"/>
          <w:sz w:val="24"/>
          <w:szCs w:val="24"/>
        </w:rPr>
        <w:t xml:space="preserve"> </w:t>
      </w:r>
      <w:r w:rsidRPr="00193FB6">
        <w:rPr>
          <w:rFonts w:ascii="Franklin Gothic Book" w:hAnsi="Franklin Gothic Book" w:cs="Tahoma"/>
          <w:sz w:val="24"/>
          <w:szCs w:val="24"/>
        </w:rPr>
        <w:t>grew by over 200,000</w:t>
      </w:r>
      <w:r>
        <w:rPr>
          <w:rFonts w:ascii="Franklin Gothic Book" w:hAnsi="Franklin Gothic Book" w:cs="Tahoma"/>
          <w:sz w:val="24"/>
          <w:szCs w:val="24"/>
        </w:rPr>
        <w:t xml:space="preserve"> </w:t>
      </w:r>
      <w:r w:rsidRPr="00193FB6">
        <w:rPr>
          <w:rFonts w:ascii="Franklin Gothic Book" w:hAnsi="Franklin Gothic Book" w:cs="Tahoma"/>
          <w:sz w:val="24"/>
          <w:szCs w:val="24"/>
        </w:rPr>
        <w:t>between these two datasets</w:t>
      </w:r>
    </w:p>
    <w:p w14:paraId="639EC13B" w14:textId="50FA2207" w:rsidR="00CF4EFA" w:rsidRPr="00193FB6" w:rsidRDefault="00193FB6" w:rsidP="00571A74">
      <w:pPr>
        <w:pStyle w:val="ListParagraph"/>
        <w:numPr>
          <w:ilvl w:val="0"/>
          <w:numId w:val="7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193FB6">
        <w:rPr>
          <w:rFonts w:ascii="Franklin Gothic Book" w:hAnsi="Franklin Gothic Book" w:cs="Tahoma"/>
          <w:sz w:val="24"/>
          <w:szCs w:val="24"/>
        </w:rPr>
        <w:t>Regionally, the share of</w:t>
      </w:r>
      <w:r w:rsidRPr="00193FB6">
        <w:rPr>
          <w:rFonts w:ascii="Franklin Gothic Book" w:hAnsi="Franklin Gothic Book" w:cs="Tahoma"/>
          <w:sz w:val="24"/>
          <w:szCs w:val="24"/>
        </w:rPr>
        <w:t xml:space="preserve"> </w:t>
      </w:r>
      <w:r w:rsidRPr="00193FB6">
        <w:rPr>
          <w:rFonts w:ascii="Franklin Gothic Book" w:hAnsi="Franklin Gothic Book" w:cs="Tahoma"/>
          <w:sz w:val="24"/>
          <w:szCs w:val="24"/>
        </w:rPr>
        <w:t>individuals of the historically</w:t>
      </w:r>
      <w:r w:rsidRPr="00193FB6">
        <w:rPr>
          <w:rFonts w:ascii="Franklin Gothic Book" w:hAnsi="Franklin Gothic Book" w:cs="Tahoma"/>
          <w:sz w:val="24"/>
          <w:szCs w:val="24"/>
        </w:rPr>
        <w:t xml:space="preserve"> </w:t>
      </w:r>
      <w:r w:rsidRPr="00193FB6">
        <w:rPr>
          <w:rFonts w:ascii="Franklin Gothic Book" w:hAnsi="Franklin Gothic Book" w:cs="Tahoma"/>
          <w:sz w:val="24"/>
          <w:szCs w:val="24"/>
        </w:rPr>
        <w:t>disadvantaged racial and</w:t>
      </w:r>
      <w:r w:rsidRPr="00193FB6">
        <w:rPr>
          <w:rFonts w:ascii="Franklin Gothic Book" w:hAnsi="Franklin Gothic Book" w:cs="Tahoma"/>
          <w:sz w:val="24"/>
          <w:szCs w:val="24"/>
        </w:rPr>
        <w:t xml:space="preserve"> </w:t>
      </w:r>
      <w:r w:rsidRPr="00193FB6">
        <w:rPr>
          <w:rFonts w:ascii="Franklin Gothic Book" w:hAnsi="Franklin Gothic Book" w:cs="Tahoma"/>
          <w:sz w:val="24"/>
          <w:szCs w:val="24"/>
        </w:rPr>
        <w:t>ethnic population groups or</w:t>
      </w:r>
      <w:r w:rsidRPr="00193FB6">
        <w:rPr>
          <w:rFonts w:ascii="Franklin Gothic Book" w:hAnsi="Franklin Gothic Book" w:cs="Tahoma"/>
          <w:sz w:val="24"/>
          <w:szCs w:val="24"/>
        </w:rPr>
        <w:t xml:space="preserve"> </w:t>
      </w:r>
      <w:r w:rsidRPr="00193FB6">
        <w:rPr>
          <w:rFonts w:ascii="Franklin Gothic Book" w:hAnsi="Franklin Gothic Book" w:cs="Tahoma"/>
          <w:sz w:val="24"/>
          <w:szCs w:val="24"/>
        </w:rPr>
        <w:t>low income remained</w:t>
      </w:r>
      <w:r>
        <w:rPr>
          <w:rFonts w:ascii="Franklin Gothic Book" w:hAnsi="Franklin Gothic Book" w:cs="Tahoma"/>
          <w:sz w:val="24"/>
          <w:szCs w:val="24"/>
        </w:rPr>
        <w:t xml:space="preserve"> </w:t>
      </w:r>
      <w:r w:rsidRPr="00193FB6">
        <w:rPr>
          <w:rFonts w:ascii="Franklin Gothic Book" w:hAnsi="Franklin Gothic Book" w:cs="Tahoma"/>
          <w:sz w:val="24"/>
          <w:szCs w:val="24"/>
        </w:rPr>
        <w:t>relatively constant</w:t>
      </w:r>
    </w:p>
    <w:p w14:paraId="71566531" w14:textId="6B974DB6" w:rsidR="00782598" w:rsidRDefault="00782598" w:rsidP="00EF4312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268D3D39" w14:textId="77777777" w:rsidR="00CF4EFA" w:rsidRDefault="00CF4EFA" w:rsidP="00EF4312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5D266B59" w14:textId="4DC7CD0E" w:rsidR="00AE0B13" w:rsidRDefault="00AE0B13" w:rsidP="00EF4312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Slide 10:</w:t>
      </w:r>
      <w:r w:rsidR="00782598">
        <w:rPr>
          <w:rFonts w:ascii="Franklin Gothic Book" w:hAnsi="Franklin Gothic Book" w:cs="Tahoma"/>
          <w:sz w:val="24"/>
          <w:szCs w:val="24"/>
        </w:rPr>
        <w:t xml:space="preserve"> </w:t>
      </w:r>
      <w:r w:rsidR="00193FB6">
        <w:rPr>
          <w:rFonts w:ascii="Franklin Gothic Book" w:hAnsi="Franklin Gothic Book" w:cs="Tahoma"/>
          <w:sz w:val="24"/>
          <w:szCs w:val="24"/>
        </w:rPr>
        <w:t>Detail of Changes</w:t>
      </w:r>
    </w:p>
    <w:p w14:paraId="6BC23E2D" w14:textId="77777777" w:rsidR="00193FB6" w:rsidRPr="00193FB6" w:rsidRDefault="00193FB6" w:rsidP="00193FB6">
      <w:pPr>
        <w:pStyle w:val="ListParagraph"/>
        <w:numPr>
          <w:ilvl w:val="0"/>
          <w:numId w:val="8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193FB6">
        <w:rPr>
          <w:rFonts w:ascii="Franklin Gothic Book" w:hAnsi="Franklin Gothic Book" w:cs="Tahoma"/>
          <w:sz w:val="24"/>
          <w:szCs w:val="24"/>
        </w:rPr>
        <w:t>Equity Emphasis Areas</w:t>
      </w:r>
    </w:p>
    <w:p w14:paraId="1FDCBFAC" w14:textId="716AE284" w:rsidR="00193FB6" w:rsidRPr="00193FB6" w:rsidRDefault="00193FB6" w:rsidP="00193FB6">
      <w:pPr>
        <w:pStyle w:val="ListParagraph"/>
        <w:numPr>
          <w:ilvl w:val="1"/>
          <w:numId w:val="8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193FB6">
        <w:rPr>
          <w:rFonts w:ascii="Franklin Gothic Book" w:hAnsi="Franklin Gothic Book" w:cs="Tahoma"/>
          <w:sz w:val="24"/>
          <w:szCs w:val="24"/>
        </w:rPr>
        <w:t xml:space="preserve">2018: </w:t>
      </w:r>
      <w:r w:rsidRPr="00193FB6">
        <w:rPr>
          <w:rFonts w:ascii="Franklin Gothic Book" w:hAnsi="Franklin Gothic Book" w:cs="Tahoma"/>
          <w:sz w:val="24"/>
          <w:szCs w:val="24"/>
        </w:rPr>
        <w:t>351 tracts</w:t>
      </w:r>
      <w:r w:rsidRPr="00193FB6">
        <w:rPr>
          <w:rFonts w:ascii="Franklin Gothic Book" w:hAnsi="Franklin Gothic Book" w:cs="Tahoma"/>
          <w:sz w:val="24"/>
          <w:szCs w:val="24"/>
        </w:rPr>
        <w:t xml:space="preserve">, </w:t>
      </w:r>
      <w:r w:rsidRPr="00193FB6">
        <w:rPr>
          <w:rFonts w:ascii="Franklin Gothic Book" w:hAnsi="Franklin Gothic Book" w:cs="Tahoma"/>
          <w:sz w:val="24"/>
          <w:szCs w:val="24"/>
        </w:rPr>
        <w:t>28.7% of region</w:t>
      </w:r>
    </w:p>
    <w:p w14:paraId="2D4E3157" w14:textId="7E9AF724" w:rsidR="00193FB6" w:rsidRPr="00193FB6" w:rsidRDefault="00193FB6" w:rsidP="00193FB6">
      <w:pPr>
        <w:pStyle w:val="ListParagraph"/>
        <w:numPr>
          <w:ilvl w:val="1"/>
          <w:numId w:val="8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193FB6">
        <w:rPr>
          <w:rFonts w:ascii="Franklin Gothic Book" w:hAnsi="Franklin Gothic Book" w:cs="Tahoma"/>
          <w:sz w:val="24"/>
          <w:szCs w:val="24"/>
        </w:rPr>
        <w:t xml:space="preserve">2022: </w:t>
      </w:r>
      <w:r w:rsidRPr="00193FB6">
        <w:rPr>
          <w:rFonts w:ascii="Franklin Gothic Book" w:hAnsi="Franklin Gothic Book" w:cs="Tahoma"/>
          <w:sz w:val="24"/>
          <w:szCs w:val="24"/>
        </w:rPr>
        <w:t>364 tracts</w:t>
      </w:r>
      <w:r>
        <w:rPr>
          <w:rFonts w:ascii="Franklin Gothic Book" w:hAnsi="Franklin Gothic Book" w:cs="Tahoma"/>
          <w:sz w:val="24"/>
          <w:szCs w:val="24"/>
        </w:rPr>
        <w:t xml:space="preserve"> </w:t>
      </w:r>
      <w:r w:rsidRPr="00193FB6">
        <w:rPr>
          <w:rFonts w:ascii="Franklin Gothic Book" w:hAnsi="Franklin Gothic Book" w:cs="Tahoma"/>
          <w:sz w:val="24"/>
          <w:szCs w:val="24"/>
        </w:rPr>
        <w:t>27.4% of region</w:t>
      </w:r>
    </w:p>
    <w:p w14:paraId="448B0549" w14:textId="77777777" w:rsidR="00193FB6" w:rsidRDefault="00193FB6" w:rsidP="00037257">
      <w:pPr>
        <w:pStyle w:val="ListParagraph"/>
        <w:numPr>
          <w:ilvl w:val="0"/>
          <w:numId w:val="8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193FB6">
        <w:rPr>
          <w:rFonts w:ascii="Franklin Gothic Book" w:hAnsi="Franklin Gothic Book" w:cs="Tahoma"/>
          <w:sz w:val="24"/>
          <w:szCs w:val="24"/>
        </w:rPr>
        <w:t>Share of Low</w:t>
      </w:r>
      <w:r>
        <w:rPr>
          <w:rFonts w:ascii="Franklin Gothic Book" w:hAnsi="Franklin Gothic Book" w:cs="Tahoma"/>
          <w:sz w:val="24"/>
          <w:szCs w:val="24"/>
        </w:rPr>
        <w:t xml:space="preserve"> </w:t>
      </w:r>
      <w:r w:rsidRPr="00193FB6">
        <w:rPr>
          <w:rFonts w:ascii="Franklin Gothic Book" w:hAnsi="Franklin Gothic Book" w:cs="Tahoma"/>
          <w:sz w:val="24"/>
          <w:szCs w:val="24"/>
        </w:rPr>
        <w:t xml:space="preserve">Income </w:t>
      </w:r>
    </w:p>
    <w:p w14:paraId="26671B7C" w14:textId="595199EE" w:rsidR="00193FB6" w:rsidRPr="00193FB6" w:rsidRDefault="00193FB6" w:rsidP="00193FB6">
      <w:pPr>
        <w:pStyle w:val="ListParagraph"/>
        <w:numPr>
          <w:ilvl w:val="1"/>
          <w:numId w:val="8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 xml:space="preserve">2018: </w:t>
      </w:r>
      <w:r w:rsidRPr="00193FB6">
        <w:rPr>
          <w:rFonts w:ascii="Franklin Gothic Book" w:hAnsi="Franklin Gothic Book" w:cs="Tahoma"/>
          <w:sz w:val="24"/>
          <w:szCs w:val="24"/>
        </w:rPr>
        <w:t>54.8%</w:t>
      </w:r>
    </w:p>
    <w:p w14:paraId="5C963019" w14:textId="4CC6C24A" w:rsidR="00193FB6" w:rsidRPr="00193FB6" w:rsidRDefault="00193FB6" w:rsidP="00193FB6">
      <w:pPr>
        <w:pStyle w:val="ListParagraph"/>
        <w:numPr>
          <w:ilvl w:val="1"/>
          <w:numId w:val="8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 xml:space="preserve">2022: </w:t>
      </w:r>
      <w:r w:rsidRPr="00193FB6">
        <w:rPr>
          <w:rFonts w:ascii="Franklin Gothic Book" w:hAnsi="Franklin Gothic Book" w:cs="Tahoma"/>
          <w:sz w:val="24"/>
          <w:szCs w:val="24"/>
        </w:rPr>
        <w:t>55.5%</w:t>
      </w:r>
    </w:p>
    <w:p w14:paraId="3CBC03A9" w14:textId="77777777" w:rsidR="00193FB6" w:rsidRDefault="00193FB6" w:rsidP="00330B15">
      <w:pPr>
        <w:pStyle w:val="ListParagraph"/>
        <w:numPr>
          <w:ilvl w:val="0"/>
          <w:numId w:val="8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193FB6">
        <w:rPr>
          <w:rFonts w:ascii="Franklin Gothic Book" w:hAnsi="Franklin Gothic Book" w:cs="Tahoma"/>
          <w:sz w:val="24"/>
          <w:szCs w:val="24"/>
        </w:rPr>
        <w:t>Share of Black or</w:t>
      </w:r>
      <w:r>
        <w:rPr>
          <w:rFonts w:ascii="Franklin Gothic Book" w:hAnsi="Franklin Gothic Book" w:cs="Tahoma"/>
          <w:sz w:val="24"/>
          <w:szCs w:val="24"/>
        </w:rPr>
        <w:t xml:space="preserve"> </w:t>
      </w:r>
      <w:r w:rsidRPr="00193FB6">
        <w:rPr>
          <w:rFonts w:ascii="Franklin Gothic Book" w:hAnsi="Franklin Gothic Book" w:cs="Tahoma"/>
          <w:sz w:val="24"/>
          <w:szCs w:val="24"/>
        </w:rPr>
        <w:t xml:space="preserve">African American </w:t>
      </w:r>
    </w:p>
    <w:p w14:paraId="4C3C9F39" w14:textId="7F08C7EE" w:rsidR="00193FB6" w:rsidRPr="00193FB6" w:rsidRDefault="00193FB6" w:rsidP="00193FB6">
      <w:pPr>
        <w:pStyle w:val="ListParagraph"/>
        <w:numPr>
          <w:ilvl w:val="1"/>
          <w:numId w:val="8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 xml:space="preserve">2018: </w:t>
      </w:r>
      <w:r w:rsidRPr="00193FB6">
        <w:rPr>
          <w:rFonts w:ascii="Franklin Gothic Book" w:hAnsi="Franklin Gothic Book" w:cs="Tahoma"/>
          <w:sz w:val="24"/>
          <w:szCs w:val="24"/>
        </w:rPr>
        <w:t>45.1%</w:t>
      </w:r>
    </w:p>
    <w:p w14:paraId="4CB523B9" w14:textId="3895255A" w:rsidR="00193FB6" w:rsidRPr="00193FB6" w:rsidRDefault="00193FB6" w:rsidP="00193FB6">
      <w:pPr>
        <w:pStyle w:val="ListParagraph"/>
        <w:numPr>
          <w:ilvl w:val="1"/>
          <w:numId w:val="8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 xml:space="preserve">2022: </w:t>
      </w:r>
      <w:r w:rsidRPr="00193FB6">
        <w:rPr>
          <w:rFonts w:ascii="Franklin Gothic Book" w:hAnsi="Franklin Gothic Book" w:cs="Tahoma"/>
          <w:sz w:val="24"/>
          <w:szCs w:val="24"/>
        </w:rPr>
        <w:t>43.2%</w:t>
      </w:r>
    </w:p>
    <w:p w14:paraId="5768CE10" w14:textId="77777777" w:rsidR="00193FB6" w:rsidRDefault="00193FB6" w:rsidP="00FA6469">
      <w:pPr>
        <w:pStyle w:val="ListParagraph"/>
        <w:numPr>
          <w:ilvl w:val="0"/>
          <w:numId w:val="8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193FB6">
        <w:rPr>
          <w:rFonts w:ascii="Franklin Gothic Book" w:hAnsi="Franklin Gothic Book" w:cs="Tahoma"/>
          <w:sz w:val="24"/>
          <w:szCs w:val="24"/>
        </w:rPr>
        <w:t>Share of Asian</w:t>
      </w:r>
      <w:r>
        <w:rPr>
          <w:rFonts w:ascii="Franklin Gothic Book" w:hAnsi="Franklin Gothic Book" w:cs="Tahoma"/>
          <w:sz w:val="24"/>
          <w:szCs w:val="24"/>
        </w:rPr>
        <w:t xml:space="preserve"> </w:t>
      </w:r>
    </w:p>
    <w:p w14:paraId="13AFDD60" w14:textId="0EEAED80" w:rsidR="00193FB6" w:rsidRPr="00193FB6" w:rsidRDefault="00193FB6" w:rsidP="00193FB6">
      <w:pPr>
        <w:pStyle w:val="ListParagraph"/>
        <w:numPr>
          <w:ilvl w:val="1"/>
          <w:numId w:val="8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 xml:space="preserve">2018: </w:t>
      </w:r>
      <w:r w:rsidRPr="00193FB6">
        <w:rPr>
          <w:rFonts w:ascii="Franklin Gothic Book" w:hAnsi="Franklin Gothic Book" w:cs="Tahoma"/>
          <w:sz w:val="24"/>
          <w:szCs w:val="24"/>
        </w:rPr>
        <w:t>22.1%</w:t>
      </w:r>
    </w:p>
    <w:p w14:paraId="5CCC66FE" w14:textId="7BFD1ED7" w:rsidR="00193FB6" w:rsidRPr="00193FB6" w:rsidRDefault="00193FB6" w:rsidP="00193FB6">
      <w:pPr>
        <w:pStyle w:val="ListParagraph"/>
        <w:numPr>
          <w:ilvl w:val="1"/>
          <w:numId w:val="8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 xml:space="preserve">2022: </w:t>
      </w:r>
      <w:r w:rsidRPr="00193FB6">
        <w:rPr>
          <w:rFonts w:ascii="Franklin Gothic Book" w:hAnsi="Franklin Gothic Book" w:cs="Tahoma"/>
          <w:sz w:val="24"/>
          <w:szCs w:val="24"/>
        </w:rPr>
        <w:t>20.1%</w:t>
      </w:r>
    </w:p>
    <w:p w14:paraId="5E60CC7C" w14:textId="77777777" w:rsidR="00193FB6" w:rsidRDefault="00193FB6" w:rsidP="000150A5">
      <w:pPr>
        <w:pStyle w:val="ListParagraph"/>
        <w:numPr>
          <w:ilvl w:val="0"/>
          <w:numId w:val="8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193FB6">
        <w:rPr>
          <w:rFonts w:ascii="Franklin Gothic Book" w:hAnsi="Franklin Gothic Book" w:cs="Tahoma"/>
          <w:sz w:val="24"/>
          <w:szCs w:val="24"/>
        </w:rPr>
        <w:t>Share of Hispanic or</w:t>
      </w:r>
      <w:r>
        <w:rPr>
          <w:rFonts w:ascii="Franklin Gothic Book" w:hAnsi="Franklin Gothic Book" w:cs="Tahoma"/>
          <w:sz w:val="24"/>
          <w:szCs w:val="24"/>
        </w:rPr>
        <w:t xml:space="preserve"> </w:t>
      </w:r>
      <w:r w:rsidRPr="00193FB6">
        <w:rPr>
          <w:rFonts w:ascii="Franklin Gothic Book" w:hAnsi="Franklin Gothic Book" w:cs="Tahoma"/>
          <w:sz w:val="24"/>
          <w:szCs w:val="24"/>
        </w:rPr>
        <w:t xml:space="preserve">Latino </w:t>
      </w:r>
    </w:p>
    <w:p w14:paraId="6AE50D62" w14:textId="65A5FAAD" w:rsidR="00193FB6" w:rsidRPr="00193FB6" w:rsidRDefault="00193FB6" w:rsidP="00193FB6">
      <w:pPr>
        <w:pStyle w:val="ListParagraph"/>
        <w:numPr>
          <w:ilvl w:val="1"/>
          <w:numId w:val="8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 xml:space="preserve">2018: </w:t>
      </w:r>
      <w:r w:rsidRPr="00193FB6">
        <w:rPr>
          <w:rFonts w:ascii="Franklin Gothic Book" w:hAnsi="Franklin Gothic Book" w:cs="Tahoma"/>
          <w:sz w:val="24"/>
          <w:szCs w:val="24"/>
        </w:rPr>
        <w:t>46.7%</w:t>
      </w:r>
    </w:p>
    <w:p w14:paraId="1AE50A35" w14:textId="2482AA0B" w:rsidR="00CF4EFA" w:rsidRPr="00CF4EFA" w:rsidRDefault="00193FB6" w:rsidP="00193FB6">
      <w:pPr>
        <w:pStyle w:val="ListParagraph"/>
        <w:numPr>
          <w:ilvl w:val="1"/>
          <w:numId w:val="8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 xml:space="preserve">2022: </w:t>
      </w:r>
      <w:r w:rsidRPr="00193FB6">
        <w:rPr>
          <w:rFonts w:ascii="Franklin Gothic Book" w:hAnsi="Franklin Gothic Book" w:cs="Tahoma"/>
          <w:sz w:val="24"/>
          <w:szCs w:val="24"/>
        </w:rPr>
        <w:t>43.3%</w:t>
      </w:r>
    </w:p>
    <w:p w14:paraId="0410878B" w14:textId="092CA2B6" w:rsidR="00195CBD" w:rsidRDefault="00195CBD" w:rsidP="00EF4312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7CF9C4A3" w14:textId="77777777" w:rsidR="00B91216" w:rsidRDefault="00B91216" w:rsidP="00195CB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3324B4F0" w14:textId="0EB1AA37" w:rsidR="007B1CB2" w:rsidRDefault="007B1CB2" w:rsidP="00193FB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Slide 11:</w:t>
      </w:r>
      <w:r w:rsidR="00544968" w:rsidRPr="00544968">
        <w:t xml:space="preserve"> </w:t>
      </w:r>
      <w:r w:rsidR="00193FB6" w:rsidRPr="00193FB6">
        <w:rPr>
          <w:rFonts w:ascii="Franklin Gothic Book" w:hAnsi="Franklin Gothic Book" w:cs="Tahoma"/>
          <w:sz w:val="24"/>
          <w:szCs w:val="24"/>
        </w:rPr>
        <w:t>Details of changes:</w:t>
      </w:r>
      <w:r w:rsidR="00193FB6">
        <w:rPr>
          <w:rFonts w:ascii="Franklin Gothic Book" w:hAnsi="Franklin Gothic Book" w:cs="Tahoma"/>
          <w:sz w:val="24"/>
          <w:szCs w:val="24"/>
        </w:rPr>
        <w:t xml:space="preserve"> </w:t>
      </w:r>
      <w:r w:rsidR="00193FB6" w:rsidRPr="00193FB6">
        <w:rPr>
          <w:rFonts w:ascii="Franklin Gothic Book" w:hAnsi="Franklin Gothic Book" w:cs="Tahoma"/>
          <w:sz w:val="24"/>
          <w:szCs w:val="24"/>
        </w:rPr>
        <w:t>Number and Location of</w:t>
      </w:r>
      <w:r w:rsidR="00193FB6">
        <w:rPr>
          <w:rFonts w:ascii="Franklin Gothic Book" w:hAnsi="Franklin Gothic Book" w:cs="Tahoma"/>
          <w:sz w:val="24"/>
          <w:szCs w:val="24"/>
        </w:rPr>
        <w:t xml:space="preserve"> </w:t>
      </w:r>
      <w:r w:rsidR="00193FB6" w:rsidRPr="00193FB6">
        <w:rPr>
          <w:rFonts w:ascii="Franklin Gothic Book" w:hAnsi="Franklin Gothic Book" w:cs="Tahoma"/>
          <w:sz w:val="24"/>
          <w:szCs w:val="24"/>
        </w:rPr>
        <w:t>EEAs</w:t>
      </w:r>
    </w:p>
    <w:p w14:paraId="50DBC55D" w14:textId="77777777" w:rsidR="004A1368" w:rsidRDefault="004A1368" w:rsidP="00193FB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2ED8FD07" w14:textId="0198D895" w:rsidR="00193FB6" w:rsidRPr="004A1368" w:rsidRDefault="00193FB6" w:rsidP="004A1368">
      <w:pPr>
        <w:pStyle w:val="ListParagraph"/>
        <w:numPr>
          <w:ilvl w:val="0"/>
          <w:numId w:val="20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4A1368">
        <w:rPr>
          <w:rFonts w:ascii="Franklin Gothic Book" w:hAnsi="Franklin Gothic Book" w:cs="Tahoma"/>
          <w:sz w:val="24"/>
          <w:szCs w:val="24"/>
        </w:rPr>
        <w:t>Spatial patterns similar trends</w:t>
      </w:r>
      <w:r w:rsidRPr="004A1368">
        <w:rPr>
          <w:rFonts w:ascii="Franklin Gothic Book" w:hAnsi="Franklin Gothic Book" w:cs="Tahoma"/>
          <w:sz w:val="24"/>
          <w:szCs w:val="24"/>
        </w:rPr>
        <w:t xml:space="preserve"> </w:t>
      </w:r>
      <w:r w:rsidRPr="004A1368">
        <w:rPr>
          <w:rFonts w:ascii="Franklin Gothic Book" w:hAnsi="Franklin Gothic Book" w:cs="Tahoma"/>
          <w:sz w:val="24"/>
          <w:szCs w:val="24"/>
        </w:rPr>
        <w:t>to previous EEAs</w:t>
      </w:r>
    </w:p>
    <w:p w14:paraId="3951E3DE" w14:textId="046A99D8" w:rsidR="00193FB6" w:rsidRPr="004A1368" w:rsidRDefault="00193FB6" w:rsidP="004A1368">
      <w:pPr>
        <w:pStyle w:val="ListParagraph"/>
        <w:numPr>
          <w:ilvl w:val="0"/>
          <w:numId w:val="20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4A1368">
        <w:rPr>
          <w:rFonts w:ascii="Franklin Gothic Book" w:hAnsi="Franklin Gothic Book" w:cs="Tahoma"/>
          <w:sz w:val="24"/>
          <w:szCs w:val="24"/>
        </w:rPr>
        <w:t>T</w:t>
      </w:r>
      <w:r w:rsidRPr="004A1368">
        <w:rPr>
          <w:rFonts w:ascii="Franklin Gothic Book" w:hAnsi="Franklin Gothic Book" w:cs="Tahoma"/>
          <w:sz w:val="24"/>
          <w:szCs w:val="24"/>
        </w:rPr>
        <w:t>otal: 364 tracts</w:t>
      </w:r>
    </w:p>
    <w:p w14:paraId="23738DE6" w14:textId="77777777" w:rsidR="00193FB6" w:rsidRPr="004A1368" w:rsidRDefault="00193FB6" w:rsidP="004A1368">
      <w:pPr>
        <w:pStyle w:val="ListParagraph"/>
        <w:numPr>
          <w:ilvl w:val="1"/>
          <w:numId w:val="20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4A1368">
        <w:rPr>
          <w:rFonts w:ascii="Franklin Gothic Book" w:hAnsi="Franklin Gothic Book" w:cs="Tahoma"/>
          <w:sz w:val="24"/>
          <w:szCs w:val="24"/>
        </w:rPr>
        <w:t>Same: 271 tracts</w:t>
      </w:r>
    </w:p>
    <w:p w14:paraId="55C6BD29" w14:textId="77777777" w:rsidR="00193FB6" w:rsidRPr="004A1368" w:rsidRDefault="00193FB6" w:rsidP="004A1368">
      <w:pPr>
        <w:pStyle w:val="ListParagraph"/>
        <w:numPr>
          <w:ilvl w:val="1"/>
          <w:numId w:val="20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4A1368">
        <w:rPr>
          <w:rFonts w:ascii="Franklin Gothic Book" w:hAnsi="Franklin Gothic Book" w:cs="Tahoma"/>
          <w:sz w:val="24"/>
          <w:szCs w:val="24"/>
        </w:rPr>
        <w:t>New: 93 tracts</w:t>
      </w:r>
    </w:p>
    <w:p w14:paraId="72A516DF" w14:textId="5992DABE" w:rsidR="00B303F0" w:rsidRPr="004A1368" w:rsidRDefault="00193FB6" w:rsidP="004A1368">
      <w:pPr>
        <w:pStyle w:val="ListParagraph"/>
        <w:numPr>
          <w:ilvl w:val="1"/>
          <w:numId w:val="20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4A1368">
        <w:rPr>
          <w:rFonts w:ascii="Franklin Gothic Book" w:hAnsi="Franklin Gothic Book" w:cs="Tahoma"/>
          <w:sz w:val="24"/>
          <w:szCs w:val="24"/>
        </w:rPr>
        <w:t>Discontinued: 98 tracts</w:t>
      </w:r>
    </w:p>
    <w:p w14:paraId="622CC6A6" w14:textId="77777777" w:rsidR="00B303F0" w:rsidRDefault="00B303F0" w:rsidP="00195CB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1A82B7B9" w14:textId="77777777" w:rsidR="001D349F" w:rsidRDefault="001D349F" w:rsidP="00195CB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434CE772" w14:textId="70F0324C" w:rsidR="007B1CB2" w:rsidRDefault="007B1CB2" w:rsidP="00195CB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Slide 12:</w:t>
      </w:r>
      <w:r w:rsidRPr="007B1CB2">
        <w:t xml:space="preserve"> </w:t>
      </w:r>
      <w:r w:rsidR="004A1368" w:rsidRPr="004A1368">
        <w:rPr>
          <w:rFonts w:ascii="Franklin Gothic Book" w:hAnsi="Franklin Gothic Book" w:cs="Tahoma"/>
          <w:sz w:val="24"/>
          <w:szCs w:val="24"/>
        </w:rPr>
        <w:t>FAQs and response</w:t>
      </w:r>
    </w:p>
    <w:p w14:paraId="538BAC50" w14:textId="77777777" w:rsidR="001D349F" w:rsidRDefault="001D349F" w:rsidP="00195CB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1BCE0C24" w14:textId="49F06688" w:rsidR="004A1368" w:rsidRPr="004A1368" w:rsidRDefault="004A1368" w:rsidP="006663EE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4A1368">
        <w:rPr>
          <w:rFonts w:ascii="Franklin Gothic Book" w:hAnsi="Franklin Gothic Book" w:cs="Tahoma"/>
          <w:sz w:val="24"/>
          <w:szCs w:val="24"/>
        </w:rPr>
        <w:t>Are the 271 EEAs from 2018 that are unchanged in 2022 the exact same</w:t>
      </w:r>
      <w:r>
        <w:rPr>
          <w:rFonts w:ascii="Franklin Gothic Book" w:hAnsi="Franklin Gothic Book" w:cs="Tahoma"/>
          <w:sz w:val="24"/>
          <w:szCs w:val="24"/>
        </w:rPr>
        <w:t xml:space="preserve"> </w:t>
      </w:r>
      <w:r w:rsidRPr="004A1368">
        <w:rPr>
          <w:rFonts w:ascii="Franklin Gothic Book" w:hAnsi="Franklin Gothic Book" w:cs="Tahoma"/>
          <w:sz w:val="24"/>
          <w:szCs w:val="24"/>
        </w:rPr>
        <w:t>geographic spaces?</w:t>
      </w:r>
    </w:p>
    <w:p w14:paraId="18FC13C2" w14:textId="22508554" w:rsidR="004A1368" w:rsidRPr="004A1368" w:rsidRDefault="004A1368" w:rsidP="004A1368">
      <w:pPr>
        <w:pStyle w:val="ListParagraph"/>
        <w:numPr>
          <w:ilvl w:val="1"/>
          <w:numId w:val="10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4A1368">
        <w:rPr>
          <w:rFonts w:ascii="Franklin Gothic Book" w:hAnsi="Franklin Gothic Book" w:cs="Tahoma"/>
          <w:sz w:val="24"/>
          <w:szCs w:val="24"/>
        </w:rPr>
        <w:t>In most cases and to the average eye, yes. Updated tract boundaries might have</w:t>
      </w:r>
      <w:r w:rsidRPr="004A1368">
        <w:rPr>
          <w:rFonts w:ascii="Franklin Gothic Book" w:hAnsi="Franklin Gothic Book" w:cs="Tahoma"/>
          <w:sz w:val="24"/>
          <w:szCs w:val="24"/>
        </w:rPr>
        <w:t xml:space="preserve"> </w:t>
      </w:r>
      <w:r w:rsidRPr="004A1368">
        <w:rPr>
          <w:rFonts w:ascii="Franklin Gothic Book" w:hAnsi="Franklin Gothic Book" w:cs="Tahoma"/>
          <w:sz w:val="24"/>
          <w:szCs w:val="24"/>
        </w:rPr>
        <w:t>caused minor boundary changes or no changes at all.</w:t>
      </w:r>
    </w:p>
    <w:p w14:paraId="13D28431" w14:textId="1EA19189" w:rsidR="004A1368" w:rsidRPr="004A1368" w:rsidRDefault="004A1368" w:rsidP="00E66026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4A1368">
        <w:rPr>
          <w:rFonts w:ascii="Franklin Gothic Book" w:hAnsi="Franklin Gothic Book" w:cs="Tahoma"/>
          <w:sz w:val="24"/>
          <w:szCs w:val="24"/>
        </w:rPr>
        <w:t>Could you further explain why some 2018 EEAs are not identified in 2022</w:t>
      </w:r>
      <w:r>
        <w:rPr>
          <w:rFonts w:ascii="Franklin Gothic Book" w:hAnsi="Franklin Gothic Book" w:cs="Tahoma"/>
          <w:sz w:val="24"/>
          <w:szCs w:val="24"/>
        </w:rPr>
        <w:t xml:space="preserve"> </w:t>
      </w:r>
      <w:r w:rsidRPr="004A1368">
        <w:rPr>
          <w:rFonts w:ascii="Franklin Gothic Book" w:hAnsi="Franklin Gothic Book" w:cs="Tahoma"/>
          <w:sz w:val="24"/>
          <w:szCs w:val="24"/>
        </w:rPr>
        <w:t>while new ones appear?</w:t>
      </w:r>
    </w:p>
    <w:p w14:paraId="7F473CF3" w14:textId="38037B32" w:rsidR="007B1CB2" w:rsidRPr="004A1368" w:rsidRDefault="004A1368" w:rsidP="004A1368">
      <w:pPr>
        <w:pStyle w:val="ListParagraph"/>
        <w:numPr>
          <w:ilvl w:val="1"/>
          <w:numId w:val="10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4A1368">
        <w:rPr>
          <w:rFonts w:ascii="Franklin Gothic Book" w:hAnsi="Franklin Gothic Book" w:cs="Tahoma"/>
          <w:sz w:val="24"/>
          <w:szCs w:val="24"/>
        </w:rPr>
        <w:t>There are many reasons why a tract in the region may or may not be identified</w:t>
      </w:r>
      <w:r w:rsidRPr="004A1368">
        <w:rPr>
          <w:rFonts w:ascii="Franklin Gothic Book" w:hAnsi="Franklin Gothic Book" w:cs="Tahoma"/>
          <w:sz w:val="24"/>
          <w:szCs w:val="24"/>
        </w:rPr>
        <w:t xml:space="preserve"> </w:t>
      </w:r>
      <w:r w:rsidRPr="004A1368">
        <w:rPr>
          <w:rFonts w:ascii="Franklin Gothic Book" w:hAnsi="Franklin Gothic Book" w:cs="Tahoma"/>
          <w:sz w:val="24"/>
          <w:szCs w:val="24"/>
        </w:rPr>
        <w:t>as an EEA:</w:t>
      </w:r>
      <w:r w:rsidRPr="004A1368">
        <w:rPr>
          <w:rFonts w:ascii="Franklin Gothic Book" w:hAnsi="Franklin Gothic Book" w:cs="Tahoma"/>
          <w:sz w:val="24"/>
          <w:szCs w:val="24"/>
        </w:rPr>
        <w:t xml:space="preserve"> </w:t>
      </w:r>
      <w:r w:rsidRPr="004A1368">
        <w:rPr>
          <w:rFonts w:ascii="Franklin Gothic Book" w:hAnsi="Franklin Gothic Book" w:cs="Tahoma"/>
          <w:sz w:val="24"/>
          <w:szCs w:val="24"/>
        </w:rPr>
        <w:t>1.</w:t>
      </w:r>
      <w:r w:rsidRPr="004A1368">
        <w:rPr>
          <w:rFonts w:ascii="Franklin Gothic Book" w:hAnsi="Franklin Gothic Book" w:cs="Tahoma"/>
          <w:sz w:val="24"/>
          <w:szCs w:val="24"/>
        </w:rPr>
        <w:t xml:space="preserve"> </w:t>
      </w:r>
      <w:r w:rsidRPr="004A1368">
        <w:rPr>
          <w:rFonts w:ascii="Franklin Gothic Book" w:hAnsi="Franklin Gothic Book" w:cs="Tahoma"/>
          <w:sz w:val="24"/>
          <w:szCs w:val="24"/>
        </w:rPr>
        <w:t>TPB methodology relies on index scoring with thresholds. This means that</w:t>
      </w:r>
      <w:r w:rsidRPr="004A1368">
        <w:rPr>
          <w:rFonts w:ascii="Franklin Gothic Book" w:hAnsi="Franklin Gothic Book" w:cs="Tahoma"/>
          <w:sz w:val="24"/>
          <w:szCs w:val="24"/>
        </w:rPr>
        <w:t xml:space="preserve"> </w:t>
      </w:r>
      <w:r w:rsidRPr="004A1368">
        <w:rPr>
          <w:rFonts w:ascii="Franklin Gothic Book" w:hAnsi="Franklin Gothic Book" w:cs="Tahoma"/>
          <w:sz w:val="24"/>
          <w:szCs w:val="24"/>
        </w:rPr>
        <w:t xml:space="preserve">modest changes in the demographic </w:t>
      </w:r>
      <w:proofErr w:type="spellStart"/>
      <w:r w:rsidRPr="004A1368">
        <w:rPr>
          <w:rFonts w:ascii="Franklin Gothic Book" w:hAnsi="Franklin Gothic Book" w:cs="Tahoma"/>
          <w:sz w:val="24"/>
          <w:szCs w:val="24"/>
        </w:rPr>
        <w:t>make up</w:t>
      </w:r>
      <w:proofErr w:type="spellEnd"/>
      <w:r w:rsidRPr="004A1368">
        <w:rPr>
          <w:rFonts w:ascii="Franklin Gothic Book" w:hAnsi="Franklin Gothic Book" w:cs="Tahoma"/>
          <w:sz w:val="24"/>
          <w:szCs w:val="24"/>
        </w:rPr>
        <w:t xml:space="preserve"> of a tract, particularly in ones</w:t>
      </w:r>
      <w:r w:rsidRPr="004A1368">
        <w:rPr>
          <w:rFonts w:ascii="Franklin Gothic Book" w:hAnsi="Franklin Gothic Book" w:cs="Tahoma"/>
          <w:sz w:val="24"/>
          <w:szCs w:val="24"/>
        </w:rPr>
        <w:t xml:space="preserve"> </w:t>
      </w:r>
      <w:r w:rsidRPr="004A1368">
        <w:rPr>
          <w:rFonts w:ascii="Franklin Gothic Book" w:hAnsi="Franklin Gothic Book" w:cs="Tahoma"/>
          <w:sz w:val="24"/>
          <w:szCs w:val="24"/>
        </w:rPr>
        <w:t xml:space="preserve">that are/were near these thresholds, could cause it to </w:t>
      </w:r>
      <w:r w:rsidRPr="004A1368">
        <w:rPr>
          <w:rFonts w:ascii="Franklin Gothic Book" w:hAnsi="Franklin Gothic Book" w:cs="Tahoma"/>
          <w:sz w:val="24"/>
          <w:szCs w:val="24"/>
        </w:rPr>
        <w:lastRenderedPageBreak/>
        <w:t>drop or be added as</w:t>
      </w:r>
      <w:r w:rsidRPr="004A1368">
        <w:rPr>
          <w:rFonts w:ascii="Franklin Gothic Book" w:hAnsi="Franklin Gothic Book" w:cs="Tahoma"/>
          <w:sz w:val="24"/>
          <w:szCs w:val="24"/>
        </w:rPr>
        <w:t xml:space="preserve"> </w:t>
      </w:r>
      <w:r w:rsidRPr="004A1368">
        <w:rPr>
          <w:rFonts w:ascii="Franklin Gothic Book" w:hAnsi="Franklin Gothic Book" w:cs="Tahoma"/>
          <w:sz w:val="24"/>
          <w:szCs w:val="24"/>
        </w:rPr>
        <w:t>an EEA.</w:t>
      </w:r>
      <w:r w:rsidRPr="004A1368">
        <w:rPr>
          <w:rFonts w:ascii="Franklin Gothic Book" w:hAnsi="Franklin Gothic Book" w:cs="Tahoma"/>
          <w:sz w:val="24"/>
          <w:szCs w:val="24"/>
        </w:rPr>
        <w:t xml:space="preserve"> </w:t>
      </w:r>
      <w:r w:rsidRPr="004A1368">
        <w:rPr>
          <w:rFonts w:ascii="Franklin Gothic Book" w:hAnsi="Franklin Gothic Book" w:cs="Tahoma"/>
          <w:sz w:val="24"/>
          <w:szCs w:val="24"/>
        </w:rPr>
        <w:t>2.</w:t>
      </w:r>
      <w:r w:rsidRPr="004A1368">
        <w:rPr>
          <w:rFonts w:ascii="Franklin Gothic Book" w:hAnsi="Franklin Gothic Book" w:cs="Tahoma"/>
          <w:sz w:val="24"/>
          <w:szCs w:val="24"/>
        </w:rPr>
        <w:t xml:space="preserve"> </w:t>
      </w:r>
      <w:r w:rsidRPr="004A1368">
        <w:rPr>
          <w:rFonts w:ascii="Franklin Gothic Book" w:hAnsi="Franklin Gothic Book" w:cs="Tahoma"/>
          <w:sz w:val="24"/>
          <w:szCs w:val="24"/>
        </w:rPr>
        <w:t>Changes to local land use impacting an area in a myriad of ways, including,</w:t>
      </w:r>
      <w:r w:rsidRPr="004A1368">
        <w:rPr>
          <w:rFonts w:ascii="Franklin Gothic Book" w:hAnsi="Franklin Gothic Book" w:cs="Tahoma"/>
          <w:sz w:val="24"/>
          <w:szCs w:val="24"/>
        </w:rPr>
        <w:t xml:space="preserve"> </w:t>
      </w:r>
      <w:r w:rsidRPr="004A1368">
        <w:rPr>
          <w:rFonts w:ascii="Franklin Gothic Book" w:hAnsi="Franklin Gothic Book" w:cs="Tahoma"/>
          <w:sz w:val="24"/>
          <w:szCs w:val="24"/>
        </w:rPr>
        <w:t>displacement, increase or decrease in the tract’s population, or other</w:t>
      </w:r>
      <w:r w:rsidRPr="004A1368">
        <w:rPr>
          <w:rFonts w:ascii="Franklin Gothic Book" w:hAnsi="Franklin Gothic Book" w:cs="Tahoma"/>
          <w:sz w:val="24"/>
          <w:szCs w:val="24"/>
        </w:rPr>
        <w:t xml:space="preserve"> </w:t>
      </w:r>
      <w:r w:rsidRPr="004A1368">
        <w:rPr>
          <w:rFonts w:ascii="Franklin Gothic Book" w:hAnsi="Franklin Gothic Book" w:cs="Tahoma"/>
          <w:sz w:val="24"/>
          <w:szCs w:val="24"/>
        </w:rPr>
        <w:t>changes that impacts the concentration of low income and traditionally</w:t>
      </w:r>
      <w:r w:rsidRPr="004A1368">
        <w:rPr>
          <w:rFonts w:ascii="Franklin Gothic Book" w:hAnsi="Franklin Gothic Book" w:cs="Tahoma"/>
          <w:sz w:val="24"/>
          <w:szCs w:val="24"/>
        </w:rPr>
        <w:t xml:space="preserve"> </w:t>
      </w:r>
      <w:r w:rsidRPr="004A1368">
        <w:rPr>
          <w:rFonts w:ascii="Franklin Gothic Book" w:hAnsi="Franklin Gothic Book" w:cs="Tahoma"/>
          <w:sz w:val="24"/>
          <w:szCs w:val="24"/>
        </w:rPr>
        <w:t>disadvantaged racial and ethnic population groups.</w:t>
      </w:r>
    </w:p>
    <w:p w14:paraId="40931DD0" w14:textId="66EB791F" w:rsidR="00B91216" w:rsidRDefault="00B91216" w:rsidP="00195CB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72927BD1" w14:textId="77777777" w:rsidR="00B91216" w:rsidRDefault="00B91216" w:rsidP="00195CB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424EB585" w14:textId="7FEDAB99" w:rsidR="007B1CB2" w:rsidRDefault="007B1CB2" w:rsidP="00195CB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Slide 13:</w:t>
      </w:r>
      <w:r w:rsidRPr="007B1CB2">
        <w:t xml:space="preserve"> </w:t>
      </w:r>
      <w:r w:rsidR="004A1368" w:rsidRPr="004A1368">
        <w:rPr>
          <w:rFonts w:ascii="Franklin Gothic Book" w:hAnsi="Franklin Gothic Book" w:cs="Tahoma"/>
          <w:sz w:val="24"/>
          <w:szCs w:val="24"/>
        </w:rPr>
        <w:t>FAQs and responses</w:t>
      </w:r>
    </w:p>
    <w:p w14:paraId="5BDCFA0D" w14:textId="77777777" w:rsidR="004A1368" w:rsidRDefault="004A1368" w:rsidP="00195CB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56787B17" w14:textId="267CD4AB" w:rsidR="004A1368" w:rsidRPr="004A1368" w:rsidRDefault="004A1368" w:rsidP="00DC0FA5">
      <w:pPr>
        <w:pStyle w:val="ListParagraph"/>
        <w:numPr>
          <w:ilvl w:val="0"/>
          <w:numId w:val="21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4A1368">
        <w:rPr>
          <w:rFonts w:ascii="Franklin Gothic Book" w:hAnsi="Franklin Gothic Book" w:cs="Tahoma"/>
          <w:sz w:val="24"/>
          <w:szCs w:val="24"/>
        </w:rPr>
        <w:t>My jurisdiction/agency is using the 2018 EEAs to advance our own equity</w:t>
      </w:r>
      <w:r w:rsidRPr="004A1368">
        <w:rPr>
          <w:rFonts w:ascii="Franklin Gothic Book" w:hAnsi="Franklin Gothic Book" w:cs="Tahoma"/>
          <w:sz w:val="24"/>
          <w:szCs w:val="24"/>
        </w:rPr>
        <w:t xml:space="preserve"> </w:t>
      </w:r>
      <w:r w:rsidRPr="004A1368">
        <w:rPr>
          <w:rFonts w:ascii="Franklin Gothic Book" w:hAnsi="Franklin Gothic Book" w:cs="Tahoma"/>
          <w:sz w:val="24"/>
          <w:szCs w:val="24"/>
        </w:rPr>
        <w:t>considerations, how are we to use these newly defined EEAs? What will</w:t>
      </w:r>
      <w:r>
        <w:rPr>
          <w:rFonts w:ascii="Franklin Gothic Book" w:hAnsi="Franklin Gothic Book" w:cs="Tahoma"/>
          <w:sz w:val="24"/>
          <w:szCs w:val="24"/>
        </w:rPr>
        <w:t xml:space="preserve"> </w:t>
      </w:r>
      <w:r w:rsidRPr="004A1368">
        <w:rPr>
          <w:rFonts w:ascii="Franklin Gothic Book" w:hAnsi="Franklin Gothic Book" w:cs="Tahoma"/>
          <w:sz w:val="24"/>
          <w:szCs w:val="24"/>
        </w:rPr>
        <w:t>happen to the existing data?</w:t>
      </w:r>
    </w:p>
    <w:p w14:paraId="7C183CFC" w14:textId="578762FF" w:rsidR="00544968" w:rsidRPr="004A1368" w:rsidRDefault="004A1368" w:rsidP="004A1368">
      <w:pPr>
        <w:pStyle w:val="ListParagraph"/>
        <w:numPr>
          <w:ilvl w:val="1"/>
          <w:numId w:val="21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4A1368">
        <w:rPr>
          <w:rFonts w:ascii="Franklin Gothic Book" w:hAnsi="Franklin Gothic Book" w:cs="Tahoma"/>
          <w:sz w:val="24"/>
          <w:szCs w:val="24"/>
        </w:rPr>
        <w:t>TPB staff is supportive of the use of the 2018 EEAs by its member jurisdictions</w:t>
      </w:r>
      <w:r w:rsidRPr="004A1368">
        <w:rPr>
          <w:rFonts w:ascii="Franklin Gothic Book" w:hAnsi="Franklin Gothic Book" w:cs="Tahoma"/>
          <w:sz w:val="24"/>
          <w:szCs w:val="24"/>
        </w:rPr>
        <w:t xml:space="preserve"> </w:t>
      </w:r>
      <w:r w:rsidRPr="004A1368">
        <w:rPr>
          <w:rFonts w:ascii="Franklin Gothic Book" w:hAnsi="Franklin Gothic Book" w:cs="Tahoma"/>
          <w:sz w:val="24"/>
          <w:szCs w:val="24"/>
        </w:rPr>
        <w:t>to inform local decision making in efforts to address equity. Updating the 2018</w:t>
      </w:r>
      <w:r w:rsidRPr="004A1368">
        <w:rPr>
          <w:rFonts w:ascii="Franklin Gothic Book" w:hAnsi="Franklin Gothic Book" w:cs="Tahoma"/>
          <w:sz w:val="24"/>
          <w:szCs w:val="24"/>
        </w:rPr>
        <w:t xml:space="preserve"> </w:t>
      </w:r>
      <w:r w:rsidRPr="004A1368">
        <w:rPr>
          <w:rFonts w:ascii="Franklin Gothic Book" w:hAnsi="Franklin Gothic Book" w:cs="Tahoma"/>
          <w:sz w:val="24"/>
          <w:szCs w:val="24"/>
        </w:rPr>
        <w:t>EEAs to match with the 2022 designations should be informed by a review of</w:t>
      </w:r>
      <w:r w:rsidRPr="004A1368">
        <w:rPr>
          <w:rFonts w:ascii="Franklin Gothic Book" w:hAnsi="Franklin Gothic Book" w:cs="Tahoma"/>
          <w:sz w:val="24"/>
          <w:szCs w:val="24"/>
        </w:rPr>
        <w:t xml:space="preserve"> </w:t>
      </w:r>
      <w:r w:rsidRPr="004A1368">
        <w:rPr>
          <w:rFonts w:ascii="Franklin Gothic Book" w:hAnsi="Franklin Gothic Book" w:cs="Tahoma"/>
          <w:sz w:val="24"/>
          <w:szCs w:val="24"/>
        </w:rPr>
        <w:t>how the EEA and its data is being used in local efforts.</w:t>
      </w:r>
      <w:r w:rsidRPr="004A1368">
        <w:rPr>
          <w:rFonts w:ascii="Franklin Gothic Book" w:hAnsi="Franklin Gothic Book" w:cs="Tahoma"/>
          <w:sz w:val="24"/>
          <w:szCs w:val="24"/>
        </w:rPr>
        <w:t xml:space="preserve"> </w:t>
      </w:r>
      <w:r>
        <w:rPr>
          <w:rFonts w:ascii="Franklin Gothic Book" w:hAnsi="Franklin Gothic Book" w:cs="Tahoma"/>
          <w:sz w:val="24"/>
          <w:szCs w:val="24"/>
        </w:rPr>
        <w:br/>
      </w:r>
      <w:r>
        <w:rPr>
          <w:rFonts w:ascii="Franklin Gothic Book" w:hAnsi="Franklin Gothic Book" w:cs="Tahoma"/>
          <w:sz w:val="24"/>
          <w:szCs w:val="24"/>
        </w:rPr>
        <w:br/>
      </w:r>
      <w:r w:rsidRPr="004A1368">
        <w:rPr>
          <w:rFonts w:ascii="Franklin Gothic Book" w:hAnsi="Franklin Gothic Book" w:cs="Tahoma"/>
          <w:sz w:val="24"/>
          <w:szCs w:val="24"/>
        </w:rPr>
        <w:t>Data for the 2022 EEAs will be made available to member jurisdictions while the</w:t>
      </w:r>
      <w:r w:rsidRPr="004A1368">
        <w:rPr>
          <w:rFonts w:ascii="Franklin Gothic Book" w:hAnsi="Franklin Gothic Book" w:cs="Tahoma"/>
          <w:sz w:val="24"/>
          <w:szCs w:val="24"/>
        </w:rPr>
        <w:t xml:space="preserve"> </w:t>
      </w:r>
      <w:r w:rsidRPr="004A1368">
        <w:rPr>
          <w:rFonts w:ascii="Franklin Gothic Book" w:hAnsi="Franklin Gothic Book" w:cs="Tahoma"/>
          <w:sz w:val="24"/>
          <w:szCs w:val="24"/>
        </w:rPr>
        <w:t>2018 EEAs will remain available to member jurisdictions in the TPB’s Regional</w:t>
      </w:r>
      <w:r w:rsidRPr="004A1368">
        <w:rPr>
          <w:rFonts w:ascii="Franklin Gothic Book" w:hAnsi="Franklin Gothic Book" w:cs="Tahoma"/>
          <w:sz w:val="24"/>
          <w:szCs w:val="24"/>
        </w:rPr>
        <w:t xml:space="preserve"> </w:t>
      </w:r>
      <w:r w:rsidRPr="004A1368">
        <w:rPr>
          <w:rFonts w:ascii="Franklin Gothic Book" w:hAnsi="Franklin Gothic Book" w:cs="Tahoma"/>
          <w:sz w:val="24"/>
          <w:szCs w:val="24"/>
        </w:rPr>
        <w:t>Transportation Database Clearinghouse.</w:t>
      </w:r>
      <w:r w:rsidRPr="004A1368">
        <w:rPr>
          <w:rFonts w:ascii="Franklin Gothic Book" w:hAnsi="Franklin Gothic Book" w:cs="Tahoma"/>
          <w:sz w:val="24"/>
          <w:szCs w:val="24"/>
        </w:rPr>
        <w:t xml:space="preserve"> </w:t>
      </w:r>
      <w:r>
        <w:rPr>
          <w:rFonts w:ascii="Franklin Gothic Book" w:hAnsi="Franklin Gothic Book" w:cs="Tahoma"/>
          <w:sz w:val="24"/>
          <w:szCs w:val="24"/>
        </w:rPr>
        <w:br/>
      </w:r>
      <w:r>
        <w:rPr>
          <w:rFonts w:ascii="Franklin Gothic Book" w:hAnsi="Franklin Gothic Book" w:cs="Tahoma"/>
          <w:sz w:val="24"/>
          <w:szCs w:val="24"/>
        </w:rPr>
        <w:br/>
      </w:r>
      <w:r w:rsidRPr="004A1368">
        <w:rPr>
          <w:rFonts w:ascii="Franklin Gothic Book" w:hAnsi="Franklin Gothic Book" w:cs="Tahoma"/>
          <w:sz w:val="24"/>
          <w:szCs w:val="24"/>
        </w:rPr>
        <w:t>The TPB’s EEA designations are a regional product and not explicitly approved</w:t>
      </w:r>
      <w:r w:rsidRPr="004A1368">
        <w:rPr>
          <w:rFonts w:ascii="Franklin Gothic Book" w:hAnsi="Franklin Gothic Book" w:cs="Tahoma"/>
          <w:sz w:val="24"/>
          <w:szCs w:val="24"/>
        </w:rPr>
        <w:t xml:space="preserve"> </w:t>
      </w:r>
      <w:r w:rsidRPr="004A1368">
        <w:rPr>
          <w:rFonts w:ascii="Franklin Gothic Book" w:hAnsi="Franklin Gothic Book" w:cs="Tahoma"/>
          <w:sz w:val="24"/>
          <w:szCs w:val="24"/>
        </w:rPr>
        <w:t>by the FHWA, FTA, or any other federal agency. There is no requirement for TPB</w:t>
      </w:r>
      <w:r>
        <w:rPr>
          <w:rFonts w:ascii="Franklin Gothic Book" w:hAnsi="Franklin Gothic Book" w:cs="Tahoma"/>
          <w:sz w:val="24"/>
          <w:szCs w:val="24"/>
        </w:rPr>
        <w:t xml:space="preserve"> </w:t>
      </w:r>
      <w:r w:rsidRPr="004A1368">
        <w:rPr>
          <w:rFonts w:ascii="Franklin Gothic Book" w:hAnsi="Franklin Gothic Book" w:cs="Tahoma"/>
          <w:sz w:val="24"/>
          <w:szCs w:val="24"/>
        </w:rPr>
        <w:t>member to use the TPB’s EEAs in any other federal program and/or grants.</w:t>
      </w:r>
    </w:p>
    <w:p w14:paraId="00646D15" w14:textId="77777777" w:rsidR="001D349F" w:rsidRDefault="001D349F" w:rsidP="00195CB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1F4F9F07" w14:textId="77777777" w:rsidR="001D349F" w:rsidRDefault="001D349F" w:rsidP="00195CB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0AA56EDF" w14:textId="1DB1A53D" w:rsidR="007B1CB2" w:rsidRDefault="007B1CB2" w:rsidP="00195CB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Slide 14:</w:t>
      </w:r>
      <w:r w:rsidRPr="007B1CB2">
        <w:t xml:space="preserve"> </w:t>
      </w:r>
      <w:r w:rsidR="004A1368">
        <w:rPr>
          <w:rFonts w:ascii="Franklin Gothic Book" w:hAnsi="Franklin Gothic Book" w:cs="Tahoma"/>
          <w:sz w:val="24"/>
          <w:szCs w:val="24"/>
        </w:rPr>
        <w:t>FAQ and responses</w:t>
      </w:r>
    </w:p>
    <w:p w14:paraId="4250707D" w14:textId="22F8451A" w:rsidR="001D349F" w:rsidRDefault="001D349F" w:rsidP="00195CB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5664E5FC" w14:textId="2EC25285" w:rsidR="004A1368" w:rsidRPr="004A1368" w:rsidRDefault="004A1368" w:rsidP="00752F24">
      <w:pPr>
        <w:pStyle w:val="ListParagraph"/>
        <w:numPr>
          <w:ilvl w:val="0"/>
          <w:numId w:val="11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4A1368">
        <w:rPr>
          <w:rFonts w:ascii="Franklin Gothic Book" w:hAnsi="Franklin Gothic Book" w:cs="Tahoma"/>
          <w:sz w:val="24"/>
          <w:szCs w:val="24"/>
        </w:rPr>
        <w:t xml:space="preserve">How does the demographic </w:t>
      </w:r>
      <w:proofErr w:type="spellStart"/>
      <w:r w:rsidRPr="004A1368">
        <w:rPr>
          <w:rFonts w:ascii="Franklin Gothic Book" w:hAnsi="Franklin Gothic Book" w:cs="Tahoma"/>
          <w:sz w:val="24"/>
          <w:szCs w:val="24"/>
        </w:rPr>
        <w:t>make up</w:t>
      </w:r>
      <w:proofErr w:type="spellEnd"/>
      <w:r w:rsidRPr="004A1368">
        <w:rPr>
          <w:rFonts w:ascii="Franklin Gothic Book" w:hAnsi="Franklin Gothic Book" w:cs="Tahoma"/>
          <w:sz w:val="24"/>
          <w:szCs w:val="24"/>
        </w:rPr>
        <w:t xml:space="preserve"> of the region compare today to 5 years</w:t>
      </w:r>
      <w:r>
        <w:rPr>
          <w:rFonts w:ascii="Franklin Gothic Book" w:hAnsi="Franklin Gothic Book" w:cs="Tahoma"/>
          <w:sz w:val="24"/>
          <w:szCs w:val="24"/>
        </w:rPr>
        <w:t xml:space="preserve"> </w:t>
      </w:r>
      <w:r w:rsidRPr="004A1368">
        <w:rPr>
          <w:rFonts w:ascii="Franklin Gothic Book" w:hAnsi="Franklin Gothic Book" w:cs="Tahoma"/>
          <w:sz w:val="24"/>
          <w:szCs w:val="24"/>
        </w:rPr>
        <w:t>ago and how may it impact the identification of EEAs?</w:t>
      </w:r>
    </w:p>
    <w:p w14:paraId="137F6E82" w14:textId="45F5400A" w:rsidR="004A1368" w:rsidRPr="004A1368" w:rsidRDefault="004A1368" w:rsidP="004A1368">
      <w:pPr>
        <w:pStyle w:val="ListParagraph"/>
        <w:numPr>
          <w:ilvl w:val="1"/>
          <w:numId w:val="11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4A1368">
        <w:rPr>
          <w:rFonts w:ascii="Franklin Gothic Book" w:hAnsi="Franklin Gothic Book" w:cs="Tahoma"/>
          <w:sz w:val="24"/>
          <w:szCs w:val="24"/>
        </w:rPr>
        <w:t xml:space="preserve">Demographic </w:t>
      </w:r>
      <w:proofErr w:type="spellStart"/>
      <w:r w:rsidRPr="004A1368">
        <w:rPr>
          <w:rFonts w:ascii="Franklin Gothic Book" w:hAnsi="Franklin Gothic Book" w:cs="Tahoma"/>
          <w:sz w:val="24"/>
          <w:szCs w:val="24"/>
        </w:rPr>
        <w:t>make</w:t>
      </w:r>
      <w:r w:rsidRPr="004A1368">
        <w:rPr>
          <w:rFonts w:ascii="Franklin Gothic Book" w:hAnsi="Franklin Gothic Book" w:cs="Tahoma"/>
          <w:sz w:val="24"/>
          <w:szCs w:val="24"/>
        </w:rPr>
        <w:t xml:space="preserve"> </w:t>
      </w:r>
      <w:r w:rsidRPr="004A1368">
        <w:rPr>
          <w:rFonts w:ascii="Franklin Gothic Book" w:hAnsi="Franklin Gothic Book" w:cs="Tahoma"/>
          <w:sz w:val="24"/>
          <w:szCs w:val="24"/>
        </w:rPr>
        <w:t>up</w:t>
      </w:r>
      <w:proofErr w:type="spellEnd"/>
      <w:r w:rsidRPr="004A1368">
        <w:rPr>
          <w:rFonts w:ascii="Franklin Gothic Book" w:hAnsi="Franklin Gothic Book" w:cs="Tahoma"/>
          <w:sz w:val="24"/>
          <w:szCs w:val="24"/>
        </w:rPr>
        <w:t xml:space="preserve"> of the region is very similar to 2012 2016 ACS. Like the</w:t>
      </w:r>
      <w:r w:rsidRPr="004A1368">
        <w:rPr>
          <w:rFonts w:ascii="Franklin Gothic Book" w:hAnsi="Franklin Gothic Book" w:cs="Tahoma"/>
          <w:sz w:val="24"/>
          <w:szCs w:val="24"/>
        </w:rPr>
        <w:t xml:space="preserve"> </w:t>
      </w:r>
      <w:r w:rsidRPr="004A1368">
        <w:rPr>
          <w:rFonts w:ascii="Franklin Gothic Book" w:hAnsi="Franklin Gothic Book" w:cs="Tahoma"/>
          <w:sz w:val="24"/>
          <w:szCs w:val="24"/>
        </w:rPr>
        <w:t>region’s total population, all historically disadvantaged racial and ethnic EEA</w:t>
      </w:r>
      <w:r w:rsidRPr="004A1368">
        <w:rPr>
          <w:rFonts w:ascii="Franklin Gothic Book" w:hAnsi="Franklin Gothic Book" w:cs="Tahoma"/>
          <w:sz w:val="24"/>
          <w:szCs w:val="24"/>
        </w:rPr>
        <w:t xml:space="preserve"> </w:t>
      </w:r>
      <w:r w:rsidRPr="004A1368">
        <w:rPr>
          <w:rFonts w:ascii="Franklin Gothic Book" w:hAnsi="Franklin Gothic Book" w:cs="Tahoma"/>
          <w:sz w:val="24"/>
          <w:szCs w:val="24"/>
        </w:rPr>
        <w:t>population groups similarly increased in total population over the two time</w:t>
      </w:r>
      <w:r w:rsidRPr="004A1368">
        <w:rPr>
          <w:rFonts w:ascii="Franklin Gothic Book" w:hAnsi="Franklin Gothic Book" w:cs="Tahoma"/>
          <w:sz w:val="24"/>
          <w:szCs w:val="24"/>
        </w:rPr>
        <w:t xml:space="preserve"> </w:t>
      </w:r>
      <w:r w:rsidRPr="004A1368">
        <w:rPr>
          <w:rFonts w:ascii="Franklin Gothic Book" w:hAnsi="Franklin Gothic Book" w:cs="Tahoma"/>
          <w:sz w:val="24"/>
          <w:szCs w:val="24"/>
        </w:rPr>
        <w:t>periods and their respective percent share within EEAs remained relatively</w:t>
      </w:r>
      <w:r>
        <w:rPr>
          <w:rFonts w:ascii="Franklin Gothic Book" w:hAnsi="Franklin Gothic Book" w:cs="Tahoma"/>
          <w:sz w:val="24"/>
          <w:szCs w:val="24"/>
        </w:rPr>
        <w:t xml:space="preserve"> </w:t>
      </w:r>
      <w:r w:rsidRPr="004A1368">
        <w:rPr>
          <w:rFonts w:ascii="Franklin Gothic Book" w:hAnsi="Franklin Gothic Book" w:cs="Tahoma"/>
          <w:sz w:val="24"/>
          <w:szCs w:val="24"/>
        </w:rPr>
        <w:t>steady.</w:t>
      </w:r>
    </w:p>
    <w:p w14:paraId="16B83D78" w14:textId="62508FFF" w:rsidR="004A1368" w:rsidRPr="004A1368" w:rsidRDefault="004A1368" w:rsidP="002955D0">
      <w:pPr>
        <w:pStyle w:val="ListParagraph"/>
        <w:numPr>
          <w:ilvl w:val="0"/>
          <w:numId w:val="11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4A1368">
        <w:rPr>
          <w:rFonts w:ascii="Franklin Gothic Book" w:hAnsi="Franklin Gothic Book" w:cs="Tahoma"/>
          <w:sz w:val="24"/>
          <w:szCs w:val="24"/>
        </w:rPr>
        <w:t>There are an additional net 13 tracts identified as EEAs but the percent share</w:t>
      </w:r>
      <w:r>
        <w:rPr>
          <w:rFonts w:ascii="Franklin Gothic Book" w:hAnsi="Franklin Gothic Book" w:cs="Tahoma"/>
          <w:sz w:val="24"/>
          <w:szCs w:val="24"/>
        </w:rPr>
        <w:t xml:space="preserve"> </w:t>
      </w:r>
      <w:r w:rsidRPr="004A1368">
        <w:rPr>
          <w:rFonts w:ascii="Franklin Gothic Book" w:hAnsi="Franklin Gothic Book" w:cs="Tahoma"/>
          <w:sz w:val="24"/>
          <w:szCs w:val="24"/>
        </w:rPr>
        <w:t>of all tracts in the region has declined (from 28.7% to 27.4%), why is this?</w:t>
      </w:r>
    </w:p>
    <w:p w14:paraId="2BA9125D" w14:textId="7A6CD279" w:rsidR="001D349F" w:rsidRPr="004A1368" w:rsidRDefault="004A1368" w:rsidP="004A1368">
      <w:pPr>
        <w:pStyle w:val="ListParagraph"/>
        <w:numPr>
          <w:ilvl w:val="1"/>
          <w:numId w:val="11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4A1368">
        <w:rPr>
          <w:rFonts w:ascii="Franklin Gothic Book" w:hAnsi="Franklin Gothic Book" w:cs="Tahoma"/>
          <w:sz w:val="24"/>
          <w:szCs w:val="24"/>
        </w:rPr>
        <w:t>With every decennial Census the U.S. Census updates tracts for the country.</w:t>
      </w:r>
      <w:r w:rsidRPr="004A1368">
        <w:rPr>
          <w:rFonts w:ascii="Franklin Gothic Book" w:hAnsi="Franklin Gothic Book" w:cs="Tahoma"/>
          <w:sz w:val="24"/>
          <w:szCs w:val="24"/>
        </w:rPr>
        <w:t xml:space="preserve"> </w:t>
      </w:r>
      <w:r w:rsidRPr="004A1368">
        <w:rPr>
          <w:rFonts w:ascii="Franklin Gothic Book" w:hAnsi="Franklin Gothic Book" w:cs="Tahoma"/>
          <w:sz w:val="24"/>
          <w:szCs w:val="24"/>
        </w:rPr>
        <w:t>From the 2020 Census, this region now has an additional 108 tracts. This</w:t>
      </w:r>
      <w:r w:rsidRPr="004A1368">
        <w:rPr>
          <w:rFonts w:ascii="Franklin Gothic Book" w:hAnsi="Franklin Gothic Book" w:cs="Tahoma"/>
          <w:sz w:val="24"/>
          <w:szCs w:val="24"/>
        </w:rPr>
        <w:t xml:space="preserve"> </w:t>
      </w:r>
      <w:r w:rsidRPr="004A1368">
        <w:rPr>
          <w:rFonts w:ascii="Franklin Gothic Book" w:hAnsi="Franklin Gothic Book" w:cs="Tahoma"/>
          <w:sz w:val="24"/>
          <w:szCs w:val="24"/>
        </w:rPr>
        <w:t>results in more overall tracts in the region and more tracts identified as EEAs</w:t>
      </w:r>
      <w:r>
        <w:rPr>
          <w:rFonts w:ascii="Franklin Gothic Book" w:hAnsi="Franklin Gothic Book" w:cs="Tahoma"/>
          <w:sz w:val="24"/>
          <w:szCs w:val="24"/>
        </w:rPr>
        <w:t xml:space="preserve"> </w:t>
      </w:r>
      <w:r w:rsidRPr="004A1368">
        <w:rPr>
          <w:rFonts w:ascii="Franklin Gothic Book" w:hAnsi="Franklin Gothic Book" w:cs="Tahoma"/>
          <w:sz w:val="24"/>
          <w:szCs w:val="24"/>
        </w:rPr>
        <w:t>while still being a similar percent share of all tracts in the region.</w:t>
      </w:r>
    </w:p>
    <w:p w14:paraId="320F20E2" w14:textId="096D595E" w:rsidR="00B91216" w:rsidRDefault="00B91216" w:rsidP="00195CB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36631D50" w14:textId="1461FF40" w:rsidR="00544968" w:rsidRDefault="00544968" w:rsidP="001D349F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0E89EC9B" w14:textId="1EC1218F" w:rsidR="001D349F" w:rsidRDefault="001D349F" w:rsidP="001D349F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 xml:space="preserve">Slide 15: The </w:t>
      </w:r>
      <w:r w:rsidR="004A1368">
        <w:rPr>
          <w:rFonts w:ascii="Franklin Gothic Book" w:hAnsi="Franklin Gothic Book" w:cs="Tahoma"/>
          <w:sz w:val="24"/>
          <w:szCs w:val="24"/>
        </w:rPr>
        <w:t>EJ Analysis: Next Steps</w:t>
      </w:r>
    </w:p>
    <w:p w14:paraId="104B2309" w14:textId="77777777" w:rsidR="001D349F" w:rsidRPr="001D349F" w:rsidRDefault="001D349F" w:rsidP="001D349F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1FC20693" w14:textId="0ED4504A" w:rsidR="004A1368" w:rsidRPr="004A1368" w:rsidRDefault="004A1368" w:rsidP="004A1368">
      <w:pPr>
        <w:pStyle w:val="ListParagraph"/>
        <w:numPr>
          <w:ilvl w:val="0"/>
          <w:numId w:val="11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4A1368">
        <w:rPr>
          <w:rFonts w:ascii="Franklin Gothic Book" w:hAnsi="Franklin Gothic Book" w:cs="Tahoma"/>
          <w:sz w:val="24"/>
          <w:szCs w:val="24"/>
        </w:rPr>
        <w:lastRenderedPageBreak/>
        <w:t>Conduct Phase 2: Analyze the 2022 update to Visualize</w:t>
      </w:r>
      <w:r w:rsidRPr="004A1368">
        <w:rPr>
          <w:rFonts w:ascii="Franklin Gothic Book" w:hAnsi="Franklin Gothic Book" w:cs="Tahoma"/>
          <w:sz w:val="24"/>
          <w:szCs w:val="24"/>
        </w:rPr>
        <w:t xml:space="preserve"> </w:t>
      </w:r>
      <w:r w:rsidRPr="004A1368">
        <w:rPr>
          <w:rFonts w:ascii="Franklin Gothic Book" w:hAnsi="Franklin Gothic Book" w:cs="Tahoma"/>
          <w:sz w:val="24"/>
          <w:szCs w:val="24"/>
        </w:rPr>
        <w:t>2045 for disproportionately high and significantly adverse</w:t>
      </w:r>
      <w:r w:rsidRPr="004A1368">
        <w:rPr>
          <w:rFonts w:ascii="Franklin Gothic Book" w:hAnsi="Franklin Gothic Book" w:cs="Tahoma"/>
          <w:sz w:val="24"/>
          <w:szCs w:val="24"/>
        </w:rPr>
        <w:t xml:space="preserve"> </w:t>
      </w:r>
      <w:r w:rsidRPr="004A1368">
        <w:rPr>
          <w:rFonts w:ascii="Franklin Gothic Book" w:hAnsi="Franklin Gothic Book" w:cs="Tahoma"/>
          <w:sz w:val="24"/>
          <w:szCs w:val="24"/>
        </w:rPr>
        <w:t>impact on low income and traditionally disadvantage racial</w:t>
      </w:r>
      <w:r w:rsidRPr="004A1368">
        <w:rPr>
          <w:rFonts w:ascii="Franklin Gothic Book" w:hAnsi="Franklin Gothic Book" w:cs="Tahoma"/>
          <w:sz w:val="24"/>
          <w:szCs w:val="24"/>
        </w:rPr>
        <w:t xml:space="preserve"> </w:t>
      </w:r>
      <w:r w:rsidRPr="004A1368">
        <w:rPr>
          <w:rFonts w:ascii="Franklin Gothic Book" w:hAnsi="Franklin Gothic Book" w:cs="Tahoma"/>
          <w:sz w:val="24"/>
          <w:szCs w:val="24"/>
        </w:rPr>
        <w:t>and ethnic populations. If found, develop mitigation</w:t>
      </w:r>
      <w:r>
        <w:rPr>
          <w:rFonts w:ascii="Franklin Gothic Book" w:hAnsi="Franklin Gothic Book" w:cs="Tahoma"/>
          <w:sz w:val="24"/>
          <w:szCs w:val="24"/>
        </w:rPr>
        <w:t xml:space="preserve"> </w:t>
      </w:r>
      <w:r w:rsidRPr="004A1368">
        <w:rPr>
          <w:rFonts w:ascii="Franklin Gothic Book" w:hAnsi="Franklin Gothic Book" w:cs="Tahoma"/>
          <w:sz w:val="24"/>
          <w:szCs w:val="24"/>
        </w:rPr>
        <w:t>measures.</w:t>
      </w:r>
    </w:p>
    <w:p w14:paraId="7B1ECAEF" w14:textId="6CC34FE0" w:rsidR="001D349F" w:rsidRPr="004A1368" w:rsidRDefault="004A1368" w:rsidP="004A1368">
      <w:pPr>
        <w:pStyle w:val="ListParagraph"/>
        <w:numPr>
          <w:ilvl w:val="0"/>
          <w:numId w:val="11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4A1368">
        <w:rPr>
          <w:rFonts w:ascii="Franklin Gothic Book" w:hAnsi="Franklin Gothic Book" w:cs="Tahoma"/>
          <w:sz w:val="24"/>
          <w:szCs w:val="24"/>
        </w:rPr>
        <w:t>Staff expect to present the results of the analysis to TPB</w:t>
      </w:r>
      <w:r>
        <w:rPr>
          <w:rFonts w:ascii="Franklin Gothic Book" w:hAnsi="Franklin Gothic Book" w:cs="Tahoma"/>
          <w:sz w:val="24"/>
          <w:szCs w:val="24"/>
        </w:rPr>
        <w:t xml:space="preserve"> </w:t>
      </w:r>
      <w:r w:rsidRPr="004A1368">
        <w:rPr>
          <w:rFonts w:ascii="Franklin Gothic Book" w:hAnsi="Franklin Gothic Book" w:cs="Tahoma"/>
          <w:sz w:val="24"/>
          <w:szCs w:val="24"/>
        </w:rPr>
        <w:t>in early to late Fall 2022</w:t>
      </w:r>
    </w:p>
    <w:p w14:paraId="329FD2E3" w14:textId="18B7735A" w:rsidR="001D349F" w:rsidRDefault="001D349F" w:rsidP="001D349F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50D1057B" w14:textId="7DCC2BF4" w:rsidR="001D349F" w:rsidRDefault="001D349F" w:rsidP="001D349F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097480FC" w14:textId="76ED2996" w:rsidR="00544968" w:rsidRDefault="001D349F" w:rsidP="004A1368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Slide 16: Thank You</w:t>
      </w:r>
    </w:p>
    <w:p w14:paraId="03614FF7" w14:textId="47455C92" w:rsidR="004A1368" w:rsidRDefault="004A1368" w:rsidP="004A1368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4AFD1C76" w14:textId="62E2EDD3" w:rsidR="004A1368" w:rsidRDefault="004A1368" w:rsidP="004A1368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Sergio Ritacco</w:t>
      </w:r>
    </w:p>
    <w:p w14:paraId="36CAB3A9" w14:textId="5ECAA7B0" w:rsidR="004A1368" w:rsidRDefault="004A1368" w:rsidP="004A1368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Transportation Planner</w:t>
      </w:r>
    </w:p>
    <w:p w14:paraId="1F8FEDB2" w14:textId="05689BF1" w:rsidR="004A1368" w:rsidRDefault="004A1368" w:rsidP="004A1368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202.962.3232</w:t>
      </w:r>
    </w:p>
    <w:p w14:paraId="19330D26" w14:textId="5A0A5AC9" w:rsidR="004A1368" w:rsidRPr="000C09E1" w:rsidRDefault="004A1368" w:rsidP="004A1368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hyperlink r:id="rId6" w:history="1">
        <w:r w:rsidRPr="000317E1">
          <w:rPr>
            <w:rStyle w:val="Hyperlink"/>
            <w:rFonts w:ascii="Franklin Gothic Book" w:hAnsi="Franklin Gothic Book" w:cs="Tahoma"/>
            <w:sz w:val="24"/>
            <w:szCs w:val="24"/>
          </w:rPr>
          <w:t>sritacco@mwcog.org</w:t>
        </w:r>
      </w:hyperlink>
      <w:r>
        <w:rPr>
          <w:rFonts w:ascii="Franklin Gothic Book" w:hAnsi="Franklin Gothic Book" w:cs="Tahoma"/>
          <w:sz w:val="24"/>
          <w:szCs w:val="24"/>
        </w:rPr>
        <w:t xml:space="preserve"> </w:t>
      </w:r>
    </w:p>
    <w:sectPr w:rsidR="004A1368" w:rsidRPr="000C09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160B2"/>
    <w:multiLevelType w:val="hybridMultilevel"/>
    <w:tmpl w:val="D11CB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16A70"/>
    <w:multiLevelType w:val="hybridMultilevel"/>
    <w:tmpl w:val="545CD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E3574"/>
    <w:multiLevelType w:val="hybridMultilevel"/>
    <w:tmpl w:val="E6B8B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9784E"/>
    <w:multiLevelType w:val="hybridMultilevel"/>
    <w:tmpl w:val="18E43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D5546"/>
    <w:multiLevelType w:val="hybridMultilevel"/>
    <w:tmpl w:val="1BE69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47B89"/>
    <w:multiLevelType w:val="hybridMultilevel"/>
    <w:tmpl w:val="144AB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D7444"/>
    <w:multiLevelType w:val="hybridMultilevel"/>
    <w:tmpl w:val="A39AC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C0226E"/>
    <w:multiLevelType w:val="hybridMultilevel"/>
    <w:tmpl w:val="15884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BB2D14"/>
    <w:multiLevelType w:val="hybridMultilevel"/>
    <w:tmpl w:val="30B87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03C76"/>
    <w:multiLevelType w:val="hybridMultilevel"/>
    <w:tmpl w:val="92BCD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60847"/>
    <w:multiLevelType w:val="hybridMultilevel"/>
    <w:tmpl w:val="973EA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16015"/>
    <w:multiLevelType w:val="hybridMultilevel"/>
    <w:tmpl w:val="9F24A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A2325"/>
    <w:multiLevelType w:val="hybridMultilevel"/>
    <w:tmpl w:val="D5000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01810"/>
    <w:multiLevelType w:val="hybridMultilevel"/>
    <w:tmpl w:val="9ED4C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350747"/>
    <w:multiLevelType w:val="hybridMultilevel"/>
    <w:tmpl w:val="ADD43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C22EE1"/>
    <w:multiLevelType w:val="hybridMultilevel"/>
    <w:tmpl w:val="55144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71A60"/>
    <w:multiLevelType w:val="hybridMultilevel"/>
    <w:tmpl w:val="F67C8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82C84"/>
    <w:multiLevelType w:val="hybridMultilevel"/>
    <w:tmpl w:val="50FEA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087975"/>
    <w:multiLevelType w:val="hybridMultilevel"/>
    <w:tmpl w:val="C30C3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A504D2"/>
    <w:multiLevelType w:val="hybridMultilevel"/>
    <w:tmpl w:val="257C4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A365C7"/>
    <w:multiLevelType w:val="hybridMultilevel"/>
    <w:tmpl w:val="B2E2F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17"/>
  </w:num>
  <w:num w:numId="5">
    <w:abstractNumId w:val="4"/>
  </w:num>
  <w:num w:numId="6">
    <w:abstractNumId w:val="5"/>
  </w:num>
  <w:num w:numId="7">
    <w:abstractNumId w:val="16"/>
  </w:num>
  <w:num w:numId="8">
    <w:abstractNumId w:val="2"/>
  </w:num>
  <w:num w:numId="9">
    <w:abstractNumId w:val="14"/>
  </w:num>
  <w:num w:numId="10">
    <w:abstractNumId w:val="18"/>
  </w:num>
  <w:num w:numId="11">
    <w:abstractNumId w:val="10"/>
  </w:num>
  <w:num w:numId="12">
    <w:abstractNumId w:val="20"/>
  </w:num>
  <w:num w:numId="13">
    <w:abstractNumId w:val="7"/>
  </w:num>
  <w:num w:numId="14">
    <w:abstractNumId w:val="6"/>
  </w:num>
  <w:num w:numId="15">
    <w:abstractNumId w:val="19"/>
  </w:num>
  <w:num w:numId="16">
    <w:abstractNumId w:val="15"/>
  </w:num>
  <w:num w:numId="17">
    <w:abstractNumId w:val="12"/>
  </w:num>
  <w:num w:numId="18">
    <w:abstractNumId w:val="9"/>
  </w:num>
  <w:num w:numId="19">
    <w:abstractNumId w:val="11"/>
  </w:num>
  <w:num w:numId="20">
    <w:abstractNumId w:val="13"/>
  </w:num>
  <w:num w:numId="21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01E"/>
    <w:rsid w:val="00006720"/>
    <w:rsid w:val="00010137"/>
    <w:rsid w:val="00017664"/>
    <w:rsid w:val="00017C71"/>
    <w:rsid w:val="0002509E"/>
    <w:rsid w:val="000260BF"/>
    <w:rsid w:val="000275C1"/>
    <w:rsid w:val="00047AB9"/>
    <w:rsid w:val="00052598"/>
    <w:rsid w:val="000559FC"/>
    <w:rsid w:val="00057D20"/>
    <w:rsid w:val="00066C99"/>
    <w:rsid w:val="000A2934"/>
    <w:rsid w:val="000A5C45"/>
    <w:rsid w:val="000C09E1"/>
    <w:rsid w:val="000C771C"/>
    <w:rsid w:val="000E7F04"/>
    <w:rsid w:val="000F16D8"/>
    <w:rsid w:val="000F5515"/>
    <w:rsid w:val="001111B6"/>
    <w:rsid w:val="001200CB"/>
    <w:rsid w:val="00120C0D"/>
    <w:rsid w:val="00124C0E"/>
    <w:rsid w:val="00141C1F"/>
    <w:rsid w:val="00142D96"/>
    <w:rsid w:val="00152AD3"/>
    <w:rsid w:val="001549A5"/>
    <w:rsid w:val="001563C5"/>
    <w:rsid w:val="0016031E"/>
    <w:rsid w:val="00164411"/>
    <w:rsid w:val="00170C5D"/>
    <w:rsid w:val="001735A8"/>
    <w:rsid w:val="00175FE4"/>
    <w:rsid w:val="001765E1"/>
    <w:rsid w:val="001773C6"/>
    <w:rsid w:val="00193FB6"/>
    <w:rsid w:val="00195CBD"/>
    <w:rsid w:val="00197098"/>
    <w:rsid w:val="001C22BA"/>
    <w:rsid w:val="001D349F"/>
    <w:rsid w:val="001D3B66"/>
    <w:rsid w:val="001E36E2"/>
    <w:rsid w:val="001E6A3A"/>
    <w:rsid w:val="001E79CD"/>
    <w:rsid w:val="001F156E"/>
    <w:rsid w:val="001F73FA"/>
    <w:rsid w:val="00201832"/>
    <w:rsid w:val="00202625"/>
    <w:rsid w:val="002073A4"/>
    <w:rsid w:val="00210B83"/>
    <w:rsid w:val="00225EA3"/>
    <w:rsid w:val="002264B5"/>
    <w:rsid w:val="00240D91"/>
    <w:rsid w:val="00242CBB"/>
    <w:rsid w:val="002458A9"/>
    <w:rsid w:val="00246AEE"/>
    <w:rsid w:val="002521FD"/>
    <w:rsid w:val="00261C4A"/>
    <w:rsid w:val="00265960"/>
    <w:rsid w:val="0026598E"/>
    <w:rsid w:val="002754F6"/>
    <w:rsid w:val="0027579D"/>
    <w:rsid w:val="00276937"/>
    <w:rsid w:val="002851A0"/>
    <w:rsid w:val="00286833"/>
    <w:rsid w:val="002A3703"/>
    <w:rsid w:val="002C106B"/>
    <w:rsid w:val="002C6F9D"/>
    <w:rsid w:val="002C7AEE"/>
    <w:rsid w:val="002D6545"/>
    <w:rsid w:val="002D68CA"/>
    <w:rsid w:val="002E0A7C"/>
    <w:rsid w:val="002F1EB6"/>
    <w:rsid w:val="002F2391"/>
    <w:rsid w:val="003000E1"/>
    <w:rsid w:val="00303EE5"/>
    <w:rsid w:val="00312FF0"/>
    <w:rsid w:val="00321A2C"/>
    <w:rsid w:val="003238CB"/>
    <w:rsid w:val="0032712D"/>
    <w:rsid w:val="003429ED"/>
    <w:rsid w:val="00345702"/>
    <w:rsid w:val="00351132"/>
    <w:rsid w:val="00352C27"/>
    <w:rsid w:val="00356C0D"/>
    <w:rsid w:val="0036398F"/>
    <w:rsid w:val="003717E3"/>
    <w:rsid w:val="00377D26"/>
    <w:rsid w:val="003829B3"/>
    <w:rsid w:val="003834FE"/>
    <w:rsid w:val="003922D3"/>
    <w:rsid w:val="003A206A"/>
    <w:rsid w:val="003C4EAE"/>
    <w:rsid w:val="003C6C4B"/>
    <w:rsid w:val="003D2A8E"/>
    <w:rsid w:val="003D3DD2"/>
    <w:rsid w:val="003D4366"/>
    <w:rsid w:val="003E186B"/>
    <w:rsid w:val="003E6D15"/>
    <w:rsid w:val="003F2325"/>
    <w:rsid w:val="003F5399"/>
    <w:rsid w:val="0040178F"/>
    <w:rsid w:val="004027F6"/>
    <w:rsid w:val="00415971"/>
    <w:rsid w:val="004164C2"/>
    <w:rsid w:val="00430791"/>
    <w:rsid w:val="00434C2D"/>
    <w:rsid w:val="004373ED"/>
    <w:rsid w:val="00440B5B"/>
    <w:rsid w:val="00442F02"/>
    <w:rsid w:val="00452DEA"/>
    <w:rsid w:val="00457E9D"/>
    <w:rsid w:val="004628BE"/>
    <w:rsid w:val="004629BF"/>
    <w:rsid w:val="00467920"/>
    <w:rsid w:val="00481852"/>
    <w:rsid w:val="004869C9"/>
    <w:rsid w:val="00497C37"/>
    <w:rsid w:val="004A1368"/>
    <w:rsid w:val="004A432C"/>
    <w:rsid w:val="004A4A7D"/>
    <w:rsid w:val="004C6DF9"/>
    <w:rsid w:val="004D3546"/>
    <w:rsid w:val="004F4021"/>
    <w:rsid w:val="00510770"/>
    <w:rsid w:val="00513DDB"/>
    <w:rsid w:val="0051572C"/>
    <w:rsid w:val="0052056A"/>
    <w:rsid w:val="00522261"/>
    <w:rsid w:val="00526286"/>
    <w:rsid w:val="00535404"/>
    <w:rsid w:val="00544968"/>
    <w:rsid w:val="00552C04"/>
    <w:rsid w:val="00553EAF"/>
    <w:rsid w:val="005561F6"/>
    <w:rsid w:val="00556481"/>
    <w:rsid w:val="005600C3"/>
    <w:rsid w:val="00561F35"/>
    <w:rsid w:val="005714FD"/>
    <w:rsid w:val="00572D3B"/>
    <w:rsid w:val="00580F7D"/>
    <w:rsid w:val="00590664"/>
    <w:rsid w:val="00597304"/>
    <w:rsid w:val="005E0856"/>
    <w:rsid w:val="005E18D5"/>
    <w:rsid w:val="005E1993"/>
    <w:rsid w:val="006067D9"/>
    <w:rsid w:val="00606911"/>
    <w:rsid w:val="006223E2"/>
    <w:rsid w:val="00632E0A"/>
    <w:rsid w:val="00643C89"/>
    <w:rsid w:val="0065312E"/>
    <w:rsid w:val="0065399C"/>
    <w:rsid w:val="00656286"/>
    <w:rsid w:val="00671D33"/>
    <w:rsid w:val="00672A8A"/>
    <w:rsid w:val="00686107"/>
    <w:rsid w:val="0068626D"/>
    <w:rsid w:val="00691852"/>
    <w:rsid w:val="0069191B"/>
    <w:rsid w:val="0069232B"/>
    <w:rsid w:val="006A02EF"/>
    <w:rsid w:val="006B1CCE"/>
    <w:rsid w:val="006C4034"/>
    <w:rsid w:val="006C53DD"/>
    <w:rsid w:val="006C7450"/>
    <w:rsid w:val="006F7550"/>
    <w:rsid w:val="00702B8D"/>
    <w:rsid w:val="00705556"/>
    <w:rsid w:val="0072128C"/>
    <w:rsid w:val="007317BE"/>
    <w:rsid w:val="0074520E"/>
    <w:rsid w:val="00753BEF"/>
    <w:rsid w:val="00763177"/>
    <w:rsid w:val="00774E88"/>
    <w:rsid w:val="00782598"/>
    <w:rsid w:val="00786CE0"/>
    <w:rsid w:val="007A41E3"/>
    <w:rsid w:val="007A4AE7"/>
    <w:rsid w:val="007A57B7"/>
    <w:rsid w:val="007B0967"/>
    <w:rsid w:val="007B1CB2"/>
    <w:rsid w:val="007B2987"/>
    <w:rsid w:val="007B3A3A"/>
    <w:rsid w:val="007B7464"/>
    <w:rsid w:val="007F5D02"/>
    <w:rsid w:val="0080275A"/>
    <w:rsid w:val="00814324"/>
    <w:rsid w:val="008238DF"/>
    <w:rsid w:val="00840517"/>
    <w:rsid w:val="00841ED3"/>
    <w:rsid w:val="00845DDE"/>
    <w:rsid w:val="00847EB1"/>
    <w:rsid w:val="00853659"/>
    <w:rsid w:val="00863F0B"/>
    <w:rsid w:val="00867B6B"/>
    <w:rsid w:val="00872269"/>
    <w:rsid w:val="0088121D"/>
    <w:rsid w:val="008923C1"/>
    <w:rsid w:val="00894FB4"/>
    <w:rsid w:val="00895D81"/>
    <w:rsid w:val="008A1F65"/>
    <w:rsid w:val="008A6179"/>
    <w:rsid w:val="008B6DC9"/>
    <w:rsid w:val="008C057C"/>
    <w:rsid w:val="008C2947"/>
    <w:rsid w:val="008D2C59"/>
    <w:rsid w:val="008D6E9C"/>
    <w:rsid w:val="008D791D"/>
    <w:rsid w:val="008E14D6"/>
    <w:rsid w:val="008E43C6"/>
    <w:rsid w:val="008E4B30"/>
    <w:rsid w:val="008F04E5"/>
    <w:rsid w:val="008F166E"/>
    <w:rsid w:val="008F45F5"/>
    <w:rsid w:val="008F7E6B"/>
    <w:rsid w:val="00900361"/>
    <w:rsid w:val="00901AEC"/>
    <w:rsid w:val="00903560"/>
    <w:rsid w:val="00911857"/>
    <w:rsid w:val="009224E8"/>
    <w:rsid w:val="009256A8"/>
    <w:rsid w:val="009277C5"/>
    <w:rsid w:val="00934725"/>
    <w:rsid w:val="009370C4"/>
    <w:rsid w:val="009378A5"/>
    <w:rsid w:val="00944813"/>
    <w:rsid w:val="00944DDC"/>
    <w:rsid w:val="00945C22"/>
    <w:rsid w:val="009520BE"/>
    <w:rsid w:val="0095311E"/>
    <w:rsid w:val="00953EF1"/>
    <w:rsid w:val="00957797"/>
    <w:rsid w:val="009632AA"/>
    <w:rsid w:val="00971BE2"/>
    <w:rsid w:val="009800D0"/>
    <w:rsid w:val="00980B0D"/>
    <w:rsid w:val="00992E98"/>
    <w:rsid w:val="00996A58"/>
    <w:rsid w:val="00997D79"/>
    <w:rsid w:val="009A0271"/>
    <w:rsid w:val="009B6E6B"/>
    <w:rsid w:val="009C2A22"/>
    <w:rsid w:val="009C7A98"/>
    <w:rsid w:val="009D14D0"/>
    <w:rsid w:val="009E3DC0"/>
    <w:rsid w:val="009E4921"/>
    <w:rsid w:val="009E65D0"/>
    <w:rsid w:val="009F000D"/>
    <w:rsid w:val="009F1EAC"/>
    <w:rsid w:val="009F3BD9"/>
    <w:rsid w:val="00A000CA"/>
    <w:rsid w:val="00A01BAB"/>
    <w:rsid w:val="00A054FA"/>
    <w:rsid w:val="00A06D5C"/>
    <w:rsid w:val="00A15528"/>
    <w:rsid w:val="00A31207"/>
    <w:rsid w:val="00A36E77"/>
    <w:rsid w:val="00A4150F"/>
    <w:rsid w:val="00A60FCC"/>
    <w:rsid w:val="00A618C0"/>
    <w:rsid w:val="00A64313"/>
    <w:rsid w:val="00A6445E"/>
    <w:rsid w:val="00A70ED3"/>
    <w:rsid w:val="00A83780"/>
    <w:rsid w:val="00A84002"/>
    <w:rsid w:val="00A91B8F"/>
    <w:rsid w:val="00A949DD"/>
    <w:rsid w:val="00AA5B4B"/>
    <w:rsid w:val="00AB6ECD"/>
    <w:rsid w:val="00AD1FCE"/>
    <w:rsid w:val="00AD3610"/>
    <w:rsid w:val="00AE0B13"/>
    <w:rsid w:val="00AF2BE1"/>
    <w:rsid w:val="00AF331F"/>
    <w:rsid w:val="00AF3632"/>
    <w:rsid w:val="00B10645"/>
    <w:rsid w:val="00B16D5D"/>
    <w:rsid w:val="00B206F4"/>
    <w:rsid w:val="00B20C6D"/>
    <w:rsid w:val="00B303F0"/>
    <w:rsid w:val="00B32F12"/>
    <w:rsid w:val="00B420D5"/>
    <w:rsid w:val="00B557AA"/>
    <w:rsid w:val="00B63019"/>
    <w:rsid w:val="00B7408E"/>
    <w:rsid w:val="00B80608"/>
    <w:rsid w:val="00B8259F"/>
    <w:rsid w:val="00B91216"/>
    <w:rsid w:val="00BA0D16"/>
    <w:rsid w:val="00BD22BF"/>
    <w:rsid w:val="00BD3419"/>
    <w:rsid w:val="00BD5E28"/>
    <w:rsid w:val="00BE54EA"/>
    <w:rsid w:val="00BF4214"/>
    <w:rsid w:val="00C04721"/>
    <w:rsid w:val="00C2006A"/>
    <w:rsid w:val="00C21C58"/>
    <w:rsid w:val="00C24EE4"/>
    <w:rsid w:val="00C31F3B"/>
    <w:rsid w:val="00C32285"/>
    <w:rsid w:val="00C336C8"/>
    <w:rsid w:val="00C34999"/>
    <w:rsid w:val="00C43F9D"/>
    <w:rsid w:val="00C50A1C"/>
    <w:rsid w:val="00C55334"/>
    <w:rsid w:val="00C63987"/>
    <w:rsid w:val="00C66FD8"/>
    <w:rsid w:val="00C70FDE"/>
    <w:rsid w:val="00C71D0E"/>
    <w:rsid w:val="00C728D2"/>
    <w:rsid w:val="00C86051"/>
    <w:rsid w:val="00C92B7E"/>
    <w:rsid w:val="00C97CE1"/>
    <w:rsid w:val="00CA22D1"/>
    <w:rsid w:val="00CB65CD"/>
    <w:rsid w:val="00CD6927"/>
    <w:rsid w:val="00CE1445"/>
    <w:rsid w:val="00CE4607"/>
    <w:rsid w:val="00CF4EFA"/>
    <w:rsid w:val="00D11820"/>
    <w:rsid w:val="00D339C9"/>
    <w:rsid w:val="00D33A36"/>
    <w:rsid w:val="00D4585C"/>
    <w:rsid w:val="00D5101B"/>
    <w:rsid w:val="00D67390"/>
    <w:rsid w:val="00D678AB"/>
    <w:rsid w:val="00D70F94"/>
    <w:rsid w:val="00D845DF"/>
    <w:rsid w:val="00D91072"/>
    <w:rsid w:val="00D96333"/>
    <w:rsid w:val="00DB26E9"/>
    <w:rsid w:val="00DB3CD2"/>
    <w:rsid w:val="00DC080A"/>
    <w:rsid w:val="00DC3E2F"/>
    <w:rsid w:val="00DC478A"/>
    <w:rsid w:val="00DC5F65"/>
    <w:rsid w:val="00DD232D"/>
    <w:rsid w:val="00DD3760"/>
    <w:rsid w:val="00DE25AB"/>
    <w:rsid w:val="00DE3E14"/>
    <w:rsid w:val="00DE4774"/>
    <w:rsid w:val="00DF0DDF"/>
    <w:rsid w:val="00DF1775"/>
    <w:rsid w:val="00DF4D94"/>
    <w:rsid w:val="00E0209C"/>
    <w:rsid w:val="00E02BA6"/>
    <w:rsid w:val="00E0301D"/>
    <w:rsid w:val="00E03CEA"/>
    <w:rsid w:val="00E14F14"/>
    <w:rsid w:val="00E16327"/>
    <w:rsid w:val="00E16CFA"/>
    <w:rsid w:val="00E36941"/>
    <w:rsid w:val="00E51FD3"/>
    <w:rsid w:val="00E5309D"/>
    <w:rsid w:val="00E67EC7"/>
    <w:rsid w:val="00E83CF9"/>
    <w:rsid w:val="00E9190A"/>
    <w:rsid w:val="00EA0D05"/>
    <w:rsid w:val="00EA1F10"/>
    <w:rsid w:val="00EB3E1D"/>
    <w:rsid w:val="00EB4089"/>
    <w:rsid w:val="00EC6690"/>
    <w:rsid w:val="00ED0FF4"/>
    <w:rsid w:val="00ED4FD1"/>
    <w:rsid w:val="00EE1A59"/>
    <w:rsid w:val="00EF3FE2"/>
    <w:rsid w:val="00EF42AB"/>
    <w:rsid w:val="00EF4312"/>
    <w:rsid w:val="00F02E46"/>
    <w:rsid w:val="00F06151"/>
    <w:rsid w:val="00F11CD7"/>
    <w:rsid w:val="00F22ABB"/>
    <w:rsid w:val="00F26A82"/>
    <w:rsid w:val="00F276B9"/>
    <w:rsid w:val="00F40627"/>
    <w:rsid w:val="00F42636"/>
    <w:rsid w:val="00F471D9"/>
    <w:rsid w:val="00F6170F"/>
    <w:rsid w:val="00F826AF"/>
    <w:rsid w:val="00F965EB"/>
    <w:rsid w:val="00FA2175"/>
    <w:rsid w:val="00FA28AF"/>
    <w:rsid w:val="00FA56A7"/>
    <w:rsid w:val="00FA641A"/>
    <w:rsid w:val="00FC1A37"/>
    <w:rsid w:val="00FC2682"/>
    <w:rsid w:val="00FD67C4"/>
    <w:rsid w:val="00FE4D0A"/>
    <w:rsid w:val="00FE594A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213FA"/>
  <w15:chartTrackingRefBased/>
  <w15:docId w15:val="{5F14AF2F-7A08-416E-9154-E887B416F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EAF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301E"/>
    <w:pPr>
      <w:widowControl w:val="0"/>
      <w:autoSpaceDE w:val="0"/>
      <w:autoSpaceDN w:val="0"/>
      <w:adjustRightInd w:val="0"/>
      <w:spacing w:after="0" w:line="240" w:lineRule="auto"/>
      <w:ind w:left="540" w:hanging="540"/>
      <w:outlineLvl w:val="0"/>
    </w:pPr>
    <w:rPr>
      <w:rFonts w:ascii="Times New Roman" w:hAnsi="Times New Roman"/>
      <w:color w:val="000000"/>
      <w:kern w:val="24"/>
      <w:sz w:val="64"/>
      <w:szCs w:val="6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01E"/>
    <w:rPr>
      <w:rFonts w:ascii="Times New Roman" w:eastAsia="Times New Roman" w:hAnsi="Times New Roman" w:cs="Times New Roman"/>
      <w:color w:val="000000"/>
      <w:kern w:val="24"/>
      <w:sz w:val="64"/>
      <w:szCs w:val="64"/>
    </w:rPr>
  </w:style>
  <w:style w:type="character" w:styleId="Hyperlink">
    <w:name w:val="Hyperlink"/>
    <w:basedOn w:val="DefaultParagraphFont"/>
    <w:uiPriority w:val="99"/>
    <w:unhideWhenUsed/>
    <w:rsid w:val="00FF301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F301E"/>
    <w:pPr>
      <w:ind w:left="720"/>
      <w:contextualSpacing/>
    </w:pPr>
  </w:style>
  <w:style w:type="paragraph" w:customStyle="1" w:styleId="Default">
    <w:name w:val="Default"/>
    <w:rsid w:val="007B7464"/>
    <w:pPr>
      <w:autoSpaceDE w:val="0"/>
      <w:autoSpaceDN w:val="0"/>
      <w:adjustRightInd w:val="0"/>
      <w:spacing w:after="0" w:line="240" w:lineRule="auto"/>
    </w:pPr>
    <w:rPr>
      <w:rFonts w:ascii="Franklin Gothic Medium" w:hAnsi="Franklin Gothic Medium" w:cs="Franklin Gothic Medium"/>
      <w:color w:val="000000"/>
      <w:sz w:val="24"/>
      <w:szCs w:val="24"/>
    </w:rPr>
  </w:style>
  <w:style w:type="paragraph" w:styleId="NoSpacing">
    <w:name w:val="No Spacing"/>
    <w:uiPriority w:val="1"/>
    <w:qFormat/>
    <w:rsid w:val="00597304"/>
    <w:pPr>
      <w:spacing w:after="0" w:line="240" w:lineRule="auto"/>
    </w:pPr>
    <w:rPr>
      <w:rFonts w:ascii="Calibri" w:eastAsia="Times New Roman" w:hAnsi="Calibri" w:cs="Times New Roman"/>
    </w:rPr>
  </w:style>
  <w:style w:type="character" w:styleId="Mention">
    <w:name w:val="Mention"/>
    <w:basedOn w:val="DefaultParagraphFont"/>
    <w:uiPriority w:val="99"/>
    <w:semiHidden/>
    <w:unhideWhenUsed/>
    <w:rsid w:val="00597304"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D118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50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09E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45C2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4716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86219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724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3198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5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73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02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49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419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18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591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6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36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2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1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9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253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3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34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784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01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27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419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412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328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3715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0639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7849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811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61640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4640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499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93665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28334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8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669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66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84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1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9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318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21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7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5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5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524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24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353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0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41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9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9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10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6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812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0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5446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11106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8949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10781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5670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41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027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716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660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35832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30186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06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419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420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256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101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761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21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436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146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707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1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91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2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6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2646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090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9914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3866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8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3621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2221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3783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095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3145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1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75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6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9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981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625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4645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62700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53186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476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4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47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110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66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31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6568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453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365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564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9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14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21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2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6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6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4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524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954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257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131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9600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882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92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8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0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1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20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4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17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1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6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7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4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5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37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5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7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03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5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5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8590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1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343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14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32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76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8322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3956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69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5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3937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0082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0214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11469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5971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1779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4239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8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1487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595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244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6285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9323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310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638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9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407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9351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445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928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891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135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60566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36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19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19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6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0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3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382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86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16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67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4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4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18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637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3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94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22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64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28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20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64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55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6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36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374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49872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2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9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3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76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6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1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3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59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99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9795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9046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891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847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464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975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43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488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250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431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9076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238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428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252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10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0931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1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27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60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445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9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40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601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23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941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68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5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8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5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5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221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2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5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48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6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4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2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1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62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60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384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37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4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3481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7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47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20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3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0796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186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297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9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2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77534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0700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47756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510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6127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7339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9341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8813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2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15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973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59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95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46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96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9751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9273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295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4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52343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074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693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8644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0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541373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5650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77561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5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4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41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0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0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8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08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4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6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2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7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6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77572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309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636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84956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491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170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54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5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4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54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67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41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9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5208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9407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565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7111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8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94226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3894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8223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818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037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00106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1057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5552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0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179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39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337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123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29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1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8782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90329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1877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8704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134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930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269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599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6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1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9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680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91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84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86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59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77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02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710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6416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6485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7498">
          <w:marLeft w:val="184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862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7273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1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76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1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0562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880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7082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672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31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1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ritacco@mwcog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C87B2-403C-4376-B0DC-599303A29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5</Pages>
  <Words>1084</Words>
  <Characters>6184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Zeller</dc:creator>
  <cp:keywords/>
  <dc:description/>
  <cp:lastModifiedBy>Sergio Ritacco</cp:lastModifiedBy>
  <cp:revision>8</cp:revision>
  <cp:lastPrinted>2020-05-28T14:43:00Z</cp:lastPrinted>
  <dcterms:created xsi:type="dcterms:W3CDTF">2022-02-08T20:41:00Z</dcterms:created>
  <dcterms:modified xsi:type="dcterms:W3CDTF">2022-08-30T17:00:00Z</dcterms:modified>
</cp:coreProperties>
</file>