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64" w:rsidRDefault="005D6E2B" w:rsidP="00031385">
      <w:pPr>
        <w:pStyle w:val="Heading1"/>
        <w:tabs>
          <w:tab w:val="right" w:pos="9180"/>
        </w:tabs>
      </w:pPr>
      <w:r>
        <w:t>Virginia Railway Express (VRE)</w:t>
      </w:r>
      <w:r w:rsidR="00031385">
        <w:tab/>
        <w:t>Virginia</w:t>
      </w:r>
    </w:p>
    <w:p w:rsidR="00E60001" w:rsidRPr="00E60001" w:rsidRDefault="005D6E2B">
      <w:pPr>
        <w:rPr>
          <w:rFonts w:ascii="Century Gothic" w:hAnsi="Century Gothic" w:cstheme="minorHAnsi"/>
          <w:b/>
          <w:color w:val="BC3710"/>
          <w:sz w:val="28"/>
          <w:szCs w:val="28"/>
        </w:rPr>
      </w:pPr>
      <w:r>
        <w:rPr>
          <w:rFonts w:ascii="Century Gothic" w:hAnsi="Century Gothic" w:cstheme="minorHAnsi"/>
          <w:b/>
          <w:color w:val="BC3710"/>
          <w:sz w:val="28"/>
          <w:szCs w:val="28"/>
        </w:rPr>
        <w:t>Bicycle Lockers at VRE Stations</w:t>
      </w:r>
    </w:p>
    <w:p w:rsidR="00E60001" w:rsidRDefault="00E60001" w:rsidP="00394E02">
      <w:pPr>
        <w:widowControl/>
        <w:tabs>
          <w:tab w:val="right" w:pos="9360"/>
        </w:tabs>
        <w:autoSpaceDE w:val="0"/>
        <w:autoSpaceDN w:val="0"/>
        <w:adjustRightInd w:val="0"/>
        <w:rPr>
          <w:rFonts w:asciiTheme="minorHAnsi" w:hAnsiTheme="minorHAnsi" w:cstheme="minorHAnsi"/>
          <w:sz w:val="22"/>
          <w:szCs w:val="22"/>
        </w:rPr>
      </w:pPr>
    </w:p>
    <w:p w:rsidR="00E60001" w:rsidRPr="004441B0" w:rsidRDefault="00E96ADF" w:rsidP="00B206C8">
      <w:pPr>
        <w:pStyle w:val="Heading2"/>
        <w:rPr>
          <w:snapToGrid/>
        </w:rPr>
      </w:pPr>
      <w:r>
        <w:rPr>
          <w:snapToGrid/>
        </w:rPr>
        <w:t>Project Summary</w:t>
      </w:r>
    </w:p>
    <w:p w:rsidR="00D033A0" w:rsidRPr="00D033A0" w:rsidRDefault="00D033A0" w:rsidP="00D033A0">
      <w:pPr>
        <w:rPr>
          <w:rFonts w:asciiTheme="minorHAnsi" w:hAnsiTheme="minorHAnsi" w:cstheme="minorHAnsi"/>
          <w:sz w:val="22"/>
          <w:szCs w:val="22"/>
        </w:rPr>
      </w:pPr>
      <w:r w:rsidRPr="00D033A0">
        <w:rPr>
          <w:rFonts w:asciiTheme="minorHAnsi" w:hAnsiTheme="minorHAnsi" w:cstheme="minorHAnsi"/>
          <w:sz w:val="22"/>
          <w:szCs w:val="22"/>
        </w:rPr>
        <w:t>The project will</w:t>
      </w:r>
      <w:r>
        <w:rPr>
          <w:rFonts w:asciiTheme="minorHAnsi" w:hAnsiTheme="minorHAnsi" w:cstheme="minorHAnsi"/>
          <w:sz w:val="22"/>
          <w:szCs w:val="22"/>
        </w:rPr>
        <w:t xml:space="preserve"> install bicycle lockers at eight Virginia Railway Express (</w:t>
      </w:r>
      <w:r w:rsidRPr="00D033A0">
        <w:rPr>
          <w:rFonts w:asciiTheme="minorHAnsi" w:hAnsiTheme="minorHAnsi" w:cstheme="minorHAnsi"/>
          <w:sz w:val="22"/>
          <w:szCs w:val="22"/>
        </w:rPr>
        <w:t>VRE</w:t>
      </w:r>
      <w:r>
        <w:rPr>
          <w:rFonts w:asciiTheme="minorHAnsi" w:hAnsiTheme="minorHAnsi" w:cstheme="minorHAnsi"/>
          <w:sz w:val="22"/>
          <w:szCs w:val="22"/>
        </w:rPr>
        <w:t xml:space="preserve">) Stations throughout </w:t>
      </w:r>
      <w:r w:rsidR="00A20562">
        <w:rPr>
          <w:rFonts w:asciiTheme="minorHAnsi" w:hAnsiTheme="minorHAnsi" w:cstheme="minorHAnsi"/>
          <w:sz w:val="22"/>
          <w:szCs w:val="22"/>
        </w:rPr>
        <w:t>N</w:t>
      </w:r>
      <w:r>
        <w:rPr>
          <w:rFonts w:asciiTheme="minorHAnsi" w:hAnsiTheme="minorHAnsi" w:cstheme="minorHAnsi"/>
          <w:sz w:val="22"/>
          <w:szCs w:val="22"/>
        </w:rPr>
        <w:t>orthern Virginia.</w:t>
      </w:r>
    </w:p>
    <w:p w:rsidR="00047E03" w:rsidRPr="00047E03" w:rsidRDefault="00047E03" w:rsidP="00394E02">
      <w:pPr>
        <w:widowControl/>
        <w:tabs>
          <w:tab w:val="right" w:pos="9360"/>
        </w:tabs>
        <w:autoSpaceDE w:val="0"/>
        <w:autoSpaceDN w:val="0"/>
        <w:adjustRightInd w:val="0"/>
        <w:rPr>
          <w:rFonts w:asciiTheme="minorHAnsi" w:hAnsiTheme="minorHAnsi" w:cstheme="minorHAnsi"/>
          <w:sz w:val="22"/>
          <w:szCs w:val="22"/>
        </w:rPr>
      </w:pPr>
    </w:p>
    <w:p w:rsidR="00636B6A" w:rsidRDefault="00636B6A" w:rsidP="00B206C8">
      <w:pPr>
        <w:pStyle w:val="Heading2"/>
        <w:rPr>
          <w:snapToGrid/>
        </w:rPr>
      </w:pPr>
      <w:r>
        <w:rPr>
          <w:snapToGrid/>
        </w:rPr>
        <w:t>Project Cost</w:t>
      </w:r>
    </w:p>
    <w:p w:rsidR="00636B6A" w:rsidRDefault="0040255C" w:rsidP="0040255C">
      <w:pPr>
        <w:ind w:left="-90"/>
        <w:rPr>
          <w:rFonts w:asciiTheme="minorHAnsi" w:hAnsiTheme="minorHAnsi" w:cstheme="minorHAnsi"/>
          <w:sz w:val="22"/>
          <w:szCs w:val="22"/>
        </w:rPr>
      </w:pPr>
      <w:r>
        <w:rPr>
          <w:rFonts w:asciiTheme="minorHAnsi" w:hAnsiTheme="minorHAnsi" w:cstheme="minorHAnsi"/>
          <w:noProof/>
          <w:snapToGrid/>
          <w:sz w:val="22"/>
          <w:szCs w:val="22"/>
        </w:rPr>
        <w:drawing>
          <wp:inline distT="0" distB="0" distL="0" distR="0">
            <wp:extent cx="6000750" cy="1241064"/>
            <wp:effectExtent l="19050" t="0" r="0" b="0"/>
            <wp:docPr id="2" name="Picture 1" descr="FY2011-App-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2011-App-VRE.jpg"/>
                    <pic:cNvPicPr/>
                  </pic:nvPicPr>
                  <pic:blipFill>
                    <a:blip r:embed="rId7" cstate="print"/>
                    <a:srcRect l="4487" t="7469" r="25000" b="73651"/>
                    <a:stretch>
                      <a:fillRect/>
                    </a:stretch>
                  </pic:blipFill>
                  <pic:spPr>
                    <a:xfrm>
                      <a:off x="0" y="0"/>
                      <a:ext cx="6000750" cy="1241064"/>
                    </a:xfrm>
                    <a:prstGeom prst="rect">
                      <a:avLst/>
                    </a:prstGeom>
                  </pic:spPr>
                </pic:pic>
              </a:graphicData>
            </a:graphic>
          </wp:inline>
        </w:drawing>
      </w:r>
    </w:p>
    <w:p w:rsidR="00D033A0" w:rsidRPr="00E96ADF" w:rsidRDefault="00D033A0" w:rsidP="00636B6A">
      <w:pPr>
        <w:rPr>
          <w:rFonts w:asciiTheme="minorHAnsi" w:hAnsiTheme="minorHAnsi" w:cstheme="minorHAnsi"/>
          <w:sz w:val="22"/>
          <w:szCs w:val="22"/>
        </w:rPr>
      </w:pPr>
    </w:p>
    <w:p w:rsidR="00E96ADF" w:rsidRPr="004441B0" w:rsidRDefault="00E96ADF" w:rsidP="00B206C8">
      <w:pPr>
        <w:pStyle w:val="Heading2"/>
        <w:rPr>
          <w:snapToGrid/>
        </w:rPr>
      </w:pPr>
      <w:r>
        <w:rPr>
          <w:snapToGrid/>
        </w:rPr>
        <w:t>Project Location</w:t>
      </w:r>
    </w:p>
    <w:p w:rsidR="0071737A" w:rsidRPr="00D033A0" w:rsidRDefault="00D033A0" w:rsidP="005038D2">
      <w:pPr>
        <w:widowControl/>
        <w:tabs>
          <w:tab w:val="right" w:pos="936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project is located in Northern Virginia at eight stations on two lines of the VRE commuter train service. The </w:t>
      </w:r>
      <w:r w:rsidRPr="00D033A0">
        <w:rPr>
          <w:rFonts w:asciiTheme="minorHAnsi" w:hAnsiTheme="minorHAnsi" w:cstheme="minorHAnsi"/>
          <w:sz w:val="22"/>
          <w:szCs w:val="22"/>
        </w:rPr>
        <w:t xml:space="preserve">project will add bicycle lockers to three stations in Fairfax County, three stations in Prince William County, and two stations each in the City of Manassas and City of Manassas Park. </w:t>
      </w:r>
      <w:r w:rsidRPr="00D033A0">
        <w:rPr>
          <w:rFonts w:asciiTheme="minorHAnsi" w:hAnsiTheme="minorHAnsi"/>
          <w:sz w:val="22"/>
          <w:szCs w:val="22"/>
        </w:rPr>
        <w:t xml:space="preserve">The project locations include existing, under-utilized and emerging housing centers. The Manassas station is located within the City of Manassas Old Town historic district, an established, mixed-use area, while the Rolling Rd. and Franconia-Springfield stations are located adjacent to established residential areas. The Broad Run, Manassas Park, Lorton and </w:t>
      </w:r>
      <w:proofErr w:type="spellStart"/>
      <w:r w:rsidRPr="00D033A0">
        <w:rPr>
          <w:rFonts w:asciiTheme="minorHAnsi" w:hAnsiTheme="minorHAnsi"/>
          <w:sz w:val="22"/>
          <w:szCs w:val="22"/>
        </w:rPr>
        <w:t>Rippon</w:t>
      </w:r>
      <w:proofErr w:type="spellEnd"/>
      <w:r w:rsidRPr="00D033A0">
        <w:rPr>
          <w:rFonts w:asciiTheme="minorHAnsi" w:hAnsiTheme="minorHAnsi"/>
          <w:sz w:val="22"/>
          <w:szCs w:val="22"/>
        </w:rPr>
        <w:t xml:space="preserve"> stations are located in emerging housing centers where housing has been constructed in recent years or is planned for areas adjacent to the VRE station. The areas adjacent to the Manassas Park and Lorton stations also include retail/commercial uses in addition to residential uses. The Woodbridge station is part of Prince William County’s North Woodbridge redevelopment area, planned for housing, office, and retail uses.</w:t>
      </w:r>
    </w:p>
    <w:p w:rsidR="00F4198A" w:rsidRPr="00D033A0" w:rsidRDefault="00F4198A" w:rsidP="005038D2">
      <w:pPr>
        <w:widowControl/>
        <w:tabs>
          <w:tab w:val="right" w:pos="9360"/>
        </w:tabs>
        <w:autoSpaceDE w:val="0"/>
        <w:autoSpaceDN w:val="0"/>
        <w:adjustRightInd w:val="0"/>
        <w:rPr>
          <w:rFonts w:asciiTheme="minorHAnsi" w:hAnsiTheme="minorHAnsi"/>
          <w:sz w:val="22"/>
          <w:szCs w:val="22"/>
        </w:rPr>
      </w:pPr>
    </w:p>
    <w:p w:rsidR="0071737A" w:rsidRDefault="00E96ADF" w:rsidP="00B206C8">
      <w:pPr>
        <w:pStyle w:val="Heading2"/>
        <w:rPr>
          <w:rFonts w:asciiTheme="minorHAnsi" w:hAnsiTheme="minorHAnsi"/>
        </w:rPr>
      </w:pPr>
      <w:r>
        <w:rPr>
          <w:snapToGrid/>
        </w:rPr>
        <w:t xml:space="preserve">Project Planning </w:t>
      </w:r>
    </w:p>
    <w:p w:rsidR="00D033A0" w:rsidRPr="00D033A0" w:rsidRDefault="00D033A0" w:rsidP="005038D2">
      <w:pPr>
        <w:rPr>
          <w:rFonts w:asciiTheme="minorHAnsi" w:hAnsiTheme="minorHAnsi" w:cstheme="minorHAnsi"/>
          <w:sz w:val="22"/>
          <w:szCs w:val="22"/>
        </w:rPr>
      </w:pPr>
      <w:r w:rsidRPr="00D033A0">
        <w:rPr>
          <w:rFonts w:asciiTheme="minorHAnsi" w:hAnsiTheme="minorHAnsi" w:cstheme="minorHAnsi"/>
          <w:sz w:val="22"/>
          <w:szCs w:val="22"/>
        </w:rPr>
        <w:t xml:space="preserve">VRE works closely with member jurisdictions to provide station amenities (e.g., sidewalks/trails, bicycle facilities, kiss-and-ride, station parking,) that give riders a variety of transportation choices for accessing VRE service. VRE currently provides bike racks at most stations as well as allowing bikes on board the last three AM/PM peak trains and mid-day/reverse-flow trains. There have been increased requests from VRE riders, either directly to VRE or through the local jurisdictions where VRE stations are located, to add bicycle lockers to VRE stations to provide additional options for riders accessing VRE via bicycle. </w:t>
      </w:r>
    </w:p>
    <w:p w:rsidR="005038D2" w:rsidRPr="00D033A0" w:rsidRDefault="00F4198A" w:rsidP="005038D2">
      <w:pPr>
        <w:rPr>
          <w:rFonts w:asciiTheme="minorHAnsi" w:hAnsiTheme="minorHAnsi" w:cstheme="minorHAnsi"/>
          <w:sz w:val="22"/>
          <w:szCs w:val="22"/>
        </w:rPr>
      </w:pPr>
      <w:r w:rsidRPr="00D033A0">
        <w:rPr>
          <w:rFonts w:asciiTheme="minorHAnsi" w:hAnsiTheme="minorHAnsi" w:cstheme="minorHAnsi"/>
          <w:sz w:val="22"/>
          <w:szCs w:val="22"/>
        </w:rPr>
        <w:t xml:space="preserve"> </w:t>
      </w:r>
    </w:p>
    <w:p w:rsidR="00E96ADF" w:rsidRPr="004441B0" w:rsidRDefault="00E96ADF" w:rsidP="00B206C8">
      <w:pPr>
        <w:pStyle w:val="Heading2"/>
        <w:rPr>
          <w:snapToGrid/>
        </w:rPr>
      </w:pPr>
      <w:r>
        <w:rPr>
          <w:snapToGrid/>
        </w:rPr>
        <w:t>Project Details</w:t>
      </w:r>
    </w:p>
    <w:p w:rsidR="00D033A0" w:rsidRPr="00D033A0" w:rsidRDefault="00D033A0" w:rsidP="00D033A0">
      <w:pPr>
        <w:rPr>
          <w:rFonts w:asciiTheme="minorHAnsi" w:hAnsiTheme="minorHAnsi" w:cstheme="minorHAnsi"/>
          <w:sz w:val="22"/>
          <w:szCs w:val="22"/>
        </w:rPr>
      </w:pPr>
      <w:r w:rsidRPr="00D033A0">
        <w:rPr>
          <w:rFonts w:asciiTheme="minorHAnsi" w:hAnsiTheme="minorHAnsi" w:cstheme="minorHAnsi"/>
          <w:sz w:val="22"/>
          <w:szCs w:val="22"/>
        </w:rPr>
        <w:t>The project will install bicycle lockers at the following VRE Stations:</w:t>
      </w:r>
    </w:p>
    <w:p w:rsidR="00D033A0" w:rsidRPr="00D033A0" w:rsidRDefault="00D033A0" w:rsidP="00D033A0">
      <w:pPr>
        <w:pStyle w:val="ListParagraph"/>
        <w:numPr>
          <w:ilvl w:val="0"/>
          <w:numId w:val="3"/>
        </w:numPr>
        <w:rPr>
          <w:rFonts w:asciiTheme="minorHAnsi" w:eastAsiaTheme="minorHAnsi" w:hAnsiTheme="minorHAnsi"/>
        </w:rPr>
      </w:pPr>
      <w:r w:rsidRPr="00D033A0">
        <w:rPr>
          <w:rFonts w:asciiTheme="minorHAnsi" w:eastAsiaTheme="minorHAnsi" w:hAnsiTheme="minorHAnsi"/>
        </w:rPr>
        <w:t>Broad Run</w:t>
      </w:r>
      <w:r>
        <w:rPr>
          <w:rFonts w:asciiTheme="minorHAnsi" w:eastAsiaTheme="minorHAnsi" w:hAnsiTheme="minorHAnsi"/>
        </w:rPr>
        <w:t>/Airport</w:t>
      </w:r>
      <w:r w:rsidRPr="00D033A0">
        <w:rPr>
          <w:rFonts w:asciiTheme="minorHAnsi" w:eastAsiaTheme="minorHAnsi" w:hAnsiTheme="minorHAnsi"/>
        </w:rPr>
        <w:t xml:space="preserve"> (Prince William County) – 4 lockers, 8 bike capacity</w:t>
      </w:r>
    </w:p>
    <w:p w:rsidR="00D033A0" w:rsidRPr="00D033A0" w:rsidRDefault="00D033A0" w:rsidP="00D033A0">
      <w:pPr>
        <w:pStyle w:val="ListParagraph"/>
        <w:numPr>
          <w:ilvl w:val="0"/>
          <w:numId w:val="3"/>
        </w:numPr>
        <w:rPr>
          <w:rFonts w:asciiTheme="minorHAnsi" w:eastAsiaTheme="minorHAnsi" w:hAnsiTheme="minorHAnsi"/>
        </w:rPr>
      </w:pPr>
      <w:r w:rsidRPr="00D033A0">
        <w:rPr>
          <w:rFonts w:asciiTheme="minorHAnsi" w:eastAsiaTheme="minorHAnsi" w:hAnsiTheme="minorHAnsi"/>
        </w:rPr>
        <w:t>Manassas – 4 lockers, 8 bike capacity</w:t>
      </w:r>
    </w:p>
    <w:p w:rsidR="00D033A0" w:rsidRPr="00D033A0" w:rsidRDefault="00D033A0" w:rsidP="00D033A0">
      <w:pPr>
        <w:pStyle w:val="ListParagraph"/>
        <w:numPr>
          <w:ilvl w:val="0"/>
          <w:numId w:val="3"/>
        </w:numPr>
        <w:rPr>
          <w:rFonts w:asciiTheme="minorHAnsi" w:eastAsiaTheme="minorHAnsi" w:hAnsiTheme="minorHAnsi"/>
        </w:rPr>
      </w:pPr>
      <w:r w:rsidRPr="00D033A0">
        <w:rPr>
          <w:rFonts w:asciiTheme="minorHAnsi" w:eastAsiaTheme="minorHAnsi" w:hAnsiTheme="minorHAnsi"/>
        </w:rPr>
        <w:t>Manassas Park – 4 lockers, 8 bike capacity</w:t>
      </w:r>
    </w:p>
    <w:p w:rsidR="00D033A0" w:rsidRPr="00D033A0" w:rsidRDefault="00D033A0" w:rsidP="00D033A0">
      <w:pPr>
        <w:pStyle w:val="ListParagraph"/>
        <w:numPr>
          <w:ilvl w:val="0"/>
          <w:numId w:val="3"/>
        </w:numPr>
        <w:rPr>
          <w:rFonts w:asciiTheme="minorHAnsi" w:eastAsiaTheme="minorHAnsi" w:hAnsiTheme="minorHAnsi"/>
        </w:rPr>
      </w:pPr>
      <w:r w:rsidRPr="00D033A0">
        <w:rPr>
          <w:rFonts w:asciiTheme="minorHAnsi" w:eastAsiaTheme="minorHAnsi" w:hAnsiTheme="minorHAnsi"/>
        </w:rPr>
        <w:t>Rolling R</w:t>
      </w:r>
      <w:r>
        <w:rPr>
          <w:rFonts w:asciiTheme="minorHAnsi" w:eastAsiaTheme="minorHAnsi" w:hAnsiTheme="minorHAnsi"/>
        </w:rPr>
        <w:t>oad</w:t>
      </w:r>
      <w:r w:rsidRPr="00D033A0">
        <w:rPr>
          <w:rFonts w:asciiTheme="minorHAnsi" w:eastAsiaTheme="minorHAnsi" w:hAnsiTheme="minorHAnsi"/>
        </w:rPr>
        <w:t xml:space="preserve"> (Fairfax County) – 5 lockers, 10 bike capacity</w:t>
      </w:r>
    </w:p>
    <w:p w:rsidR="00D033A0" w:rsidRPr="00D033A0" w:rsidRDefault="00D033A0" w:rsidP="00D033A0">
      <w:pPr>
        <w:pStyle w:val="ListParagraph"/>
        <w:numPr>
          <w:ilvl w:val="0"/>
          <w:numId w:val="3"/>
        </w:numPr>
        <w:rPr>
          <w:rFonts w:asciiTheme="minorHAnsi" w:eastAsiaTheme="minorHAnsi" w:hAnsiTheme="minorHAnsi"/>
        </w:rPr>
      </w:pPr>
      <w:r w:rsidRPr="00D033A0">
        <w:rPr>
          <w:rFonts w:asciiTheme="minorHAnsi" w:eastAsiaTheme="minorHAnsi" w:hAnsiTheme="minorHAnsi"/>
        </w:rPr>
        <w:t>Lorton (Fairfax County) – 4 lockers, 8 bike capacity</w:t>
      </w:r>
    </w:p>
    <w:p w:rsidR="00D033A0" w:rsidRPr="00D033A0" w:rsidRDefault="00D033A0" w:rsidP="00D033A0">
      <w:pPr>
        <w:pStyle w:val="ListParagraph"/>
        <w:numPr>
          <w:ilvl w:val="0"/>
          <w:numId w:val="3"/>
        </w:numPr>
        <w:rPr>
          <w:rFonts w:asciiTheme="minorHAnsi" w:eastAsiaTheme="minorHAnsi" w:hAnsiTheme="minorHAnsi"/>
        </w:rPr>
      </w:pPr>
      <w:r w:rsidRPr="00D033A0">
        <w:rPr>
          <w:rFonts w:asciiTheme="minorHAnsi" w:eastAsiaTheme="minorHAnsi" w:hAnsiTheme="minorHAnsi"/>
        </w:rPr>
        <w:t>Franconia-Springfield (Fairfax County) – 6 lockers, 12 bike capacity</w:t>
      </w:r>
    </w:p>
    <w:p w:rsidR="00D033A0" w:rsidRPr="00D033A0" w:rsidRDefault="00D033A0" w:rsidP="00D033A0">
      <w:pPr>
        <w:pStyle w:val="ListParagraph"/>
        <w:numPr>
          <w:ilvl w:val="0"/>
          <w:numId w:val="3"/>
        </w:numPr>
        <w:rPr>
          <w:rFonts w:asciiTheme="minorHAnsi" w:eastAsiaTheme="minorHAnsi" w:hAnsiTheme="minorHAnsi"/>
        </w:rPr>
      </w:pPr>
      <w:r w:rsidRPr="00D033A0">
        <w:rPr>
          <w:rFonts w:asciiTheme="minorHAnsi" w:eastAsiaTheme="minorHAnsi" w:hAnsiTheme="minorHAnsi"/>
        </w:rPr>
        <w:lastRenderedPageBreak/>
        <w:t>Woodbridge (Prince William County) – 4 lockers, 8 bike capacity</w:t>
      </w:r>
    </w:p>
    <w:p w:rsidR="00D033A0" w:rsidRPr="00D033A0" w:rsidRDefault="00D033A0" w:rsidP="00D033A0">
      <w:pPr>
        <w:pStyle w:val="ListParagraph"/>
        <w:numPr>
          <w:ilvl w:val="0"/>
          <w:numId w:val="3"/>
        </w:numPr>
        <w:rPr>
          <w:rFonts w:asciiTheme="minorHAnsi" w:hAnsiTheme="minorHAnsi" w:cstheme="minorHAnsi"/>
        </w:rPr>
      </w:pPr>
      <w:proofErr w:type="spellStart"/>
      <w:r w:rsidRPr="00D033A0">
        <w:rPr>
          <w:rFonts w:asciiTheme="minorHAnsi" w:eastAsiaTheme="minorHAnsi" w:hAnsiTheme="minorHAnsi"/>
        </w:rPr>
        <w:t>Rippon</w:t>
      </w:r>
      <w:proofErr w:type="spellEnd"/>
      <w:r w:rsidRPr="00D033A0">
        <w:rPr>
          <w:rFonts w:asciiTheme="minorHAnsi" w:eastAsiaTheme="minorHAnsi" w:hAnsiTheme="minorHAnsi"/>
        </w:rPr>
        <w:t xml:space="preserve"> (Prince William County) – 4 lockers, 8 bike capacity</w:t>
      </w:r>
    </w:p>
    <w:p w:rsidR="005038D2" w:rsidRPr="00D033A0" w:rsidRDefault="005038D2" w:rsidP="005038D2">
      <w:pPr>
        <w:rPr>
          <w:rFonts w:asciiTheme="minorHAnsi" w:hAnsiTheme="minorHAnsi" w:cstheme="minorHAnsi"/>
          <w:sz w:val="22"/>
          <w:szCs w:val="22"/>
        </w:rPr>
      </w:pPr>
    </w:p>
    <w:p w:rsidR="00E96ADF" w:rsidRPr="004441B0" w:rsidRDefault="00E96ADF" w:rsidP="00B206C8">
      <w:pPr>
        <w:pStyle w:val="Heading2"/>
        <w:rPr>
          <w:snapToGrid/>
        </w:rPr>
      </w:pPr>
      <w:r>
        <w:rPr>
          <w:snapToGrid/>
        </w:rPr>
        <w:t>Project Schedule</w:t>
      </w:r>
    </w:p>
    <w:p w:rsidR="00C24150" w:rsidRDefault="00D033A0" w:rsidP="00D033A0">
      <w:pPr>
        <w:ind w:left="-90"/>
        <w:rPr>
          <w:rFonts w:asciiTheme="minorHAnsi" w:hAnsiTheme="minorHAnsi"/>
        </w:rPr>
      </w:pPr>
      <w:r>
        <w:rPr>
          <w:rFonts w:asciiTheme="minorHAnsi" w:hAnsiTheme="minorHAnsi"/>
          <w:noProof/>
          <w:snapToGrid/>
        </w:rPr>
        <w:drawing>
          <wp:inline distT="0" distB="0" distL="0" distR="0">
            <wp:extent cx="6000750" cy="1270901"/>
            <wp:effectExtent l="19050" t="0" r="0" b="0"/>
            <wp:docPr id="1" name="Picture 0" descr="FY2011-App-VRE-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2011-App-VRE-sch.jpg"/>
                    <pic:cNvPicPr/>
                  </pic:nvPicPr>
                  <pic:blipFill>
                    <a:blip r:embed="rId8" cstate="print"/>
                    <a:srcRect l="6410" t="7676" r="20192" b="72199"/>
                    <a:stretch>
                      <a:fillRect/>
                    </a:stretch>
                  </pic:blipFill>
                  <pic:spPr>
                    <a:xfrm>
                      <a:off x="0" y="0"/>
                      <a:ext cx="6000750" cy="1270901"/>
                    </a:xfrm>
                    <a:prstGeom prst="rect">
                      <a:avLst/>
                    </a:prstGeom>
                  </pic:spPr>
                </pic:pic>
              </a:graphicData>
            </a:graphic>
          </wp:inline>
        </w:drawing>
      </w:r>
    </w:p>
    <w:p w:rsidR="00D033A0" w:rsidRDefault="00D033A0">
      <w:pPr>
        <w:rPr>
          <w:rFonts w:asciiTheme="minorHAnsi" w:hAnsiTheme="minorHAnsi"/>
        </w:rPr>
      </w:pPr>
    </w:p>
    <w:p w:rsidR="00C24150" w:rsidRPr="00B206C8" w:rsidRDefault="00C24150" w:rsidP="00B206C8">
      <w:pPr>
        <w:pStyle w:val="Heading2"/>
      </w:pPr>
      <w:r w:rsidRPr="00B206C8">
        <w:t>Additional Documentation</w:t>
      </w:r>
    </w:p>
    <w:p w:rsidR="00D033A0" w:rsidRDefault="00D033A0">
      <w:pPr>
        <w:rPr>
          <w:rFonts w:asciiTheme="minorHAnsi" w:hAnsiTheme="minorHAnsi"/>
          <w:sz w:val="22"/>
          <w:szCs w:val="22"/>
        </w:rPr>
      </w:pPr>
    </w:p>
    <w:p w:rsidR="00D033A0" w:rsidRDefault="00D033A0">
      <w:pPr>
        <w:rPr>
          <w:rFonts w:asciiTheme="minorHAnsi" w:hAnsiTheme="minorHAnsi"/>
          <w:sz w:val="22"/>
          <w:szCs w:val="22"/>
        </w:rPr>
      </w:pPr>
    </w:p>
    <w:p w:rsidR="00D033A0" w:rsidRPr="00503750" w:rsidRDefault="00D033A0">
      <w:pPr>
        <w:rPr>
          <w:rFonts w:asciiTheme="minorHAnsi" w:hAnsiTheme="minorHAnsi"/>
          <w:sz w:val="22"/>
          <w:szCs w:val="22"/>
        </w:rPr>
      </w:pPr>
    </w:p>
    <w:sectPr w:rsidR="00D033A0" w:rsidRPr="00503750" w:rsidSect="00C11C48">
      <w:headerReference w:type="default" r:id="rId9"/>
      <w:pgSz w:w="12240" w:h="15840"/>
      <w:pgMar w:top="1440" w:right="1440" w:bottom="144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3A0" w:rsidRDefault="00D033A0" w:rsidP="00C11C48">
      <w:r>
        <w:separator/>
      </w:r>
    </w:p>
  </w:endnote>
  <w:endnote w:type="continuationSeparator" w:id="0">
    <w:p w:rsidR="00D033A0" w:rsidRDefault="00D033A0" w:rsidP="00C11C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3A0" w:rsidRDefault="00D033A0" w:rsidP="00C11C48">
      <w:r>
        <w:separator/>
      </w:r>
    </w:p>
  </w:footnote>
  <w:footnote w:type="continuationSeparator" w:id="0">
    <w:p w:rsidR="00D033A0" w:rsidRDefault="00D033A0" w:rsidP="00C11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A0" w:rsidRDefault="00D033A0">
    <w:pPr>
      <w:pStyle w:val="Header"/>
    </w:pPr>
    <w:r w:rsidRPr="005550D8">
      <w:rPr>
        <w:rFonts w:asciiTheme="minorHAnsi" w:hAnsiTheme="minorHAnsi" w:cstheme="minorHAnsi"/>
        <w:color w:val="808080" w:themeColor="background1" w:themeShade="80"/>
        <w:spacing w:val="20"/>
        <w:sz w:val="56"/>
        <w:szCs w:val="56"/>
      </w:rP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B0750"/>
    <w:multiLevelType w:val="hybridMultilevel"/>
    <w:tmpl w:val="5C709E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6F2540E3"/>
    <w:multiLevelType w:val="hybridMultilevel"/>
    <w:tmpl w:val="05CA8F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74A70E7C"/>
    <w:multiLevelType w:val="hybridMultilevel"/>
    <w:tmpl w:val="5B60FA7E"/>
    <w:lvl w:ilvl="0" w:tplc="032638AA">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4E02"/>
    <w:rsid w:val="00031385"/>
    <w:rsid w:val="00047E03"/>
    <w:rsid w:val="000806BC"/>
    <w:rsid w:val="00154092"/>
    <w:rsid w:val="00161CBB"/>
    <w:rsid w:val="001625EF"/>
    <w:rsid w:val="00272DBB"/>
    <w:rsid w:val="0034622C"/>
    <w:rsid w:val="00363288"/>
    <w:rsid w:val="00394E02"/>
    <w:rsid w:val="003C1DDB"/>
    <w:rsid w:val="003F3E7F"/>
    <w:rsid w:val="00400264"/>
    <w:rsid w:val="0040255C"/>
    <w:rsid w:val="004B1425"/>
    <w:rsid w:val="00503750"/>
    <w:rsid w:val="005038D2"/>
    <w:rsid w:val="0052581C"/>
    <w:rsid w:val="00575EFE"/>
    <w:rsid w:val="005D6E2B"/>
    <w:rsid w:val="00636B6A"/>
    <w:rsid w:val="006A75C2"/>
    <w:rsid w:val="006C67C6"/>
    <w:rsid w:val="0071737A"/>
    <w:rsid w:val="00737DCC"/>
    <w:rsid w:val="007737FC"/>
    <w:rsid w:val="0078662A"/>
    <w:rsid w:val="007E4938"/>
    <w:rsid w:val="00915A0D"/>
    <w:rsid w:val="009F3D90"/>
    <w:rsid w:val="00A20562"/>
    <w:rsid w:val="00B13A9C"/>
    <w:rsid w:val="00B206C8"/>
    <w:rsid w:val="00B30FEA"/>
    <w:rsid w:val="00C105FA"/>
    <w:rsid w:val="00C11C48"/>
    <w:rsid w:val="00C24150"/>
    <w:rsid w:val="00C504C4"/>
    <w:rsid w:val="00D033A0"/>
    <w:rsid w:val="00D33C83"/>
    <w:rsid w:val="00D45DB7"/>
    <w:rsid w:val="00E60001"/>
    <w:rsid w:val="00E96ADF"/>
    <w:rsid w:val="00F4198A"/>
    <w:rsid w:val="00F54123"/>
    <w:rsid w:val="00F77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123"/>
    <w:pPr>
      <w:widowControl w:val="0"/>
    </w:pPr>
    <w:rPr>
      <w:rFonts w:ascii="Courier New" w:hAnsi="Courier New"/>
      <w:snapToGrid w:val="0"/>
      <w:sz w:val="24"/>
      <w:szCs w:val="24"/>
    </w:rPr>
  </w:style>
  <w:style w:type="paragraph" w:styleId="Heading1">
    <w:name w:val="heading 1"/>
    <w:basedOn w:val="Normal"/>
    <w:next w:val="Normal"/>
    <w:link w:val="Heading1Char"/>
    <w:uiPriority w:val="9"/>
    <w:qFormat/>
    <w:rsid w:val="00B206C8"/>
    <w:pPr>
      <w:keepNext/>
      <w:keepLines/>
      <w:spacing w:after="60"/>
      <w:outlineLvl w:val="0"/>
    </w:pPr>
    <w:rPr>
      <w:rFonts w:ascii="Century Gothic" w:eastAsiaTheme="majorEastAsia" w:hAnsi="Century Gothic" w:cstheme="majorBidi"/>
      <w:b/>
      <w:bCs/>
      <w:color w:val="BC3710"/>
      <w:sz w:val="36"/>
      <w:szCs w:val="28"/>
    </w:rPr>
  </w:style>
  <w:style w:type="paragraph" w:styleId="Heading2">
    <w:name w:val="heading 2"/>
    <w:basedOn w:val="Normal"/>
    <w:next w:val="Normal"/>
    <w:link w:val="Heading2Char"/>
    <w:uiPriority w:val="9"/>
    <w:unhideWhenUsed/>
    <w:qFormat/>
    <w:rsid w:val="00B206C8"/>
    <w:pPr>
      <w:keepNext/>
      <w:keepLines/>
      <w:spacing w:after="40"/>
      <w:outlineLvl w:val="1"/>
    </w:pPr>
    <w:rPr>
      <w:rFonts w:ascii="Century Gothic" w:eastAsiaTheme="majorEastAsia" w:hAnsi="Century Gothic" w:cstheme="majorBidi"/>
      <w:b/>
      <w:bCs/>
      <w:color w:val="3054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1C48"/>
    <w:pPr>
      <w:tabs>
        <w:tab w:val="center" w:pos="4680"/>
        <w:tab w:val="right" w:pos="9360"/>
      </w:tabs>
    </w:pPr>
  </w:style>
  <w:style w:type="character" w:customStyle="1" w:styleId="HeaderChar">
    <w:name w:val="Header Char"/>
    <w:basedOn w:val="DefaultParagraphFont"/>
    <w:link w:val="Header"/>
    <w:uiPriority w:val="99"/>
    <w:semiHidden/>
    <w:rsid w:val="00C11C48"/>
    <w:rPr>
      <w:rFonts w:ascii="Courier New" w:hAnsi="Courier New"/>
      <w:snapToGrid w:val="0"/>
      <w:sz w:val="24"/>
      <w:szCs w:val="24"/>
    </w:rPr>
  </w:style>
  <w:style w:type="paragraph" w:styleId="Footer">
    <w:name w:val="footer"/>
    <w:basedOn w:val="Normal"/>
    <w:link w:val="FooterChar"/>
    <w:uiPriority w:val="99"/>
    <w:semiHidden/>
    <w:unhideWhenUsed/>
    <w:rsid w:val="00C11C48"/>
    <w:pPr>
      <w:tabs>
        <w:tab w:val="center" w:pos="4680"/>
        <w:tab w:val="right" w:pos="9360"/>
      </w:tabs>
    </w:pPr>
  </w:style>
  <w:style w:type="character" w:customStyle="1" w:styleId="FooterChar">
    <w:name w:val="Footer Char"/>
    <w:basedOn w:val="DefaultParagraphFont"/>
    <w:link w:val="Footer"/>
    <w:uiPriority w:val="99"/>
    <w:semiHidden/>
    <w:rsid w:val="00C11C48"/>
    <w:rPr>
      <w:rFonts w:ascii="Courier New" w:hAnsi="Courier New"/>
      <w:snapToGrid w:val="0"/>
      <w:sz w:val="24"/>
      <w:szCs w:val="24"/>
    </w:rPr>
  </w:style>
  <w:style w:type="character" w:customStyle="1" w:styleId="bodytext">
    <w:name w:val="body_text"/>
    <w:basedOn w:val="DefaultParagraphFont"/>
    <w:uiPriority w:val="99"/>
    <w:rsid w:val="007E4938"/>
    <w:rPr>
      <w:rFonts w:cs="Times New Roman"/>
    </w:rPr>
  </w:style>
  <w:style w:type="paragraph" w:styleId="BalloonText">
    <w:name w:val="Balloon Text"/>
    <w:basedOn w:val="Normal"/>
    <w:link w:val="BalloonTextChar"/>
    <w:uiPriority w:val="99"/>
    <w:semiHidden/>
    <w:unhideWhenUsed/>
    <w:rsid w:val="003F3E7F"/>
    <w:rPr>
      <w:rFonts w:ascii="Tahoma" w:hAnsi="Tahoma" w:cs="Tahoma"/>
      <w:sz w:val="16"/>
      <w:szCs w:val="16"/>
    </w:rPr>
  </w:style>
  <w:style w:type="character" w:customStyle="1" w:styleId="BalloonTextChar">
    <w:name w:val="Balloon Text Char"/>
    <w:basedOn w:val="DefaultParagraphFont"/>
    <w:link w:val="BalloonText"/>
    <w:uiPriority w:val="99"/>
    <w:semiHidden/>
    <w:rsid w:val="003F3E7F"/>
    <w:rPr>
      <w:rFonts w:ascii="Tahoma" w:hAnsi="Tahoma" w:cs="Tahoma"/>
      <w:snapToGrid w:val="0"/>
      <w:sz w:val="16"/>
      <w:szCs w:val="16"/>
    </w:rPr>
  </w:style>
  <w:style w:type="character" w:customStyle="1" w:styleId="Heading1Char">
    <w:name w:val="Heading 1 Char"/>
    <w:basedOn w:val="DefaultParagraphFont"/>
    <w:link w:val="Heading1"/>
    <w:uiPriority w:val="9"/>
    <w:rsid w:val="00B206C8"/>
    <w:rPr>
      <w:rFonts w:ascii="Century Gothic" w:eastAsiaTheme="majorEastAsia" w:hAnsi="Century Gothic" w:cstheme="majorBidi"/>
      <w:b/>
      <w:bCs/>
      <w:snapToGrid w:val="0"/>
      <w:color w:val="BC3710"/>
      <w:sz w:val="36"/>
      <w:szCs w:val="28"/>
    </w:rPr>
  </w:style>
  <w:style w:type="character" w:customStyle="1" w:styleId="Heading2Char">
    <w:name w:val="Heading 2 Char"/>
    <w:basedOn w:val="DefaultParagraphFont"/>
    <w:link w:val="Heading2"/>
    <w:uiPriority w:val="9"/>
    <w:rsid w:val="00B206C8"/>
    <w:rPr>
      <w:rFonts w:ascii="Century Gothic" w:eastAsiaTheme="majorEastAsia" w:hAnsi="Century Gothic" w:cstheme="majorBidi"/>
      <w:b/>
      <w:bCs/>
      <w:snapToGrid w:val="0"/>
      <w:color w:val="305480"/>
      <w:sz w:val="24"/>
      <w:szCs w:val="26"/>
    </w:rPr>
  </w:style>
  <w:style w:type="paragraph" w:styleId="ListParagraph">
    <w:name w:val="List Paragraph"/>
    <w:basedOn w:val="Normal"/>
    <w:uiPriority w:val="34"/>
    <w:qFormat/>
    <w:rsid w:val="005038D2"/>
    <w:pPr>
      <w:widowControl/>
      <w:spacing w:line="228" w:lineRule="auto"/>
      <w:ind w:left="720"/>
      <w:contextualSpacing/>
    </w:pPr>
    <w:rPr>
      <w:rFonts w:ascii="Arial" w:eastAsia="Times New Roman" w:hAnsi="Arial" w:cs="Arial"/>
      <w:snapToGrid/>
      <w:sz w:val="22"/>
      <w:szCs w:val="22"/>
    </w:rPr>
  </w:style>
  <w:style w:type="character" w:styleId="Hyperlink">
    <w:name w:val="Hyperlink"/>
    <w:basedOn w:val="DefaultParagraphFont"/>
    <w:uiPriority w:val="99"/>
    <w:unhideWhenUsed/>
    <w:rsid w:val="005037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3317854">
      <w:bodyDiv w:val="1"/>
      <w:marLeft w:val="0"/>
      <w:marRight w:val="0"/>
      <w:marTop w:val="0"/>
      <w:marBottom w:val="0"/>
      <w:divBdr>
        <w:top w:val="none" w:sz="0" w:space="0" w:color="auto"/>
        <w:left w:val="none" w:sz="0" w:space="0" w:color="auto"/>
        <w:bottom w:val="none" w:sz="0" w:space="0" w:color="auto"/>
        <w:right w:val="none" w:sz="0" w:space="0" w:color="auto"/>
      </w:divBdr>
    </w:div>
    <w:div w:id="581645645">
      <w:bodyDiv w:val="1"/>
      <w:marLeft w:val="0"/>
      <w:marRight w:val="0"/>
      <w:marTop w:val="0"/>
      <w:marBottom w:val="0"/>
      <w:divBdr>
        <w:top w:val="none" w:sz="0" w:space="0" w:color="auto"/>
        <w:left w:val="none" w:sz="0" w:space="0" w:color="auto"/>
        <w:bottom w:val="none" w:sz="0" w:space="0" w:color="auto"/>
        <w:right w:val="none" w:sz="0" w:space="0" w:color="auto"/>
      </w:divBdr>
    </w:div>
    <w:div w:id="61290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scrawford</dc:creator>
  <cp:lastModifiedBy>scrawford</cp:lastModifiedBy>
  <cp:revision>6</cp:revision>
  <dcterms:created xsi:type="dcterms:W3CDTF">2011-10-12T15:34:00Z</dcterms:created>
  <dcterms:modified xsi:type="dcterms:W3CDTF">2011-10-21T21:00:00Z</dcterms:modified>
</cp:coreProperties>
</file>