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367F" w:rsidRDefault="0097367F" w:rsidP="0097367F">
      <w:pPr>
        <w:pStyle w:val="Heading1"/>
        <w:ind w:left="900" w:hanging="900"/>
        <w:rPr>
          <w:rFonts w:ascii="Tahoma" w:hAnsi="Tahoma" w:cs="Tahoma"/>
          <w:sz w:val="24"/>
          <w:szCs w:val="24"/>
        </w:rPr>
      </w:pPr>
      <w:r>
        <w:rPr>
          <w:rFonts w:ascii="Tahoma" w:hAnsi="Tahoma" w:cs="Tahoma"/>
          <w:sz w:val="24"/>
          <w:szCs w:val="24"/>
        </w:rPr>
        <w:t>Slide 1</w:t>
      </w:r>
      <w:r w:rsidRPr="00883654">
        <w:rPr>
          <w:rFonts w:ascii="Tahoma" w:hAnsi="Tahoma" w:cs="Tahoma"/>
          <w:sz w:val="24"/>
          <w:szCs w:val="24"/>
        </w:rPr>
        <w:t xml:space="preserve">: </w:t>
      </w:r>
      <w:r>
        <w:rPr>
          <w:rFonts w:ascii="Tahoma" w:hAnsi="Tahoma" w:cs="Tahoma"/>
          <w:sz w:val="24"/>
          <w:szCs w:val="24"/>
        </w:rPr>
        <w:t>Visualize 2045 Logo. National Capital Region Transportation Planning Board</w:t>
      </w:r>
    </w:p>
    <w:p w:rsidR="0097367F" w:rsidRDefault="0097367F" w:rsidP="0097367F">
      <w:pPr>
        <w:pStyle w:val="Heading1"/>
        <w:ind w:left="900" w:hanging="900"/>
        <w:rPr>
          <w:rFonts w:ascii="Tahoma" w:hAnsi="Tahoma" w:cs="Tahoma"/>
          <w:sz w:val="24"/>
          <w:szCs w:val="24"/>
        </w:rPr>
      </w:pPr>
    </w:p>
    <w:p w:rsidR="0097367F" w:rsidRPr="00883654" w:rsidRDefault="0097367F" w:rsidP="0097367F">
      <w:pPr>
        <w:pStyle w:val="Heading1"/>
        <w:ind w:left="1620" w:hanging="900"/>
        <w:rPr>
          <w:rFonts w:ascii="Tahoma" w:hAnsi="Tahoma" w:cs="Tahoma"/>
          <w:sz w:val="24"/>
          <w:szCs w:val="24"/>
        </w:rPr>
      </w:pPr>
      <w:r w:rsidRPr="00883654">
        <w:rPr>
          <w:rFonts w:ascii="Tahoma" w:hAnsi="Tahoma" w:cs="Tahoma"/>
          <w:sz w:val="24"/>
          <w:szCs w:val="24"/>
        </w:rPr>
        <w:t xml:space="preserve">Presentation Title: </w:t>
      </w:r>
      <w:r w:rsidRPr="0097367F">
        <w:rPr>
          <w:rFonts w:ascii="Tahoma" w:hAnsi="Tahoma" w:cs="Tahoma"/>
          <w:sz w:val="24"/>
          <w:szCs w:val="24"/>
        </w:rPr>
        <w:t>Visualize 2045 Environmental Justice Analysis</w:t>
      </w:r>
      <w:r>
        <w:rPr>
          <w:rFonts w:ascii="Tahoma" w:hAnsi="Tahoma" w:cs="Tahoma"/>
          <w:sz w:val="24"/>
          <w:szCs w:val="24"/>
        </w:rPr>
        <w:t xml:space="preserve">, </w:t>
      </w:r>
      <w:r w:rsidRPr="0097367F">
        <w:rPr>
          <w:rFonts w:ascii="Tahoma" w:hAnsi="Tahoma" w:cs="Tahoma"/>
          <w:sz w:val="24"/>
          <w:szCs w:val="24"/>
        </w:rPr>
        <w:t>Update to the Equity Emphasis Areas</w:t>
      </w:r>
    </w:p>
    <w:p w:rsidR="0097367F" w:rsidRDefault="0097367F" w:rsidP="0097367F">
      <w:pPr>
        <w:pStyle w:val="Heading1"/>
        <w:ind w:left="1620" w:firstLine="0"/>
        <w:rPr>
          <w:rFonts w:ascii="Tahoma" w:hAnsi="Tahoma" w:cs="Tahoma"/>
          <w:sz w:val="24"/>
          <w:szCs w:val="24"/>
        </w:rPr>
      </w:pPr>
    </w:p>
    <w:p w:rsidR="0097367F" w:rsidRDefault="0097367F" w:rsidP="0097367F">
      <w:pPr>
        <w:pStyle w:val="NoSpacing"/>
        <w:ind w:left="720"/>
        <w:rPr>
          <w:rFonts w:ascii="Tahoma" w:hAnsi="Tahoma" w:cs="Tahoma"/>
          <w:color w:val="000000"/>
          <w:kern w:val="24"/>
          <w:sz w:val="24"/>
          <w:szCs w:val="24"/>
        </w:rPr>
      </w:pPr>
      <w:r>
        <w:rPr>
          <w:rFonts w:ascii="Tahoma" w:hAnsi="Tahoma" w:cs="Tahoma"/>
          <w:color w:val="000000"/>
          <w:kern w:val="24"/>
          <w:sz w:val="24"/>
          <w:szCs w:val="24"/>
        </w:rPr>
        <w:t>Sergio Ritacco, TPB Transportation Planner</w:t>
      </w:r>
    </w:p>
    <w:p w:rsidR="0092569E" w:rsidRDefault="0092569E" w:rsidP="0097367F">
      <w:pPr>
        <w:pStyle w:val="NoSpacing"/>
        <w:ind w:left="720"/>
        <w:rPr>
          <w:rFonts w:ascii="Tahoma" w:hAnsi="Tahoma" w:cs="Tahoma"/>
          <w:color w:val="000000"/>
          <w:kern w:val="24"/>
          <w:sz w:val="24"/>
          <w:szCs w:val="24"/>
        </w:rPr>
      </w:pPr>
    </w:p>
    <w:p w:rsidR="0092569E" w:rsidRDefault="0092569E" w:rsidP="0097367F">
      <w:pPr>
        <w:pStyle w:val="NoSpacing"/>
        <w:ind w:left="720"/>
        <w:rPr>
          <w:rFonts w:ascii="Tahoma" w:hAnsi="Tahoma" w:cs="Tahoma"/>
          <w:color w:val="000000"/>
          <w:kern w:val="24"/>
          <w:sz w:val="24"/>
          <w:szCs w:val="24"/>
        </w:rPr>
      </w:pPr>
      <w:r>
        <w:rPr>
          <w:rFonts w:ascii="Tahoma" w:hAnsi="Tahoma" w:cs="Tahoma"/>
          <w:color w:val="000000"/>
          <w:kern w:val="24"/>
          <w:sz w:val="24"/>
          <w:szCs w:val="24"/>
        </w:rPr>
        <w:t xml:space="preserve">Wendy Klancher, </w:t>
      </w:r>
      <w:r>
        <w:rPr>
          <w:rFonts w:ascii="Tahoma" w:hAnsi="Tahoma" w:cs="Tahoma"/>
          <w:color w:val="000000"/>
          <w:kern w:val="24"/>
          <w:sz w:val="24"/>
          <w:szCs w:val="24"/>
        </w:rPr>
        <w:t>TPB Transportation Planner</w:t>
      </w:r>
    </w:p>
    <w:p w:rsidR="0092569E" w:rsidRDefault="0092569E" w:rsidP="0097367F">
      <w:pPr>
        <w:pStyle w:val="NoSpacing"/>
        <w:ind w:left="720"/>
        <w:rPr>
          <w:rFonts w:ascii="Tahoma" w:hAnsi="Tahoma" w:cs="Tahoma"/>
          <w:color w:val="000000"/>
          <w:kern w:val="24"/>
          <w:sz w:val="24"/>
          <w:szCs w:val="24"/>
        </w:rPr>
      </w:pPr>
    </w:p>
    <w:p w:rsidR="0092569E" w:rsidRPr="00201832" w:rsidRDefault="0092569E" w:rsidP="0097367F">
      <w:pPr>
        <w:pStyle w:val="NoSpacing"/>
        <w:ind w:left="720"/>
        <w:rPr>
          <w:rFonts w:ascii="Tahoma" w:hAnsi="Tahoma" w:cs="Tahoma"/>
          <w:color w:val="000000"/>
          <w:kern w:val="24"/>
          <w:sz w:val="24"/>
          <w:szCs w:val="24"/>
        </w:rPr>
      </w:pPr>
      <w:r w:rsidRPr="00201832">
        <w:rPr>
          <w:rFonts w:ascii="Tahoma" w:hAnsi="Tahoma" w:cs="Tahoma"/>
          <w:color w:val="000000"/>
          <w:kern w:val="24"/>
          <w:sz w:val="24"/>
          <w:szCs w:val="24"/>
        </w:rPr>
        <w:t xml:space="preserve">Access for All </w:t>
      </w:r>
      <w:r>
        <w:rPr>
          <w:rFonts w:ascii="Tahoma" w:hAnsi="Tahoma" w:cs="Tahoma"/>
          <w:color w:val="000000"/>
          <w:kern w:val="24"/>
          <w:sz w:val="24"/>
          <w:szCs w:val="24"/>
        </w:rPr>
        <w:t xml:space="preserve">Advisory </w:t>
      </w:r>
      <w:r w:rsidRPr="00201832">
        <w:rPr>
          <w:rFonts w:ascii="Tahoma" w:hAnsi="Tahoma" w:cs="Tahoma"/>
          <w:color w:val="000000"/>
          <w:kern w:val="24"/>
          <w:sz w:val="24"/>
          <w:szCs w:val="24"/>
        </w:rPr>
        <w:t>Committee</w:t>
      </w:r>
    </w:p>
    <w:p w:rsidR="0097367F" w:rsidRDefault="0097367F" w:rsidP="0097367F">
      <w:pPr>
        <w:pStyle w:val="NoSpacing"/>
        <w:ind w:left="720"/>
        <w:rPr>
          <w:rFonts w:ascii="Tahoma" w:hAnsi="Tahoma" w:cs="Tahoma"/>
          <w:color w:val="000000"/>
          <w:kern w:val="24"/>
          <w:sz w:val="24"/>
          <w:szCs w:val="24"/>
        </w:rPr>
      </w:pPr>
      <w:r>
        <w:rPr>
          <w:rFonts w:ascii="Tahoma" w:hAnsi="Tahoma" w:cs="Tahoma"/>
          <w:color w:val="000000"/>
          <w:kern w:val="24"/>
          <w:sz w:val="24"/>
          <w:szCs w:val="24"/>
        </w:rPr>
        <w:t>June 7, 2018</w:t>
      </w:r>
    </w:p>
    <w:p w:rsidR="0097367F" w:rsidRDefault="0097367F" w:rsidP="0097367F">
      <w:pPr>
        <w:pStyle w:val="NoSpacing"/>
        <w:ind w:left="720"/>
        <w:rPr>
          <w:rFonts w:ascii="Tahoma" w:hAnsi="Tahoma" w:cs="Tahoma"/>
          <w:color w:val="000000"/>
          <w:kern w:val="24"/>
          <w:sz w:val="24"/>
          <w:szCs w:val="24"/>
        </w:rPr>
      </w:pPr>
    </w:p>
    <w:p w:rsidR="0097367F" w:rsidRPr="00805534" w:rsidRDefault="0097367F" w:rsidP="0097367F">
      <w:pPr>
        <w:pStyle w:val="NoSpacing"/>
        <w:ind w:left="720"/>
      </w:pPr>
      <w:r>
        <w:rPr>
          <w:rFonts w:ascii="Tahoma" w:hAnsi="Tahoma" w:cs="Tahoma"/>
          <w:color w:val="000000"/>
          <w:kern w:val="24"/>
          <w:sz w:val="24"/>
          <w:szCs w:val="24"/>
        </w:rPr>
        <w:t>Item #4</w:t>
      </w:r>
    </w:p>
    <w:p w:rsidR="0097367F" w:rsidRDefault="0097367F" w:rsidP="0097367F">
      <w:pPr>
        <w:spacing w:after="0" w:line="240" w:lineRule="auto"/>
        <w:rPr>
          <w:rFonts w:ascii="Tahoma" w:hAnsi="Tahoma" w:cs="Tahoma"/>
          <w:sz w:val="24"/>
          <w:szCs w:val="24"/>
        </w:rPr>
      </w:pPr>
    </w:p>
    <w:p w:rsidR="0097367F" w:rsidRDefault="0097367F" w:rsidP="0097367F">
      <w:pPr>
        <w:spacing w:after="0" w:line="240" w:lineRule="auto"/>
        <w:rPr>
          <w:rFonts w:ascii="Tahoma" w:hAnsi="Tahoma" w:cs="Tahoma"/>
          <w:sz w:val="24"/>
          <w:szCs w:val="24"/>
        </w:rPr>
      </w:pPr>
    </w:p>
    <w:p w:rsidR="0097367F" w:rsidRDefault="0097367F" w:rsidP="0097367F">
      <w:pPr>
        <w:spacing w:after="0" w:line="240" w:lineRule="auto"/>
        <w:rPr>
          <w:rFonts w:ascii="Tahoma" w:hAnsi="Tahoma" w:cs="Tahoma"/>
          <w:bCs/>
          <w:sz w:val="24"/>
          <w:szCs w:val="24"/>
        </w:rPr>
      </w:pPr>
      <w:r>
        <w:rPr>
          <w:rFonts w:ascii="Tahoma" w:hAnsi="Tahoma" w:cs="Tahoma"/>
          <w:sz w:val="24"/>
          <w:szCs w:val="24"/>
        </w:rPr>
        <w:t>Slide 2</w:t>
      </w:r>
      <w:r w:rsidRPr="00805534">
        <w:rPr>
          <w:rFonts w:ascii="Tahoma" w:hAnsi="Tahoma" w:cs="Tahoma"/>
          <w:sz w:val="24"/>
          <w:szCs w:val="24"/>
        </w:rPr>
        <w:t>:</w:t>
      </w:r>
      <w:r>
        <w:rPr>
          <w:rFonts w:ascii="Tahoma" w:hAnsi="Tahoma" w:cs="Tahoma"/>
          <w:sz w:val="24"/>
          <w:szCs w:val="24"/>
        </w:rPr>
        <w:t xml:space="preserve"> </w:t>
      </w:r>
      <w:r w:rsidRPr="0097367F">
        <w:rPr>
          <w:rFonts w:ascii="Tahoma" w:hAnsi="Tahoma" w:cs="Tahoma"/>
          <w:bCs/>
          <w:sz w:val="24"/>
          <w:szCs w:val="24"/>
        </w:rPr>
        <w:t>Purpose</w:t>
      </w:r>
    </w:p>
    <w:p w:rsidR="0097367F" w:rsidRDefault="0097367F" w:rsidP="0097367F">
      <w:pPr>
        <w:spacing w:after="0" w:line="240" w:lineRule="auto"/>
        <w:rPr>
          <w:rFonts w:ascii="Tahoma" w:hAnsi="Tahoma" w:cs="Tahoma"/>
          <w:bCs/>
          <w:sz w:val="24"/>
          <w:szCs w:val="24"/>
        </w:rPr>
      </w:pPr>
    </w:p>
    <w:p w:rsidR="00A93D0F" w:rsidRPr="00A93D0F" w:rsidRDefault="00A93D0F" w:rsidP="00A93D0F">
      <w:pPr>
        <w:pStyle w:val="ListParagraph"/>
        <w:numPr>
          <w:ilvl w:val="0"/>
          <w:numId w:val="1"/>
        </w:numPr>
        <w:spacing w:after="0" w:line="240" w:lineRule="auto"/>
        <w:rPr>
          <w:rFonts w:ascii="Tahoma" w:hAnsi="Tahoma" w:cs="Tahoma"/>
          <w:bCs/>
          <w:sz w:val="24"/>
          <w:szCs w:val="24"/>
        </w:rPr>
      </w:pPr>
      <w:r w:rsidRPr="00A93D0F">
        <w:rPr>
          <w:rFonts w:ascii="Tahoma" w:hAnsi="Tahoma" w:cs="Tahoma"/>
          <w:bCs/>
          <w:sz w:val="24"/>
          <w:szCs w:val="24"/>
        </w:rPr>
        <w:t>Briefing on updated Equity Emphasis Areas (EEAs); and</w:t>
      </w:r>
    </w:p>
    <w:p w:rsidR="0097367F" w:rsidRPr="00201832" w:rsidRDefault="00A93D0F" w:rsidP="00A93D0F">
      <w:pPr>
        <w:pStyle w:val="ListParagraph"/>
        <w:numPr>
          <w:ilvl w:val="0"/>
          <w:numId w:val="1"/>
        </w:numPr>
        <w:spacing w:after="0" w:line="240" w:lineRule="auto"/>
        <w:rPr>
          <w:rFonts w:ascii="Tahoma" w:hAnsi="Tahoma" w:cs="Tahoma"/>
          <w:bCs/>
          <w:sz w:val="24"/>
          <w:szCs w:val="24"/>
        </w:rPr>
      </w:pPr>
      <w:r w:rsidRPr="00A93D0F">
        <w:rPr>
          <w:rFonts w:ascii="Tahoma" w:hAnsi="Tahoma" w:cs="Tahoma"/>
          <w:bCs/>
          <w:sz w:val="24"/>
          <w:szCs w:val="24"/>
        </w:rPr>
        <w:t>How the EEAs will be used in the Enhanced Mobility grant selection process</w:t>
      </w:r>
    </w:p>
    <w:p w:rsidR="0097367F" w:rsidRDefault="0097367F" w:rsidP="0097367F">
      <w:pPr>
        <w:spacing w:after="0" w:line="240" w:lineRule="auto"/>
        <w:rPr>
          <w:rFonts w:ascii="Tahoma" w:hAnsi="Tahoma" w:cs="Tahoma"/>
          <w:bCs/>
          <w:sz w:val="24"/>
          <w:szCs w:val="24"/>
        </w:rPr>
      </w:pPr>
    </w:p>
    <w:p w:rsidR="0097367F" w:rsidRPr="00EB3E1D" w:rsidRDefault="0097367F" w:rsidP="0097367F">
      <w:pPr>
        <w:spacing w:after="0" w:line="240" w:lineRule="auto"/>
        <w:rPr>
          <w:rFonts w:ascii="Tahoma" w:hAnsi="Tahoma" w:cs="Tahoma"/>
          <w:bCs/>
          <w:sz w:val="24"/>
          <w:szCs w:val="24"/>
        </w:rPr>
      </w:pPr>
    </w:p>
    <w:p w:rsidR="0097367F" w:rsidRDefault="0097367F" w:rsidP="0097367F">
      <w:pPr>
        <w:spacing w:after="0" w:line="240" w:lineRule="auto"/>
        <w:rPr>
          <w:rFonts w:ascii="Tahoma" w:hAnsi="Tahoma" w:cs="Tahoma"/>
          <w:bCs/>
          <w:sz w:val="24"/>
          <w:szCs w:val="24"/>
        </w:rPr>
      </w:pPr>
      <w:r>
        <w:rPr>
          <w:rFonts w:ascii="Tahoma" w:hAnsi="Tahoma" w:cs="Tahoma"/>
          <w:sz w:val="24"/>
          <w:szCs w:val="24"/>
        </w:rPr>
        <w:t>Slide 3</w:t>
      </w:r>
      <w:r w:rsidRPr="00805534">
        <w:rPr>
          <w:rFonts w:ascii="Tahoma" w:hAnsi="Tahoma" w:cs="Tahoma"/>
          <w:sz w:val="24"/>
          <w:szCs w:val="24"/>
        </w:rPr>
        <w:t>:</w:t>
      </w:r>
      <w:r>
        <w:rPr>
          <w:rFonts w:ascii="Tahoma" w:hAnsi="Tahoma" w:cs="Tahoma"/>
          <w:sz w:val="24"/>
          <w:szCs w:val="24"/>
        </w:rPr>
        <w:t xml:space="preserve"> </w:t>
      </w:r>
      <w:r w:rsidRPr="0097367F">
        <w:rPr>
          <w:rFonts w:ascii="Tahoma" w:hAnsi="Tahoma" w:cs="Tahoma"/>
          <w:bCs/>
          <w:sz w:val="24"/>
          <w:szCs w:val="24"/>
        </w:rPr>
        <w:t>Background</w:t>
      </w:r>
    </w:p>
    <w:p w:rsidR="0097367F" w:rsidRDefault="0097367F" w:rsidP="0097367F">
      <w:pPr>
        <w:spacing w:after="0" w:line="240" w:lineRule="auto"/>
        <w:rPr>
          <w:rFonts w:ascii="Tahoma" w:hAnsi="Tahoma" w:cs="Tahoma"/>
          <w:bCs/>
          <w:sz w:val="24"/>
          <w:szCs w:val="24"/>
        </w:rPr>
      </w:pPr>
    </w:p>
    <w:p w:rsidR="00A93D0F" w:rsidRPr="00A93D0F" w:rsidRDefault="00A93D0F" w:rsidP="00A93D0F">
      <w:pPr>
        <w:pStyle w:val="ListParagraph"/>
        <w:numPr>
          <w:ilvl w:val="0"/>
          <w:numId w:val="2"/>
        </w:numPr>
        <w:spacing w:after="0" w:line="240" w:lineRule="auto"/>
        <w:rPr>
          <w:rFonts w:ascii="Tahoma" w:hAnsi="Tahoma" w:cs="Tahoma"/>
          <w:bCs/>
          <w:sz w:val="24"/>
          <w:szCs w:val="24"/>
        </w:rPr>
      </w:pPr>
      <w:r w:rsidRPr="00A93D0F">
        <w:rPr>
          <w:rFonts w:ascii="Tahoma" w:hAnsi="Tahoma" w:cs="Tahoma"/>
          <w:bCs/>
          <w:sz w:val="24"/>
          <w:szCs w:val="24"/>
        </w:rPr>
        <w:t>The TPB adopted EEA methodology in March 2017 to enhance how the long-range plan is analyzed for Title VI and Environmental Justice (EJ) considerations</w:t>
      </w:r>
    </w:p>
    <w:p w:rsidR="00A93D0F" w:rsidRPr="00A93D0F" w:rsidRDefault="00A93D0F" w:rsidP="00A93D0F">
      <w:pPr>
        <w:pStyle w:val="ListParagraph"/>
        <w:numPr>
          <w:ilvl w:val="0"/>
          <w:numId w:val="2"/>
        </w:numPr>
        <w:spacing w:after="0" w:line="240" w:lineRule="auto"/>
        <w:rPr>
          <w:rFonts w:ascii="Tahoma" w:hAnsi="Tahoma" w:cs="Tahoma"/>
          <w:bCs/>
          <w:sz w:val="24"/>
          <w:szCs w:val="24"/>
        </w:rPr>
      </w:pPr>
      <w:r w:rsidRPr="00A93D0F">
        <w:rPr>
          <w:rFonts w:ascii="Tahoma" w:hAnsi="Tahoma" w:cs="Tahoma"/>
          <w:bCs/>
          <w:sz w:val="24"/>
          <w:szCs w:val="24"/>
        </w:rPr>
        <w:t>Using the TPB-approved methodology, the EEAs were updated with the most recent American Community Survey data</w:t>
      </w:r>
    </w:p>
    <w:p w:rsidR="00A93D0F" w:rsidRPr="00A93D0F" w:rsidRDefault="00A93D0F" w:rsidP="00A93D0F">
      <w:pPr>
        <w:pStyle w:val="ListParagraph"/>
        <w:numPr>
          <w:ilvl w:val="0"/>
          <w:numId w:val="2"/>
        </w:numPr>
        <w:spacing w:after="0" w:line="240" w:lineRule="auto"/>
        <w:rPr>
          <w:rFonts w:ascii="Tahoma" w:hAnsi="Tahoma" w:cs="Tahoma"/>
          <w:bCs/>
          <w:sz w:val="24"/>
          <w:szCs w:val="24"/>
        </w:rPr>
      </w:pPr>
      <w:r w:rsidRPr="00A93D0F">
        <w:rPr>
          <w:rFonts w:ascii="Tahoma" w:hAnsi="Tahoma" w:cs="Tahoma"/>
          <w:bCs/>
          <w:sz w:val="24"/>
          <w:szCs w:val="24"/>
        </w:rPr>
        <w:t xml:space="preserve">The EEA’s will be used to analyze Visualize 2045 for disproportionate impacts on low-income and minority populations </w:t>
      </w:r>
    </w:p>
    <w:p w:rsidR="0097367F" w:rsidRPr="00C71D0E" w:rsidRDefault="00A93D0F" w:rsidP="00A93D0F">
      <w:pPr>
        <w:pStyle w:val="ListParagraph"/>
        <w:numPr>
          <w:ilvl w:val="0"/>
          <w:numId w:val="2"/>
        </w:numPr>
        <w:spacing w:after="0" w:line="240" w:lineRule="auto"/>
        <w:rPr>
          <w:rFonts w:ascii="Tahoma" w:hAnsi="Tahoma" w:cs="Tahoma"/>
          <w:sz w:val="24"/>
          <w:szCs w:val="24"/>
        </w:rPr>
      </w:pPr>
      <w:r w:rsidRPr="00A93D0F">
        <w:rPr>
          <w:rFonts w:ascii="Tahoma" w:hAnsi="Tahoma" w:cs="Tahoma"/>
          <w:bCs/>
          <w:sz w:val="24"/>
          <w:szCs w:val="24"/>
        </w:rPr>
        <w:t>TPB staff will update the EEAs with the latest data in conjunction with each major plan update (every 4 years)</w:t>
      </w:r>
    </w:p>
    <w:p w:rsidR="0097367F" w:rsidRPr="0097367F" w:rsidRDefault="0097367F" w:rsidP="0097367F">
      <w:pPr>
        <w:spacing w:after="0" w:line="240" w:lineRule="auto"/>
        <w:rPr>
          <w:rFonts w:ascii="Tahoma" w:hAnsi="Tahoma" w:cs="Tahoma"/>
          <w:sz w:val="24"/>
          <w:szCs w:val="24"/>
        </w:rPr>
      </w:pPr>
    </w:p>
    <w:p w:rsidR="0097367F" w:rsidRDefault="0097367F" w:rsidP="0097367F">
      <w:pPr>
        <w:spacing w:after="0" w:line="240" w:lineRule="auto"/>
        <w:rPr>
          <w:rFonts w:ascii="Tahoma" w:hAnsi="Tahoma" w:cs="Tahoma"/>
          <w:sz w:val="24"/>
          <w:szCs w:val="24"/>
        </w:rPr>
      </w:pPr>
    </w:p>
    <w:p w:rsidR="0097367F" w:rsidRDefault="0097367F" w:rsidP="0097367F">
      <w:pPr>
        <w:spacing w:after="0" w:line="240" w:lineRule="auto"/>
        <w:rPr>
          <w:rFonts w:ascii="Tahoma" w:hAnsi="Tahoma" w:cs="Tahoma"/>
          <w:bCs/>
          <w:sz w:val="24"/>
          <w:szCs w:val="24"/>
        </w:rPr>
      </w:pPr>
      <w:r>
        <w:rPr>
          <w:rFonts w:ascii="Tahoma" w:hAnsi="Tahoma" w:cs="Tahoma"/>
          <w:sz w:val="24"/>
          <w:szCs w:val="24"/>
        </w:rPr>
        <w:t>Slide 4</w:t>
      </w:r>
      <w:r w:rsidRPr="00805534">
        <w:rPr>
          <w:rFonts w:ascii="Tahoma" w:hAnsi="Tahoma" w:cs="Tahoma"/>
          <w:sz w:val="24"/>
          <w:szCs w:val="24"/>
        </w:rPr>
        <w:t>:</w:t>
      </w:r>
      <w:r>
        <w:rPr>
          <w:rFonts w:ascii="Tahoma" w:hAnsi="Tahoma" w:cs="Tahoma"/>
          <w:sz w:val="24"/>
          <w:szCs w:val="24"/>
        </w:rPr>
        <w:t xml:space="preserve"> </w:t>
      </w:r>
      <w:r>
        <w:rPr>
          <w:rFonts w:ascii="Tahoma" w:hAnsi="Tahoma" w:cs="Tahoma"/>
          <w:bCs/>
          <w:sz w:val="24"/>
          <w:szCs w:val="24"/>
        </w:rPr>
        <w:t xml:space="preserve"> </w:t>
      </w:r>
      <w:r w:rsidRPr="0097367F">
        <w:rPr>
          <w:rFonts w:ascii="Tahoma" w:hAnsi="Tahoma" w:cs="Tahoma"/>
          <w:bCs/>
          <w:sz w:val="24"/>
          <w:szCs w:val="24"/>
        </w:rPr>
        <w:t>TPB Approved Methodology</w:t>
      </w:r>
    </w:p>
    <w:p w:rsidR="0097367F" w:rsidRDefault="0097367F" w:rsidP="0097367F">
      <w:pPr>
        <w:spacing w:after="0" w:line="240" w:lineRule="auto"/>
        <w:rPr>
          <w:rFonts w:ascii="Tahoma" w:hAnsi="Tahoma" w:cs="Tahoma"/>
          <w:bCs/>
          <w:sz w:val="24"/>
          <w:szCs w:val="24"/>
        </w:rPr>
      </w:pPr>
    </w:p>
    <w:p w:rsidR="0097367F" w:rsidRDefault="0097367F" w:rsidP="0097367F">
      <w:pPr>
        <w:spacing w:after="0" w:line="240" w:lineRule="auto"/>
        <w:rPr>
          <w:rFonts w:ascii="Tahoma" w:hAnsi="Tahoma" w:cs="Tahoma"/>
          <w:bCs/>
          <w:sz w:val="24"/>
          <w:szCs w:val="24"/>
        </w:rPr>
      </w:pPr>
      <w:r>
        <w:rPr>
          <w:rFonts w:ascii="Tahoma" w:hAnsi="Tahoma" w:cs="Tahoma"/>
          <w:bCs/>
          <w:sz w:val="24"/>
          <w:szCs w:val="24"/>
        </w:rPr>
        <w:tab/>
        <w:t>Image: Snapshot of Methodology document</w:t>
      </w:r>
    </w:p>
    <w:p w:rsidR="0097367F" w:rsidRDefault="0097367F" w:rsidP="0097367F">
      <w:pPr>
        <w:spacing w:after="0" w:line="240" w:lineRule="auto"/>
        <w:rPr>
          <w:rFonts w:ascii="Tahoma" w:hAnsi="Tahoma" w:cs="Tahoma"/>
          <w:bCs/>
          <w:sz w:val="24"/>
          <w:szCs w:val="24"/>
        </w:rPr>
      </w:pPr>
    </w:p>
    <w:p w:rsidR="0097367F" w:rsidRPr="0097367F" w:rsidRDefault="0097367F" w:rsidP="0097367F">
      <w:pPr>
        <w:pStyle w:val="ListParagraph"/>
        <w:numPr>
          <w:ilvl w:val="0"/>
          <w:numId w:val="3"/>
        </w:numPr>
        <w:spacing w:after="0" w:line="240" w:lineRule="auto"/>
        <w:rPr>
          <w:rFonts w:ascii="Tahoma" w:hAnsi="Tahoma" w:cs="Tahoma"/>
          <w:bCs/>
          <w:sz w:val="24"/>
          <w:szCs w:val="24"/>
        </w:rPr>
      </w:pPr>
      <w:r w:rsidRPr="0097367F">
        <w:rPr>
          <w:rFonts w:ascii="Tahoma" w:hAnsi="Tahoma" w:cs="Tahoma"/>
          <w:bCs/>
          <w:sz w:val="24"/>
          <w:szCs w:val="24"/>
        </w:rPr>
        <w:t>American Community Survey data by Census tract for 4 groups: Low-Income, African-American, Asian, and Hispanic/Latino</w:t>
      </w:r>
    </w:p>
    <w:p w:rsidR="0097367F" w:rsidRPr="0097367F" w:rsidRDefault="0097367F" w:rsidP="0097367F">
      <w:pPr>
        <w:pStyle w:val="ListParagraph"/>
        <w:numPr>
          <w:ilvl w:val="0"/>
          <w:numId w:val="3"/>
        </w:numPr>
        <w:spacing w:after="0" w:line="240" w:lineRule="auto"/>
        <w:rPr>
          <w:rFonts w:ascii="Tahoma" w:hAnsi="Tahoma" w:cs="Tahoma"/>
          <w:bCs/>
          <w:sz w:val="24"/>
          <w:szCs w:val="24"/>
        </w:rPr>
      </w:pPr>
      <w:r w:rsidRPr="0097367F">
        <w:rPr>
          <w:rFonts w:ascii="Tahoma" w:hAnsi="Tahoma" w:cs="Tahoma"/>
          <w:bCs/>
          <w:sz w:val="24"/>
          <w:szCs w:val="24"/>
        </w:rPr>
        <w:t>Index scores determined for every tract based on regional averages for the 4 groups</w:t>
      </w:r>
    </w:p>
    <w:p w:rsidR="0097367F" w:rsidRPr="0097367F" w:rsidRDefault="0097367F" w:rsidP="0097367F">
      <w:pPr>
        <w:pStyle w:val="ListParagraph"/>
        <w:numPr>
          <w:ilvl w:val="0"/>
          <w:numId w:val="3"/>
        </w:numPr>
        <w:spacing w:after="0" w:line="240" w:lineRule="auto"/>
        <w:rPr>
          <w:rFonts w:ascii="Tahoma" w:hAnsi="Tahoma" w:cs="Tahoma"/>
          <w:bCs/>
          <w:sz w:val="24"/>
          <w:szCs w:val="24"/>
        </w:rPr>
      </w:pPr>
      <w:r w:rsidRPr="0097367F">
        <w:rPr>
          <w:rFonts w:ascii="Tahoma" w:hAnsi="Tahoma" w:cs="Tahoma"/>
          <w:bCs/>
          <w:sz w:val="24"/>
          <w:szCs w:val="24"/>
        </w:rPr>
        <w:t xml:space="preserve">Index scores are </w:t>
      </w:r>
      <w:proofErr w:type="gramStart"/>
      <w:r w:rsidRPr="0097367F">
        <w:rPr>
          <w:rFonts w:ascii="Tahoma" w:hAnsi="Tahoma" w:cs="Tahoma"/>
          <w:bCs/>
          <w:sz w:val="24"/>
          <w:szCs w:val="24"/>
        </w:rPr>
        <w:t>totaled</w:t>
      </w:r>
      <w:proofErr w:type="gramEnd"/>
      <w:r w:rsidRPr="0097367F">
        <w:rPr>
          <w:rFonts w:ascii="Tahoma" w:hAnsi="Tahoma" w:cs="Tahoma"/>
          <w:bCs/>
          <w:sz w:val="24"/>
          <w:szCs w:val="24"/>
        </w:rPr>
        <w:t xml:space="preserve"> and a tract is an EEA if the total score exceeds established thresholds</w:t>
      </w:r>
    </w:p>
    <w:p w:rsidR="0097367F" w:rsidRDefault="0097367F" w:rsidP="0097367F">
      <w:pPr>
        <w:pStyle w:val="ListParagraph"/>
        <w:numPr>
          <w:ilvl w:val="0"/>
          <w:numId w:val="3"/>
        </w:numPr>
        <w:spacing w:after="0" w:line="240" w:lineRule="auto"/>
        <w:rPr>
          <w:rFonts w:ascii="Tahoma" w:hAnsi="Tahoma" w:cs="Tahoma"/>
          <w:bCs/>
          <w:sz w:val="24"/>
          <w:szCs w:val="24"/>
        </w:rPr>
      </w:pPr>
      <w:r w:rsidRPr="0097367F">
        <w:rPr>
          <w:rFonts w:ascii="Tahoma" w:hAnsi="Tahoma" w:cs="Tahoma"/>
          <w:bCs/>
          <w:sz w:val="24"/>
          <w:szCs w:val="24"/>
        </w:rPr>
        <w:t>Income is weighted more heavily than race or ethnicity</w:t>
      </w:r>
    </w:p>
    <w:p w:rsidR="0097367F" w:rsidRPr="00C71D0E" w:rsidRDefault="0097367F" w:rsidP="0097367F">
      <w:pPr>
        <w:pStyle w:val="ListParagraph"/>
        <w:numPr>
          <w:ilvl w:val="0"/>
          <w:numId w:val="3"/>
        </w:numPr>
        <w:spacing w:after="0" w:line="240" w:lineRule="auto"/>
        <w:rPr>
          <w:rFonts w:ascii="Tahoma" w:hAnsi="Tahoma" w:cs="Tahoma"/>
          <w:bCs/>
          <w:sz w:val="24"/>
          <w:szCs w:val="24"/>
        </w:rPr>
      </w:pPr>
      <w:r w:rsidRPr="0097367F">
        <w:rPr>
          <w:rFonts w:ascii="Tahoma" w:hAnsi="Tahoma" w:cs="Tahoma"/>
          <w:bCs/>
          <w:sz w:val="24"/>
          <w:szCs w:val="24"/>
        </w:rPr>
        <w:lastRenderedPageBreak/>
        <w:t>For more detail: https://www.mwcog.org/transportation/planning-areas/fairness-and-accessibility/environmental-justice/equity-emphasis-areas/</w:t>
      </w:r>
    </w:p>
    <w:p w:rsidR="0097367F" w:rsidRDefault="0097367F" w:rsidP="0097367F">
      <w:pPr>
        <w:spacing w:after="0" w:line="240" w:lineRule="auto"/>
        <w:rPr>
          <w:rFonts w:ascii="Tahoma" w:hAnsi="Tahoma" w:cs="Tahoma"/>
          <w:bCs/>
          <w:sz w:val="24"/>
          <w:szCs w:val="24"/>
        </w:rPr>
      </w:pPr>
    </w:p>
    <w:p w:rsidR="0097367F" w:rsidRDefault="0097367F" w:rsidP="0097367F">
      <w:pPr>
        <w:pStyle w:val="ListParagraph"/>
        <w:spacing w:after="0" w:line="240" w:lineRule="auto"/>
        <w:rPr>
          <w:rFonts w:ascii="Tahoma" w:hAnsi="Tahoma" w:cs="Tahoma"/>
          <w:bCs/>
          <w:sz w:val="24"/>
          <w:szCs w:val="24"/>
        </w:rPr>
      </w:pPr>
    </w:p>
    <w:p w:rsidR="0097367F" w:rsidRDefault="0097367F" w:rsidP="0097367F">
      <w:pPr>
        <w:spacing w:after="0" w:line="240" w:lineRule="auto"/>
        <w:rPr>
          <w:rFonts w:ascii="Tahoma" w:hAnsi="Tahoma" w:cs="Tahoma"/>
          <w:bCs/>
          <w:sz w:val="24"/>
          <w:szCs w:val="24"/>
        </w:rPr>
      </w:pPr>
      <w:r>
        <w:rPr>
          <w:rFonts w:ascii="Tahoma" w:hAnsi="Tahoma" w:cs="Tahoma"/>
          <w:sz w:val="24"/>
          <w:szCs w:val="24"/>
        </w:rPr>
        <w:t xml:space="preserve">Slide </w:t>
      </w:r>
      <w:r w:rsidR="00A93D0F">
        <w:rPr>
          <w:rFonts w:ascii="Tahoma" w:hAnsi="Tahoma" w:cs="Tahoma"/>
          <w:sz w:val="24"/>
          <w:szCs w:val="24"/>
        </w:rPr>
        <w:t>5</w:t>
      </w:r>
      <w:r w:rsidRPr="00805534">
        <w:rPr>
          <w:rFonts w:ascii="Tahoma" w:hAnsi="Tahoma" w:cs="Tahoma"/>
          <w:sz w:val="24"/>
          <w:szCs w:val="24"/>
        </w:rPr>
        <w:t>:</w:t>
      </w:r>
      <w:r>
        <w:rPr>
          <w:rFonts w:ascii="Tahoma" w:hAnsi="Tahoma" w:cs="Tahoma"/>
          <w:sz w:val="24"/>
          <w:szCs w:val="24"/>
        </w:rPr>
        <w:t xml:space="preserve"> </w:t>
      </w:r>
      <w:r>
        <w:rPr>
          <w:rFonts w:ascii="Tahoma" w:hAnsi="Tahoma" w:cs="Tahoma"/>
          <w:bCs/>
          <w:sz w:val="24"/>
          <w:szCs w:val="24"/>
        </w:rPr>
        <w:t xml:space="preserve"> </w:t>
      </w:r>
      <w:r w:rsidRPr="0097367F">
        <w:rPr>
          <w:rFonts w:ascii="Tahoma" w:hAnsi="Tahoma" w:cs="Tahoma"/>
          <w:bCs/>
          <w:sz w:val="24"/>
          <w:szCs w:val="24"/>
        </w:rPr>
        <w:t>Changes in Regional Average</w:t>
      </w:r>
      <w:r>
        <w:rPr>
          <w:rFonts w:ascii="Tahoma" w:hAnsi="Tahoma" w:cs="Tahoma"/>
          <w:bCs/>
          <w:sz w:val="24"/>
          <w:szCs w:val="24"/>
        </w:rPr>
        <w:t xml:space="preserve">, </w:t>
      </w:r>
      <w:r w:rsidRPr="0097367F">
        <w:rPr>
          <w:rFonts w:ascii="Tahoma" w:hAnsi="Tahoma" w:cs="Tahoma"/>
          <w:bCs/>
          <w:sz w:val="24"/>
          <w:szCs w:val="24"/>
        </w:rPr>
        <w:t>between American Community Survey datasets</w:t>
      </w:r>
    </w:p>
    <w:p w:rsidR="0097367F" w:rsidRDefault="0097367F" w:rsidP="0097367F">
      <w:pPr>
        <w:spacing w:after="0" w:line="240" w:lineRule="auto"/>
        <w:rPr>
          <w:rFonts w:ascii="Tahoma" w:hAnsi="Tahoma" w:cs="Tahoma"/>
          <w:bCs/>
          <w:sz w:val="24"/>
          <w:szCs w:val="24"/>
        </w:rPr>
      </w:pPr>
    </w:p>
    <w:p w:rsidR="0097367F" w:rsidRDefault="0097367F" w:rsidP="0097367F">
      <w:pPr>
        <w:spacing w:after="0" w:line="240" w:lineRule="auto"/>
        <w:ind w:left="720"/>
        <w:rPr>
          <w:rFonts w:ascii="Tahoma" w:hAnsi="Tahoma" w:cs="Tahoma"/>
          <w:bCs/>
          <w:sz w:val="24"/>
          <w:szCs w:val="24"/>
        </w:rPr>
      </w:pPr>
      <w:r>
        <w:rPr>
          <w:rFonts w:ascii="Tahoma" w:hAnsi="Tahoma" w:cs="Tahoma"/>
          <w:bCs/>
          <w:sz w:val="24"/>
          <w:szCs w:val="24"/>
        </w:rPr>
        <w:t xml:space="preserve">Chart: </w:t>
      </w:r>
      <w:r w:rsidRPr="0097367F">
        <w:rPr>
          <w:rFonts w:ascii="Tahoma" w:hAnsi="Tahoma" w:cs="Tahoma"/>
          <w:bCs/>
          <w:sz w:val="24"/>
          <w:szCs w:val="24"/>
        </w:rPr>
        <w:t>2010-2014 versus 2012-2016 American Community Survey 5-Year Estimates</w:t>
      </w:r>
    </w:p>
    <w:p w:rsidR="0097367F" w:rsidRDefault="0097367F" w:rsidP="0097367F">
      <w:pPr>
        <w:spacing w:after="0" w:line="240" w:lineRule="auto"/>
        <w:ind w:left="720"/>
        <w:rPr>
          <w:rFonts w:ascii="Tahoma" w:hAnsi="Tahoma" w:cs="Tahoma"/>
          <w:bCs/>
          <w:sz w:val="24"/>
          <w:szCs w:val="24"/>
        </w:rPr>
      </w:pPr>
    </w:p>
    <w:p w:rsidR="0097367F" w:rsidRDefault="0097367F" w:rsidP="0097367F">
      <w:pPr>
        <w:spacing w:after="0" w:line="240" w:lineRule="auto"/>
        <w:ind w:left="1440"/>
        <w:rPr>
          <w:rFonts w:ascii="Tahoma" w:hAnsi="Tahoma" w:cs="Tahoma"/>
          <w:bCs/>
          <w:sz w:val="24"/>
          <w:szCs w:val="24"/>
        </w:rPr>
      </w:pPr>
      <w:r>
        <w:rPr>
          <w:rFonts w:ascii="Tahoma" w:hAnsi="Tahoma" w:cs="Tahoma"/>
          <w:bCs/>
          <w:sz w:val="24"/>
          <w:szCs w:val="24"/>
        </w:rPr>
        <w:t>Low-Income</w:t>
      </w:r>
    </w:p>
    <w:p w:rsidR="0097367F" w:rsidRDefault="0097367F" w:rsidP="0097367F">
      <w:pPr>
        <w:spacing w:after="0" w:line="240" w:lineRule="auto"/>
        <w:ind w:left="1440"/>
        <w:rPr>
          <w:rFonts w:ascii="Tahoma" w:hAnsi="Tahoma" w:cs="Tahoma"/>
          <w:bCs/>
          <w:sz w:val="24"/>
          <w:szCs w:val="24"/>
        </w:rPr>
      </w:pPr>
      <w:r>
        <w:rPr>
          <w:rFonts w:ascii="Tahoma" w:hAnsi="Tahoma" w:cs="Tahoma"/>
          <w:bCs/>
          <w:sz w:val="24"/>
          <w:szCs w:val="24"/>
        </w:rPr>
        <w:tab/>
        <w:t>2012-2016: 13.9%</w:t>
      </w:r>
    </w:p>
    <w:p w:rsidR="0097367F" w:rsidRDefault="0097367F" w:rsidP="0097367F">
      <w:pPr>
        <w:spacing w:after="0" w:line="240" w:lineRule="auto"/>
        <w:ind w:left="1440"/>
        <w:rPr>
          <w:rFonts w:ascii="Tahoma" w:hAnsi="Tahoma" w:cs="Tahoma"/>
          <w:bCs/>
          <w:sz w:val="24"/>
          <w:szCs w:val="24"/>
        </w:rPr>
      </w:pPr>
      <w:r>
        <w:rPr>
          <w:rFonts w:ascii="Tahoma" w:hAnsi="Tahoma" w:cs="Tahoma"/>
          <w:bCs/>
          <w:sz w:val="24"/>
          <w:szCs w:val="24"/>
        </w:rPr>
        <w:tab/>
        <w:t>2010-2014: 13.8%</w:t>
      </w:r>
    </w:p>
    <w:p w:rsidR="0097367F" w:rsidRDefault="0097367F" w:rsidP="0097367F">
      <w:pPr>
        <w:spacing w:after="0" w:line="240" w:lineRule="auto"/>
        <w:ind w:left="1440"/>
        <w:rPr>
          <w:rFonts w:ascii="Tahoma" w:hAnsi="Tahoma" w:cs="Tahoma"/>
          <w:bCs/>
          <w:sz w:val="24"/>
          <w:szCs w:val="24"/>
        </w:rPr>
      </w:pPr>
      <w:r>
        <w:rPr>
          <w:rFonts w:ascii="Tahoma" w:hAnsi="Tahoma" w:cs="Tahoma"/>
          <w:bCs/>
          <w:sz w:val="24"/>
          <w:szCs w:val="24"/>
        </w:rPr>
        <w:t>African-American</w:t>
      </w:r>
    </w:p>
    <w:p w:rsidR="0097367F" w:rsidRDefault="0097367F" w:rsidP="0097367F">
      <w:pPr>
        <w:spacing w:after="0" w:line="240" w:lineRule="auto"/>
        <w:ind w:left="1440"/>
        <w:rPr>
          <w:rFonts w:ascii="Tahoma" w:hAnsi="Tahoma" w:cs="Tahoma"/>
          <w:bCs/>
          <w:sz w:val="24"/>
          <w:szCs w:val="24"/>
        </w:rPr>
      </w:pPr>
      <w:r>
        <w:rPr>
          <w:rFonts w:ascii="Tahoma" w:hAnsi="Tahoma" w:cs="Tahoma"/>
          <w:bCs/>
          <w:sz w:val="24"/>
          <w:szCs w:val="24"/>
        </w:rPr>
        <w:tab/>
        <w:t>2012-2016: 26.2%</w:t>
      </w:r>
    </w:p>
    <w:p w:rsidR="0097367F" w:rsidRDefault="0097367F" w:rsidP="0097367F">
      <w:pPr>
        <w:spacing w:after="0" w:line="240" w:lineRule="auto"/>
        <w:ind w:left="1440"/>
        <w:rPr>
          <w:rFonts w:ascii="Tahoma" w:hAnsi="Tahoma" w:cs="Tahoma"/>
          <w:bCs/>
          <w:sz w:val="24"/>
          <w:szCs w:val="24"/>
        </w:rPr>
      </w:pPr>
      <w:r>
        <w:rPr>
          <w:rFonts w:ascii="Tahoma" w:hAnsi="Tahoma" w:cs="Tahoma"/>
          <w:bCs/>
          <w:sz w:val="24"/>
          <w:szCs w:val="24"/>
        </w:rPr>
        <w:tab/>
        <w:t>2010-2014: 26.2%</w:t>
      </w:r>
    </w:p>
    <w:p w:rsidR="0097367F" w:rsidRDefault="0097367F" w:rsidP="0097367F">
      <w:pPr>
        <w:spacing w:after="0" w:line="240" w:lineRule="auto"/>
        <w:ind w:left="1440"/>
        <w:rPr>
          <w:rFonts w:ascii="Tahoma" w:hAnsi="Tahoma" w:cs="Tahoma"/>
          <w:bCs/>
          <w:sz w:val="24"/>
          <w:szCs w:val="24"/>
        </w:rPr>
      </w:pPr>
      <w:r>
        <w:rPr>
          <w:rFonts w:ascii="Tahoma" w:hAnsi="Tahoma" w:cs="Tahoma"/>
          <w:bCs/>
          <w:sz w:val="24"/>
          <w:szCs w:val="24"/>
        </w:rPr>
        <w:t>Asian</w:t>
      </w:r>
    </w:p>
    <w:p w:rsidR="0097367F" w:rsidRDefault="0097367F" w:rsidP="0097367F">
      <w:pPr>
        <w:spacing w:after="0" w:line="240" w:lineRule="auto"/>
        <w:ind w:left="1440"/>
        <w:rPr>
          <w:rFonts w:ascii="Tahoma" w:hAnsi="Tahoma" w:cs="Tahoma"/>
          <w:bCs/>
          <w:sz w:val="24"/>
          <w:szCs w:val="24"/>
        </w:rPr>
      </w:pPr>
      <w:r>
        <w:rPr>
          <w:rFonts w:ascii="Tahoma" w:hAnsi="Tahoma" w:cs="Tahoma"/>
          <w:bCs/>
          <w:sz w:val="24"/>
          <w:szCs w:val="24"/>
        </w:rPr>
        <w:tab/>
        <w:t>2012-2016: 10.5%</w:t>
      </w:r>
    </w:p>
    <w:p w:rsidR="0097367F" w:rsidRDefault="0097367F" w:rsidP="0097367F">
      <w:pPr>
        <w:spacing w:after="0" w:line="240" w:lineRule="auto"/>
        <w:ind w:left="1440"/>
        <w:rPr>
          <w:rFonts w:ascii="Tahoma" w:hAnsi="Tahoma" w:cs="Tahoma"/>
          <w:bCs/>
          <w:sz w:val="24"/>
          <w:szCs w:val="24"/>
        </w:rPr>
      </w:pPr>
      <w:r>
        <w:rPr>
          <w:rFonts w:ascii="Tahoma" w:hAnsi="Tahoma" w:cs="Tahoma"/>
          <w:bCs/>
          <w:sz w:val="24"/>
          <w:szCs w:val="24"/>
        </w:rPr>
        <w:tab/>
        <w:t>2010-2014: 10.3%</w:t>
      </w:r>
    </w:p>
    <w:p w:rsidR="0097367F" w:rsidRDefault="0097367F" w:rsidP="0097367F">
      <w:pPr>
        <w:spacing w:after="0" w:line="240" w:lineRule="auto"/>
        <w:ind w:left="1440"/>
        <w:rPr>
          <w:rFonts w:ascii="Tahoma" w:hAnsi="Tahoma" w:cs="Tahoma"/>
          <w:bCs/>
          <w:sz w:val="24"/>
          <w:szCs w:val="24"/>
        </w:rPr>
      </w:pPr>
      <w:r>
        <w:rPr>
          <w:rFonts w:ascii="Tahoma" w:hAnsi="Tahoma" w:cs="Tahoma"/>
          <w:bCs/>
          <w:sz w:val="24"/>
          <w:szCs w:val="24"/>
        </w:rPr>
        <w:t>Hispanic or Latino</w:t>
      </w:r>
    </w:p>
    <w:p w:rsidR="0097367F" w:rsidRDefault="0097367F" w:rsidP="0097367F">
      <w:pPr>
        <w:spacing w:after="0" w:line="240" w:lineRule="auto"/>
        <w:ind w:left="1440"/>
        <w:rPr>
          <w:rFonts w:ascii="Tahoma" w:hAnsi="Tahoma" w:cs="Tahoma"/>
          <w:bCs/>
          <w:sz w:val="24"/>
          <w:szCs w:val="24"/>
        </w:rPr>
      </w:pPr>
      <w:r>
        <w:rPr>
          <w:rFonts w:ascii="Tahoma" w:hAnsi="Tahoma" w:cs="Tahoma"/>
          <w:bCs/>
          <w:sz w:val="24"/>
          <w:szCs w:val="24"/>
        </w:rPr>
        <w:tab/>
        <w:t>2012-2016: 15.7%</w:t>
      </w:r>
    </w:p>
    <w:p w:rsidR="0097367F" w:rsidRDefault="0097367F" w:rsidP="0097367F">
      <w:pPr>
        <w:spacing w:after="0" w:line="240" w:lineRule="auto"/>
        <w:ind w:left="1440"/>
        <w:rPr>
          <w:rFonts w:ascii="Tahoma" w:hAnsi="Tahoma" w:cs="Tahoma"/>
          <w:bCs/>
          <w:sz w:val="24"/>
          <w:szCs w:val="24"/>
        </w:rPr>
      </w:pPr>
      <w:r>
        <w:rPr>
          <w:rFonts w:ascii="Tahoma" w:hAnsi="Tahoma" w:cs="Tahoma"/>
          <w:bCs/>
          <w:sz w:val="24"/>
          <w:szCs w:val="24"/>
        </w:rPr>
        <w:tab/>
        <w:t>2010-2014: 15.2%</w:t>
      </w:r>
    </w:p>
    <w:p w:rsidR="0097367F" w:rsidRDefault="0097367F" w:rsidP="0097367F">
      <w:pPr>
        <w:spacing w:after="0" w:line="240" w:lineRule="auto"/>
        <w:rPr>
          <w:rFonts w:ascii="Tahoma" w:hAnsi="Tahoma" w:cs="Tahoma"/>
          <w:bCs/>
          <w:sz w:val="24"/>
          <w:szCs w:val="24"/>
        </w:rPr>
      </w:pPr>
    </w:p>
    <w:p w:rsidR="0097367F" w:rsidRDefault="0097367F" w:rsidP="0097367F">
      <w:pPr>
        <w:spacing w:after="0" w:line="240" w:lineRule="auto"/>
        <w:rPr>
          <w:rFonts w:ascii="Tahoma" w:hAnsi="Tahoma" w:cs="Tahoma"/>
          <w:bCs/>
          <w:sz w:val="24"/>
          <w:szCs w:val="24"/>
        </w:rPr>
      </w:pPr>
    </w:p>
    <w:p w:rsidR="0097367F" w:rsidRDefault="0097367F" w:rsidP="0097367F">
      <w:pPr>
        <w:spacing w:after="0" w:line="240" w:lineRule="auto"/>
        <w:rPr>
          <w:rFonts w:ascii="Tahoma" w:hAnsi="Tahoma" w:cs="Tahoma"/>
          <w:bCs/>
          <w:sz w:val="24"/>
          <w:szCs w:val="24"/>
        </w:rPr>
      </w:pPr>
      <w:r>
        <w:rPr>
          <w:rFonts w:ascii="Tahoma" w:hAnsi="Tahoma" w:cs="Tahoma"/>
          <w:sz w:val="24"/>
          <w:szCs w:val="24"/>
        </w:rPr>
        <w:t xml:space="preserve">Slide </w:t>
      </w:r>
      <w:r w:rsidR="00A93D0F">
        <w:rPr>
          <w:rFonts w:ascii="Tahoma" w:hAnsi="Tahoma" w:cs="Tahoma"/>
          <w:sz w:val="24"/>
          <w:szCs w:val="24"/>
        </w:rPr>
        <w:t>6</w:t>
      </w:r>
      <w:r w:rsidRPr="00805534">
        <w:rPr>
          <w:rFonts w:ascii="Tahoma" w:hAnsi="Tahoma" w:cs="Tahoma"/>
          <w:sz w:val="24"/>
          <w:szCs w:val="24"/>
        </w:rPr>
        <w:t>:</w:t>
      </w:r>
      <w:r>
        <w:rPr>
          <w:rFonts w:ascii="Tahoma" w:hAnsi="Tahoma" w:cs="Tahoma"/>
          <w:sz w:val="24"/>
          <w:szCs w:val="24"/>
        </w:rPr>
        <w:t xml:space="preserve"> </w:t>
      </w:r>
      <w:r>
        <w:rPr>
          <w:rFonts w:ascii="Tahoma" w:hAnsi="Tahoma" w:cs="Tahoma"/>
          <w:bCs/>
          <w:sz w:val="24"/>
          <w:szCs w:val="24"/>
        </w:rPr>
        <w:t xml:space="preserve"> Change to the EEAs</w:t>
      </w:r>
    </w:p>
    <w:p w:rsidR="0097367F" w:rsidRDefault="0097367F" w:rsidP="0097367F">
      <w:pPr>
        <w:spacing w:after="0" w:line="240" w:lineRule="auto"/>
        <w:rPr>
          <w:rFonts w:ascii="Tahoma" w:hAnsi="Tahoma" w:cs="Tahoma"/>
          <w:bCs/>
          <w:sz w:val="24"/>
          <w:szCs w:val="24"/>
        </w:rPr>
      </w:pPr>
    </w:p>
    <w:p w:rsidR="0097367F" w:rsidRPr="0097367F" w:rsidRDefault="0097367F" w:rsidP="0097367F">
      <w:pPr>
        <w:pStyle w:val="ListParagraph"/>
        <w:numPr>
          <w:ilvl w:val="0"/>
          <w:numId w:val="21"/>
        </w:numPr>
        <w:spacing w:after="0" w:line="240" w:lineRule="auto"/>
        <w:rPr>
          <w:rFonts w:ascii="Tahoma" w:hAnsi="Tahoma" w:cs="Tahoma"/>
          <w:bCs/>
        </w:rPr>
      </w:pPr>
      <w:r w:rsidRPr="0097367F">
        <w:rPr>
          <w:rFonts w:ascii="Tahoma" w:hAnsi="Tahoma" w:cs="Tahoma"/>
          <w:bCs/>
        </w:rPr>
        <w:t>Between Original and Updated EEAs</w:t>
      </w:r>
    </w:p>
    <w:p w:rsidR="0097367F" w:rsidRDefault="0097367F" w:rsidP="0097367F">
      <w:pPr>
        <w:spacing w:after="0" w:line="240" w:lineRule="auto"/>
        <w:rPr>
          <w:rFonts w:ascii="Tahoma" w:hAnsi="Tahoma" w:cs="Tahoma"/>
          <w:bCs/>
          <w:sz w:val="24"/>
          <w:szCs w:val="24"/>
        </w:rPr>
      </w:pPr>
    </w:p>
    <w:p w:rsidR="00784587" w:rsidRDefault="00784587" w:rsidP="00784587">
      <w:pPr>
        <w:spacing w:after="0" w:line="240" w:lineRule="auto"/>
        <w:ind w:left="360"/>
        <w:rPr>
          <w:rFonts w:ascii="Tahoma" w:hAnsi="Tahoma" w:cs="Tahoma"/>
          <w:sz w:val="24"/>
          <w:szCs w:val="24"/>
        </w:rPr>
      </w:pPr>
      <w:r>
        <w:rPr>
          <w:rFonts w:ascii="Tahoma" w:hAnsi="Tahoma" w:cs="Tahoma"/>
          <w:sz w:val="24"/>
          <w:szCs w:val="24"/>
        </w:rPr>
        <w:t>A map is presented that identifies new EEAs, existing EEAs, and removed EEAs.</w:t>
      </w:r>
    </w:p>
    <w:p w:rsidR="00784587" w:rsidRDefault="00784587" w:rsidP="00784587">
      <w:pPr>
        <w:spacing w:after="0" w:line="240" w:lineRule="auto"/>
        <w:ind w:left="360"/>
        <w:rPr>
          <w:rFonts w:ascii="Tahoma" w:hAnsi="Tahoma" w:cs="Tahoma"/>
          <w:sz w:val="24"/>
          <w:szCs w:val="24"/>
        </w:rPr>
      </w:pPr>
    </w:p>
    <w:p w:rsidR="00784587" w:rsidRDefault="00784587" w:rsidP="00784587">
      <w:pPr>
        <w:spacing w:after="0" w:line="240" w:lineRule="auto"/>
        <w:ind w:left="360"/>
        <w:rPr>
          <w:rFonts w:ascii="Tahoma" w:hAnsi="Tahoma" w:cs="Tahoma"/>
          <w:sz w:val="24"/>
          <w:szCs w:val="24"/>
        </w:rPr>
      </w:pPr>
      <w:r>
        <w:rPr>
          <w:rFonts w:ascii="Tahoma" w:hAnsi="Tahoma" w:cs="Tahoma"/>
          <w:sz w:val="24"/>
          <w:szCs w:val="24"/>
        </w:rPr>
        <w:t>In the District of Columbia, the EEAs predominate on the eastern side of the region including many areas east of 16</w:t>
      </w:r>
      <w:r w:rsidRPr="002D148D">
        <w:rPr>
          <w:rFonts w:ascii="Tahoma" w:hAnsi="Tahoma" w:cs="Tahoma"/>
          <w:sz w:val="24"/>
          <w:szCs w:val="24"/>
          <w:vertAlign w:val="superscript"/>
        </w:rPr>
        <w:t>th</w:t>
      </w:r>
      <w:r>
        <w:rPr>
          <w:rFonts w:ascii="Tahoma" w:hAnsi="Tahoma" w:cs="Tahoma"/>
          <w:sz w:val="24"/>
          <w:szCs w:val="24"/>
        </w:rPr>
        <w:t xml:space="preserve"> Street, NW and north of H St., NE and Benning Rd, NE. Then, throughout all areas east of the Anacostia River. </w:t>
      </w:r>
    </w:p>
    <w:p w:rsidR="00784587" w:rsidRDefault="00784587" w:rsidP="00784587">
      <w:pPr>
        <w:spacing w:after="0" w:line="240" w:lineRule="auto"/>
        <w:ind w:left="360"/>
        <w:rPr>
          <w:rFonts w:ascii="Tahoma" w:hAnsi="Tahoma" w:cs="Tahoma"/>
          <w:sz w:val="24"/>
          <w:szCs w:val="24"/>
        </w:rPr>
      </w:pPr>
    </w:p>
    <w:p w:rsidR="00784587" w:rsidRDefault="00784587" w:rsidP="00784587">
      <w:pPr>
        <w:spacing w:after="0" w:line="240" w:lineRule="auto"/>
        <w:ind w:left="360"/>
        <w:rPr>
          <w:rFonts w:ascii="Tahoma" w:hAnsi="Tahoma" w:cs="Tahoma"/>
          <w:sz w:val="24"/>
          <w:szCs w:val="24"/>
        </w:rPr>
      </w:pPr>
      <w:r>
        <w:rPr>
          <w:rFonts w:ascii="Tahoma" w:hAnsi="Tahoma" w:cs="Tahoma"/>
          <w:sz w:val="24"/>
          <w:szCs w:val="24"/>
        </w:rPr>
        <w:t xml:space="preserve">Of the removed EEAs, </w:t>
      </w:r>
      <w:r w:rsidR="009D2903">
        <w:rPr>
          <w:rFonts w:ascii="Tahoma" w:hAnsi="Tahoma" w:cs="Tahoma"/>
          <w:sz w:val="24"/>
          <w:szCs w:val="24"/>
        </w:rPr>
        <w:t xml:space="preserve">most were removed in the North East </w:t>
      </w:r>
      <w:r w:rsidR="00A93D0F">
        <w:rPr>
          <w:rFonts w:ascii="Tahoma" w:hAnsi="Tahoma" w:cs="Tahoma"/>
          <w:sz w:val="24"/>
          <w:szCs w:val="24"/>
        </w:rPr>
        <w:t>part</w:t>
      </w:r>
      <w:r w:rsidR="009D2903">
        <w:rPr>
          <w:rFonts w:ascii="Tahoma" w:hAnsi="Tahoma" w:cs="Tahoma"/>
          <w:sz w:val="24"/>
          <w:szCs w:val="24"/>
        </w:rPr>
        <w:t xml:space="preserve"> of the city.</w:t>
      </w:r>
    </w:p>
    <w:p w:rsidR="00784587" w:rsidRDefault="00784587" w:rsidP="00784587">
      <w:pPr>
        <w:spacing w:after="0" w:line="240" w:lineRule="auto"/>
        <w:ind w:left="360"/>
        <w:rPr>
          <w:rFonts w:ascii="Tahoma" w:hAnsi="Tahoma" w:cs="Tahoma"/>
          <w:sz w:val="24"/>
          <w:szCs w:val="24"/>
        </w:rPr>
      </w:pPr>
    </w:p>
    <w:p w:rsidR="009D2903" w:rsidRDefault="00784587" w:rsidP="00784587">
      <w:pPr>
        <w:spacing w:after="0" w:line="240" w:lineRule="auto"/>
        <w:ind w:left="360"/>
        <w:rPr>
          <w:rFonts w:ascii="Tahoma" w:hAnsi="Tahoma" w:cs="Tahoma"/>
          <w:sz w:val="24"/>
          <w:szCs w:val="24"/>
        </w:rPr>
      </w:pPr>
      <w:r>
        <w:rPr>
          <w:rFonts w:ascii="Tahoma" w:hAnsi="Tahoma" w:cs="Tahoma"/>
          <w:sz w:val="24"/>
          <w:szCs w:val="24"/>
        </w:rPr>
        <w:t xml:space="preserve">In Maryland, the </w:t>
      </w:r>
      <w:r w:rsidR="009D2903">
        <w:rPr>
          <w:rFonts w:ascii="Tahoma" w:hAnsi="Tahoma" w:cs="Tahoma"/>
          <w:sz w:val="24"/>
          <w:szCs w:val="24"/>
        </w:rPr>
        <w:t xml:space="preserve">EEAs </w:t>
      </w:r>
      <w:r>
        <w:rPr>
          <w:rFonts w:ascii="Tahoma" w:hAnsi="Tahoma" w:cs="Tahoma"/>
          <w:sz w:val="24"/>
          <w:szCs w:val="24"/>
        </w:rPr>
        <w:t xml:space="preserve">predominate in Prince George’s County, Montgomery County, and less so in Frederick County and Charles County.  The neighborhoods in Prince George’s County include many inside the I-495 beltway including College Park, Chillum, Langley Park, Hyattsville, Bladensburg, </w:t>
      </w:r>
      <w:proofErr w:type="spellStart"/>
      <w:r>
        <w:rPr>
          <w:rFonts w:ascii="Tahoma" w:hAnsi="Tahoma" w:cs="Tahoma"/>
          <w:sz w:val="24"/>
          <w:szCs w:val="24"/>
        </w:rPr>
        <w:t>Glenarden</w:t>
      </w:r>
      <w:proofErr w:type="spellEnd"/>
      <w:r>
        <w:rPr>
          <w:rFonts w:ascii="Tahoma" w:hAnsi="Tahoma" w:cs="Tahoma"/>
          <w:sz w:val="24"/>
          <w:szCs w:val="24"/>
        </w:rPr>
        <w:t xml:space="preserve">, New Carrollton, Capitol Heights, Suitland, and Oxon Hill. There are additional areas near Laurel and Upper Marlboro. </w:t>
      </w:r>
      <w:r w:rsidR="009D2903">
        <w:rPr>
          <w:rFonts w:ascii="Tahoma" w:hAnsi="Tahoma" w:cs="Tahoma"/>
          <w:sz w:val="24"/>
          <w:szCs w:val="24"/>
        </w:rPr>
        <w:t xml:space="preserve"> A handful of new tracts were identified and removed in and around these neighborhoods.</w:t>
      </w:r>
    </w:p>
    <w:p w:rsidR="009D2903" w:rsidRDefault="009D2903" w:rsidP="00784587">
      <w:pPr>
        <w:spacing w:after="0" w:line="240" w:lineRule="auto"/>
        <w:ind w:left="360"/>
        <w:rPr>
          <w:rFonts w:ascii="Tahoma" w:hAnsi="Tahoma" w:cs="Tahoma"/>
          <w:sz w:val="24"/>
          <w:szCs w:val="24"/>
        </w:rPr>
      </w:pPr>
    </w:p>
    <w:p w:rsidR="009D2903" w:rsidRDefault="00784587" w:rsidP="00784587">
      <w:pPr>
        <w:spacing w:after="0" w:line="240" w:lineRule="auto"/>
        <w:ind w:left="360"/>
        <w:rPr>
          <w:rFonts w:ascii="Tahoma" w:hAnsi="Tahoma" w:cs="Tahoma"/>
          <w:sz w:val="24"/>
          <w:szCs w:val="24"/>
        </w:rPr>
      </w:pPr>
      <w:r>
        <w:rPr>
          <w:rFonts w:ascii="Tahoma" w:hAnsi="Tahoma" w:cs="Tahoma"/>
          <w:sz w:val="24"/>
          <w:szCs w:val="24"/>
        </w:rPr>
        <w:lastRenderedPageBreak/>
        <w:t xml:space="preserve">The neighborhoods in Montgomery County include areas east of I-270 including Wheaton, Glenmont, near White Oak, small areas in Rockville, and the northern portions of Gaithersburg. </w:t>
      </w:r>
      <w:r w:rsidR="009D2903">
        <w:rPr>
          <w:rFonts w:ascii="Tahoma" w:hAnsi="Tahoma" w:cs="Tahoma"/>
          <w:sz w:val="24"/>
          <w:szCs w:val="24"/>
        </w:rPr>
        <w:t>Most of the new tracts were in these areas too, including Silver Spring.</w:t>
      </w:r>
    </w:p>
    <w:p w:rsidR="009D2903" w:rsidRDefault="009D2903" w:rsidP="00784587">
      <w:pPr>
        <w:spacing w:after="0" w:line="240" w:lineRule="auto"/>
        <w:ind w:left="360"/>
        <w:rPr>
          <w:rFonts w:ascii="Tahoma" w:hAnsi="Tahoma" w:cs="Tahoma"/>
          <w:sz w:val="24"/>
          <w:szCs w:val="24"/>
        </w:rPr>
      </w:pPr>
    </w:p>
    <w:p w:rsidR="009D2903" w:rsidRDefault="00784587" w:rsidP="00784587">
      <w:pPr>
        <w:spacing w:after="0" w:line="240" w:lineRule="auto"/>
        <w:ind w:left="360"/>
        <w:rPr>
          <w:rFonts w:ascii="Tahoma" w:hAnsi="Tahoma" w:cs="Tahoma"/>
          <w:sz w:val="24"/>
          <w:szCs w:val="24"/>
        </w:rPr>
      </w:pPr>
      <w:r>
        <w:rPr>
          <w:rFonts w:ascii="Tahoma" w:hAnsi="Tahoma" w:cs="Tahoma"/>
          <w:sz w:val="24"/>
          <w:szCs w:val="24"/>
        </w:rPr>
        <w:t xml:space="preserve">In Frederick County, there is an area near Brunswick, southern portions of the City of Frederick, and Emmitsburg. </w:t>
      </w:r>
    </w:p>
    <w:p w:rsidR="009D2903" w:rsidRDefault="009D2903" w:rsidP="00784587">
      <w:pPr>
        <w:spacing w:after="0" w:line="240" w:lineRule="auto"/>
        <w:ind w:left="360"/>
        <w:rPr>
          <w:rFonts w:ascii="Tahoma" w:hAnsi="Tahoma" w:cs="Tahoma"/>
          <w:sz w:val="24"/>
          <w:szCs w:val="24"/>
        </w:rPr>
      </w:pPr>
    </w:p>
    <w:p w:rsidR="00784587" w:rsidRDefault="00784587" w:rsidP="00784587">
      <w:pPr>
        <w:spacing w:after="0" w:line="240" w:lineRule="auto"/>
        <w:ind w:left="360"/>
        <w:rPr>
          <w:rFonts w:ascii="Tahoma" w:hAnsi="Tahoma" w:cs="Tahoma"/>
          <w:sz w:val="24"/>
          <w:szCs w:val="24"/>
        </w:rPr>
      </w:pPr>
      <w:r>
        <w:rPr>
          <w:rFonts w:ascii="Tahoma" w:hAnsi="Tahoma" w:cs="Tahoma"/>
          <w:sz w:val="24"/>
          <w:szCs w:val="24"/>
        </w:rPr>
        <w:t>In Charles County, a couple areas in near Indian Head</w:t>
      </w:r>
      <w:r w:rsidR="009D2903">
        <w:rPr>
          <w:rFonts w:ascii="Tahoma" w:hAnsi="Tahoma" w:cs="Tahoma"/>
          <w:sz w:val="24"/>
          <w:szCs w:val="24"/>
        </w:rPr>
        <w:t xml:space="preserve"> and </w:t>
      </w:r>
      <w:r>
        <w:rPr>
          <w:rFonts w:ascii="Tahoma" w:hAnsi="Tahoma" w:cs="Tahoma"/>
          <w:sz w:val="24"/>
          <w:szCs w:val="24"/>
        </w:rPr>
        <w:t xml:space="preserve">Waldorf </w:t>
      </w:r>
      <w:r w:rsidR="009D2903">
        <w:rPr>
          <w:rFonts w:ascii="Tahoma" w:hAnsi="Tahoma" w:cs="Tahoma"/>
          <w:sz w:val="24"/>
          <w:szCs w:val="24"/>
        </w:rPr>
        <w:t xml:space="preserve">continue to be EEAs. </w:t>
      </w:r>
      <w:r>
        <w:rPr>
          <w:rFonts w:ascii="Tahoma" w:hAnsi="Tahoma" w:cs="Tahoma"/>
          <w:sz w:val="24"/>
          <w:szCs w:val="24"/>
        </w:rPr>
        <w:t>La Plata</w:t>
      </w:r>
      <w:r w:rsidR="009D2903">
        <w:rPr>
          <w:rFonts w:ascii="Tahoma" w:hAnsi="Tahoma" w:cs="Tahoma"/>
          <w:sz w:val="24"/>
          <w:szCs w:val="24"/>
        </w:rPr>
        <w:t>,</w:t>
      </w:r>
      <w:r>
        <w:rPr>
          <w:rFonts w:ascii="Tahoma" w:hAnsi="Tahoma" w:cs="Tahoma"/>
          <w:sz w:val="24"/>
          <w:szCs w:val="24"/>
        </w:rPr>
        <w:t xml:space="preserve"> along Route 301</w:t>
      </w:r>
      <w:r w:rsidR="009D2903">
        <w:rPr>
          <w:rFonts w:ascii="Tahoma" w:hAnsi="Tahoma" w:cs="Tahoma"/>
          <w:sz w:val="24"/>
          <w:szCs w:val="24"/>
        </w:rPr>
        <w:t>, was removed as an EEA while the southernmost portion, Newburg and its surroundings, was added</w:t>
      </w:r>
      <w:r>
        <w:rPr>
          <w:rFonts w:ascii="Tahoma" w:hAnsi="Tahoma" w:cs="Tahoma"/>
          <w:sz w:val="24"/>
          <w:szCs w:val="24"/>
        </w:rPr>
        <w:t xml:space="preserve">. </w:t>
      </w:r>
    </w:p>
    <w:p w:rsidR="00784587" w:rsidRDefault="00784587" w:rsidP="00784587">
      <w:pPr>
        <w:spacing w:after="0" w:line="240" w:lineRule="auto"/>
        <w:ind w:left="360"/>
        <w:rPr>
          <w:rFonts w:ascii="Tahoma" w:hAnsi="Tahoma" w:cs="Tahoma"/>
          <w:sz w:val="24"/>
          <w:szCs w:val="24"/>
        </w:rPr>
      </w:pPr>
    </w:p>
    <w:p w:rsidR="009D2903" w:rsidRDefault="00784587" w:rsidP="00784587">
      <w:pPr>
        <w:spacing w:after="0" w:line="240" w:lineRule="auto"/>
        <w:ind w:left="360"/>
        <w:rPr>
          <w:rFonts w:ascii="Tahoma" w:hAnsi="Tahoma" w:cs="Tahoma"/>
          <w:sz w:val="24"/>
          <w:szCs w:val="24"/>
        </w:rPr>
      </w:pPr>
      <w:r>
        <w:rPr>
          <w:rFonts w:ascii="Tahoma" w:hAnsi="Tahoma" w:cs="Tahoma"/>
          <w:sz w:val="24"/>
          <w:szCs w:val="24"/>
        </w:rPr>
        <w:t xml:space="preserve">In Virginia, the </w:t>
      </w:r>
      <w:r w:rsidR="009D2903">
        <w:rPr>
          <w:rFonts w:ascii="Tahoma" w:hAnsi="Tahoma" w:cs="Tahoma"/>
          <w:sz w:val="24"/>
          <w:szCs w:val="24"/>
        </w:rPr>
        <w:t>EEAs</w:t>
      </w:r>
      <w:r>
        <w:rPr>
          <w:rFonts w:ascii="Tahoma" w:hAnsi="Tahoma" w:cs="Tahoma"/>
          <w:sz w:val="24"/>
          <w:szCs w:val="24"/>
        </w:rPr>
        <w:t xml:space="preserve"> include portions of Arlington County, City of Alexandria, Fairfax County, Prince William County, and a couple in Loudoun County. </w:t>
      </w:r>
    </w:p>
    <w:p w:rsidR="009D2903" w:rsidRDefault="009D2903" w:rsidP="00784587">
      <w:pPr>
        <w:spacing w:after="0" w:line="240" w:lineRule="auto"/>
        <w:ind w:left="360"/>
        <w:rPr>
          <w:rFonts w:ascii="Tahoma" w:hAnsi="Tahoma" w:cs="Tahoma"/>
          <w:sz w:val="24"/>
          <w:szCs w:val="24"/>
        </w:rPr>
      </w:pPr>
    </w:p>
    <w:p w:rsidR="009D2903" w:rsidRDefault="00784587" w:rsidP="00784587">
      <w:pPr>
        <w:spacing w:after="0" w:line="240" w:lineRule="auto"/>
        <w:ind w:left="360"/>
        <w:rPr>
          <w:rFonts w:ascii="Tahoma" w:hAnsi="Tahoma" w:cs="Tahoma"/>
          <w:sz w:val="24"/>
          <w:szCs w:val="24"/>
        </w:rPr>
      </w:pPr>
      <w:r>
        <w:rPr>
          <w:rFonts w:ascii="Tahoma" w:hAnsi="Tahoma" w:cs="Tahoma"/>
          <w:sz w:val="24"/>
          <w:szCs w:val="24"/>
        </w:rPr>
        <w:t xml:space="preserve">In Arlington County, areas include a couple tracts near Route 50 and Glebe Road, the western portion of Columbia Pike, and </w:t>
      </w:r>
      <w:proofErr w:type="spellStart"/>
      <w:r>
        <w:rPr>
          <w:rFonts w:ascii="Tahoma" w:hAnsi="Tahoma" w:cs="Tahoma"/>
          <w:sz w:val="24"/>
          <w:szCs w:val="24"/>
        </w:rPr>
        <w:t>Nauck</w:t>
      </w:r>
      <w:proofErr w:type="spellEnd"/>
      <w:r>
        <w:rPr>
          <w:rFonts w:ascii="Tahoma" w:hAnsi="Tahoma" w:cs="Tahoma"/>
          <w:sz w:val="24"/>
          <w:szCs w:val="24"/>
        </w:rPr>
        <w:t xml:space="preserve">. </w:t>
      </w:r>
      <w:r w:rsidR="006B2118">
        <w:rPr>
          <w:rFonts w:ascii="Tahoma" w:hAnsi="Tahoma" w:cs="Tahoma"/>
          <w:sz w:val="24"/>
          <w:szCs w:val="24"/>
        </w:rPr>
        <w:t xml:space="preserve"> Additions and removals were around these areas as well.</w:t>
      </w:r>
    </w:p>
    <w:p w:rsidR="009D2903" w:rsidRDefault="009D2903" w:rsidP="00784587">
      <w:pPr>
        <w:spacing w:after="0" w:line="240" w:lineRule="auto"/>
        <w:ind w:left="360"/>
        <w:rPr>
          <w:rFonts w:ascii="Tahoma" w:hAnsi="Tahoma" w:cs="Tahoma"/>
          <w:sz w:val="24"/>
          <w:szCs w:val="24"/>
        </w:rPr>
      </w:pPr>
    </w:p>
    <w:p w:rsidR="009D2903" w:rsidRDefault="00784587" w:rsidP="00784587">
      <w:pPr>
        <w:spacing w:after="0" w:line="240" w:lineRule="auto"/>
        <w:ind w:left="360"/>
        <w:rPr>
          <w:rFonts w:ascii="Tahoma" w:hAnsi="Tahoma" w:cs="Tahoma"/>
          <w:sz w:val="24"/>
          <w:szCs w:val="24"/>
        </w:rPr>
      </w:pPr>
      <w:r>
        <w:rPr>
          <w:rFonts w:ascii="Tahoma" w:hAnsi="Tahoma" w:cs="Tahoma"/>
          <w:sz w:val="24"/>
          <w:szCs w:val="24"/>
        </w:rPr>
        <w:t xml:space="preserve">In the City of Alexandria, </w:t>
      </w:r>
      <w:r w:rsidR="006B2118">
        <w:rPr>
          <w:rFonts w:ascii="Tahoma" w:hAnsi="Tahoma" w:cs="Tahoma"/>
          <w:sz w:val="24"/>
          <w:szCs w:val="24"/>
        </w:rPr>
        <w:t xml:space="preserve">EEAs include </w:t>
      </w:r>
      <w:r>
        <w:rPr>
          <w:rFonts w:ascii="Tahoma" w:hAnsi="Tahoma" w:cs="Tahoma"/>
          <w:sz w:val="24"/>
          <w:szCs w:val="24"/>
        </w:rPr>
        <w:t>the western portion of the City west of Van Dor</w:t>
      </w:r>
      <w:r w:rsidR="006B2118">
        <w:rPr>
          <w:rFonts w:ascii="Tahoma" w:hAnsi="Tahoma" w:cs="Tahoma"/>
          <w:sz w:val="24"/>
          <w:szCs w:val="24"/>
        </w:rPr>
        <w:t>n Street around Beauregard St. Two areas near and around Old Town were removed.</w:t>
      </w:r>
    </w:p>
    <w:p w:rsidR="009D2903" w:rsidRDefault="009D2903" w:rsidP="00784587">
      <w:pPr>
        <w:spacing w:after="0" w:line="240" w:lineRule="auto"/>
        <w:ind w:left="360"/>
        <w:rPr>
          <w:rFonts w:ascii="Tahoma" w:hAnsi="Tahoma" w:cs="Tahoma"/>
          <w:sz w:val="24"/>
          <w:szCs w:val="24"/>
        </w:rPr>
      </w:pPr>
    </w:p>
    <w:p w:rsidR="009D2903" w:rsidRDefault="00784587" w:rsidP="00784587">
      <w:pPr>
        <w:spacing w:after="0" w:line="240" w:lineRule="auto"/>
        <w:ind w:left="360"/>
        <w:rPr>
          <w:rFonts w:ascii="Tahoma" w:hAnsi="Tahoma" w:cs="Tahoma"/>
          <w:sz w:val="24"/>
          <w:szCs w:val="24"/>
        </w:rPr>
      </w:pPr>
      <w:r>
        <w:rPr>
          <w:rFonts w:ascii="Tahoma" w:hAnsi="Tahoma" w:cs="Tahoma"/>
          <w:sz w:val="24"/>
          <w:szCs w:val="24"/>
        </w:rPr>
        <w:t xml:space="preserve">In Fairfax County, areas include portions of Seven Corners continuing west on Route 50 towards Merrifield, sections of Baileys Crossroads and </w:t>
      </w:r>
      <w:proofErr w:type="spellStart"/>
      <w:r>
        <w:rPr>
          <w:rFonts w:ascii="Tahoma" w:hAnsi="Tahoma" w:cs="Tahoma"/>
          <w:sz w:val="24"/>
          <w:szCs w:val="24"/>
        </w:rPr>
        <w:t>Lincolnia</w:t>
      </w:r>
      <w:proofErr w:type="spellEnd"/>
      <w:r>
        <w:rPr>
          <w:rFonts w:ascii="Tahoma" w:hAnsi="Tahoma" w:cs="Tahoma"/>
          <w:sz w:val="24"/>
          <w:szCs w:val="24"/>
        </w:rPr>
        <w:t xml:space="preserve">, Annandale, North Springfield, Springfield, Franconia, sections of Route 1 near </w:t>
      </w:r>
      <w:proofErr w:type="spellStart"/>
      <w:r>
        <w:rPr>
          <w:rFonts w:ascii="Tahoma" w:hAnsi="Tahoma" w:cs="Tahoma"/>
          <w:sz w:val="24"/>
          <w:szCs w:val="24"/>
        </w:rPr>
        <w:t>Hybla</w:t>
      </w:r>
      <w:proofErr w:type="spellEnd"/>
      <w:r>
        <w:rPr>
          <w:rFonts w:ascii="Tahoma" w:hAnsi="Tahoma" w:cs="Tahoma"/>
          <w:sz w:val="24"/>
          <w:szCs w:val="24"/>
        </w:rPr>
        <w:t xml:space="preserve"> Valley and Mount Vernon, and then in the western portion of the county including near Oakton, Centreville, Herndon, and Chantilly. </w:t>
      </w:r>
      <w:r w:rsidR="006B2118">
        <w:rPr>
          <w:rFonts w:ascii="Tahoma" w:hAnsi="Tahoma" w:cs="Tahoma"/>
          <w:sz w:val="24"/>
          <w:szCs w:val="24"/>
        </w:rPr>
        <w:t>Additions and removals of EEAs followed these trends and clusters as well.</w:t>
      </w:r>
    </w:p>
    <w:p w:rsidR="009D2903" w:rsidRDefault="009D2903" w:rsidP="00784587">
      <w:pPr>
        <w:spacing w:after="0" w:line="240" w:lineRule="auto"/>
        <w:ind w:left="360"/>
        <w:rPr>
          <w:rFonts w:ascii="Tahoma" w:hAnsi="Tahoma" w:cs="Tahoma"/>
          <w:sz w:val="24"/>
          <w:szCs w:val="24"/>
        </w:rPr>
      </w:pPr>
    </w:p>
    <w:p w:rsidR="006B2118" w:rsidRDefault="00784587" w:rsidP="006B2118">
      <w:pPr>
        <w:spacing w:after="0" w:line="240" w:lineRule="auto"/>
        <w:ind w:left="360"/>
        <w:rPr>
          <w:rFonts w:ascii="Tahoma" w:hAnsi="Tahoma" w:cs="Tahoma"/>
          <w:sz w:val="24"/>
          <w:szCs w:val="24"/>
        </w:rPr>
      </w:pPr>
      <w:r>
        <w:rPr>
          <w:rFonts w:ascii="Tahoma" w:hAnsi="Tahoma" w:cs="Tahoma"/>
          <w:sz w:val="24"/>
          <w:szCs w:val="24"/>
        </w:rPr>
        <w:t xml:space="preserve">In Prince William County, areas include portions of Woodbridge, Dale City, and Dumfries along Route 1, and Manassas. </w:t>
      </w:r>
      <w:r w:rsidR="006B2118">
        <w:rPr>
          <w:rFonts w:ascii="Tahoma" w:hAnsi="Tahoma" w:cs="Tahoma"/>
          <w:sz w:val="24"/>
          <w:szCs w:val="24"/>
        </w:rPr>
        <w:t>Additions and removals of EEAs followed these trends and clusters as well.</w:t>
      </w:r>
    </w:p>
    <w:p w:rsidR="009D2903" w:rsidRDefault="009D2903" w:rsidP="00784587">
      <w:pPr>
        <w:spacing w:after="0" w:line="240" w:lineRule="auto"/>
        <w:ind w:left="360"/>
        <w:rPr>
          <w:rFonts w:ascii="Tahoma" w:hAnsi="Tahoma" w:cs="Tahoma"/>
          <w:sz w:val="24"/>
          <w:szCs w:val="24"/>
        </w:rPr>
      </w:pPr>
    </w:p>
    <w:p w:rsidR="00784587" w:rsidRDefault="00784587" w:rsidP="00784587">
      <w:pPr>
        <w:spacing w:after="0" w:line="240" w:lineRule="auto"/>
        <w:ind w:left="360"/>
        <w:rPr>
          <w:rFonts w:ascii="Tahoma" w:hAnsi="Tahoma" w:cs="Tahoma"/>
          <w:sz w:val="24"/>
          <w:szCs w:val="24"/>
        </w:rPr>
      </w:pPr>
      <w:r>
        <w:rPr>
          <w:rFonts w:ascii="Tahoma" w:hAnsi="Tahoma" w:cs="Tahoma"/>
          <w:sz w:val="24"/>
          <w:szCs w:val="24"/>
        </w:rPr>
        <w:t>In Loudoun County, areas include a tract near Herndon in Fairfax and near central Leesburg.</w:t>
      </w:r>
    </w:p>
    <w:p w:rsidR="00784587" w:rsidRPr="0097367F" w:rsidRDefault="00784587" w:rsidP="0097367F">
      <w:pPr>
        <w:spacing w:after="0" w:line="240" w:lineRule="auto"/>
        <w:rPr>
          <w:rFonts w:ascii="Tahoma" w:hAnsi="Tahoma" w:cs="Tahoma"/>
          <w:bCs/>
          <w:sz w:val="24"/>
          <w:szCs w:val="24"/>
        </w:rPr>
      </w:pPr>
    </w:p>
    <w:p w:rsidR="0097367F" w:rsidRDefault="0097367F" w:rsidP="0097367F">
      <w:pPr>
        <w:spacing w:after="0" w:line="240" w:lineRule="auto"/>
        <w:rPr>
          <w:rFonts w:ascii="Tahoma" w:hAnsi="Tahoma" w:cs="Tahoma"/>
          <w:sz w:val="24"/>
          <w:szCs w:val="24"/>
        </w:rPr>
      </w:pPr>
    </w:p>
    <w:p w:rsidR="0097367F" w:rsidRDefault="00A93D0F" w:rsidP="0097367F">
      <w:pPr>
        <w:spacing w:after="0" w:line="240" w:lineRule="auto"/>
        <w:rPr>
          <w:rFonts w:ascii="Tahoma" w:hAnsi="Tahoma" w:cs="Tahoma"/>
          <w:bCs/>
          <w:sz w:val="24"/>
          <w:szCs w:val="24"/>
        </w:rPr>
      </w:pPr>
      <w:r>
        <w:rPr>
          <w:rFonts w:ascii="Tahoma" w:hAnsi="Tahoma" w:cs="Tahoma"/>
          <w:sz w:val="24"/>
          <w:szCs w:val="24"/>
        </w:rPr>
        <w:t>Slide 7</w:t>
      </w:r>
      <w:r w:rsidR="0097367F" w:rsidRPr="00805534">
        <w:rPr>
          <w:rFonts w:ascii="Tahoma" w:hAnsi="Tahoma" w:cs="Tahoma"/>
          <w:sz w:val="24"/>
          <w:szCs w:val="24"/>
        </w:rPr>
        <w:t>:</w:t>
      </w:r>
      <w:r w:rsidR="0097367F">
        <w:rPr>
          <w:rFonts w:ascii="Tahoma" w:hAnsi="Tahoma" w:cs="Tahoma"/>
          <w:sz w:val="24"/>
          <w:szCs w:val="24"/>
        </w:rPr>
        <w:t xml:space="preserve"> </w:t>
      </w:r>
      <w:r w:rsidR="0097367F">
        <w:rPr>
          <w:rFonts w:ascii="Tahoma" w:hAnsi="Tahoma" w:cs="Tahoma"/>
          <w:bCs/>
          <w:sz w:val="24"/>
          <w:szCs w:val="24"/>
        </w:rPr>
        <w:t xml:space="preserve"> </w:t>
      </w:r>
      <w:r w:rsidR="0097367F" w:rsidRPr="0097367F">
        <w:rPr>
          <w:rFonts w:ascii="Tahoma" w:hAnsi="Tahoma" w:cs="Tahoma"/>
          <w:bCs/>
          <w:sz w:val="24"/>
          <w:szCs w:val="24"/>
        </w:rPr>
        <w:t>Updated EEAs</w:t>
      </w:r>
    </w:p>
    <w:p w:rsidR="0097367F" w:rsidRDefault="0097367F" w:rsidP="0097367F">
      <w:pPr>
        <w:spacing w:after="0" w:line="240" w:lineRule="auto"/>
        <w:rPr>
          <w:rFonts w:ascii="Tahoma" w:hAnsi="Tahoma" w:cs="Tahoma"/>
          <w:bCs/>
          <w:sz w:val="24"/>
          <w:szCs w:val="24"/>
        </w:rPr>
      </w:pPr>
    </w:p>
    <w:p w:rsidR="0097367F" w:rsidRPr="0097367F" w:rsidRDefault="0097367F" w:rsidP="00542A6F">
      <w:pPr>
        <w:pStyle w:val="ListParagraph"/>
        <w:numPr>
          <w:ilvl w:val="0"/>
          <w:numId w:val="21"/>
        </w:numPr>
        <w:spacing w:after="0" w:line="240" w:lineRule="auto"/>
        <w:rPr>
          <w:rFonts w:ascii="Tahoma" w:hAnsi="Tahoma" w:cs="Tahoma"/>
          <w:bCs/>
          <w:sz w:val="24"/>
          <w:szCs w:val="24"/>
        </w:rPr>
      </w:pPr>
      <w:r w:rsidRPr="0097367F">
        <w:rPr>
          <w:rFonts w:ascii="Tahoma" w:hAnsi="Tahoma" w:cs="Tahoma"/>
          <w:bCs/>
        </w:rPr>
        <w:t>Based on 2012- 2016 ACS 5-Year Estimates and TPB-Approved Methodology</w:t>
      </w:r>
    </w:p>
    <w:p w:rsidR="0097367F" w:rsidRDefault="0097367F" w:rsidP="0097367F">
      <w:pPr>
        <w:spacing w:after="0" w:line="240" w:lineRule="auto"/>
        <w:rPr>
          <w:rFonts w:ascii="Tahoma" w:hAnsi="Tahoma" w:cs="Tahoma"/>
          <w:bCs/>
          <w:sz w:val="24"/>
          <w:szCs w:val="24"/>
        </w:rPr>
      </w:pPr>
    </w:p>
    <w:p w:rsidR="006B2118" w:rsidRDefault="006B2118" w:rsidP="006B2118">
      <w:pPr>
        <w:spacing w:after="0" w:line="240" w:lineRule="auto"/>
        <w:ind w:left="360"/>
        <w:rPr>
          <w:rFonts w:ascii="Tahoma" w:hAnsi="Tahoma" w:cs="Tahoma"/>
          <w:sz w:val="24"/>
          <w:szCs w:val="24"/>
        </w:rPr>
      </w:pPr>
      <w:r>
        <w:rPr>
          <w:rFonts w:ascii="Tahoma" w:hAnsi="Tahoma" w:cs="Tahoma"/>
          <w:sz w:val="24"/>
          <w:szCs w:val="24"/>
        </w:rPr>
        <w:t xml:space="preserve">A map is presented that identifies the 2012-2016 EEAs. The areas are those identified and described above. </w:t>
      </w:r>
    </w:p>
    <w:p w:rsidR="006B2118" w:rsidRDefault="006B2118" w:rsidP="006B2118">
      <w:pPr>
        <w:spacing w:after="0" w:line="240" w:lineRule="auto"/>
        <w:ind w:left="360"/>
        <w:rPr>
          <w:rFonts w:ascii="Tahoma" w:hAnsi="Tahoma" w:cs="Tahoma"/>
          <w:sz w:val="24"/>
          <w:szCs w:val="24"/>
        </w:rPr>
      </w:pPr>
    </w:p>
    <w:p w:rsidR="00A93D0F" w:rsidRDefault="00A93D0F" w:rsidP="006B2118">
      <w:pPr>
        <w:spacing w:after="0" w:line="240" w:lineRule="auto"/>
        <w:ind w:left="360"/>
        <w:rPr>
          <w:rFonts w:ascii="Tahoma" w:hAnsi="Tahoma" w:cs="Tahoma"/>
          <w:sz w:val="24"/>
          <w:szCs w:val="24"/>
        </w:rPr>
      </w:pPr>
    </w:p>
    <w:p w:rsidR="0097367F" w:rsidRDefault="0097367F" w:rsidP="0097367F">
      <w:pPr>
        <w:spacing w:after="0" w:line="240" w:lineRule="auto"/>
        <w:rPr>
          <w:rFonts w:ascii="Tahoma" w:hAnsi="Tahoma" w:cs="Tahoma"/>
          <w:bCs/>
          <w:sz w:val="24"/>
          <w:szCs w:val="24"/>
        </w:rPr>
      </w:pPr>
      <w:r w:rsidRPr="00B7408E">
        <w:rPr>
          <w:rFonts w:ascii="Tahoma" w:hAnsi="Tahoma" w:cs="Tahoma"/>
          <w:bCs/>
          <w:sz w:val="24"/>
          <w:szCs w:val="24"/>
        </w:rPr>
        <w:t xml:space="preserve">Slide </w:t>
      </w:r>
      <w:r w:rsidR="00A93D0F">
        <w:rPr>
          <w:rFonts w:ascii="Tahoma" w:hAnsi="Tahoma" w:cs="Tahoma"/>
          <w:bCs/>
          <w:sz w:val="24"/>
          <w:szCs w:val="24"/>
        </w:rPr>
        <w:t>8</w:t>
      </w:r>
      <w:r w:rsidRPr="00B7408E">
        <w:rPr>
          <w:rFonts w:ascii="Tahoma" w:hAnsi="Tahoma" w:cs="Tahoma"/>
          <w:bCs/>
          <w:sz w:val="24"/>
          <w:szCs w:val="24"/>
        </w:rPr>
        <w:t xml:space="preserve">:  </w:t>
      </w:r>
      <w:r w:rsidR="00A93D0F" w:rsidRPr="00A93D0F">
        <w:rPr>
          <w:rFonts w:ascii="Tahoma" w:hAnsi="Tahoma" w:cs="Tahoma"/>
          <w:bCs/>
          <w:sz w:val="24"/>
          <w:szCs w:val="24"/>
        </w:rPr>
        <w:t>EEA’s and Visualize 2045 Analysis</w:t>
      </w:r>
    </w:p>
    <w:p w:rsidR="0097367F" w:rsidRDefault="0097367F" w:rsidP="0097367F">
      <w:pPr>
        <w:spacing w:after="0" w:line="240" w:lineRule="auto"/>
        <w:rPr>
          <w:rFonts w:ascii="Tahoma" w:hAnsi="Tahoma" w:cs="Tahoma"/>
          <w:bCs/>
          <w:sz w:val="24"/>
          <w:szCs w:val="24"/>
        </w:rPr>
      </w:pPr>
    </w:p>
    <w:p w:rsidR="00784587" w:rsidRDefault="00784587" w:rsidP="00784587">
      <w:pPr>
        <w:spacing w:after="0" w:line="240" w:lineRule="auto"/>
        <w:ind w:left="720"/>
        <w:rPr>
          <w:rFonts w:ascii="Tahoma" w:hAnsi="Tahoma" w:cs="Tahoma"/>
          <w:bCs/>
          <w:sz w:val="24"/>
          <w:szCs w:val="24"/>
        </w:rPr>
      </w:pPr>
      <w:r>
        <w:rPr>
          <w:rFonts w:ascii="Tahoma" w:hAnsi="Tahoma" w:cs="Tahoma"/>
          <w:bCs/>
          <w:sz w:val="24"/>
          <w:szCs w:val="24"/>
        </w:rPr>
        <w:t>Image: Screen snapshot of the online interactive webpage map. The image is of a map that identifies Equity Emphasis Areas throughout the region</w:t>
      </w:r>
    </w:p>
    <w:p w:rsidR="00784587" w:rsidRDefault="00784587" w:rsidP="0097367F">
      <w:pPr>
        <w:spacing w:after="0" w:line="240" w:lineRule="auto"/>
        <w:rPr>
          <w:rFonts w:ascii="Tahoma" w:hAnsi="Tahoma" w:cs="Tahoma"/>
          <w:bCs/>
          <w:sz w:val="24"/>
          <w:szCs w:val="24"/>
        </w:rPr>
      </w:pPr>
    </w:p>
    <w:p w:rsidR="004365AA" w:rsidRPr="00784587" w:rsidRDefault="006B2118" w:rsidP="00784587">
      <w:pPr>
        <w:pStyle w:val="ListParagraph"/>
        <w:numPr>
          <w:ilvl w:val="0"/>
          <w:numId w:val="21"/>
        </w:numPr>
        <w:spacing w:after="0" w:line="240" w:lineRule="auto"/>
        <w:rPr>
          <w:rFonts w:ascii="Tahoma" w:hAnsi="Tahoma" w:cs="Tahoma"/>
          <w:bCs/>
          <w:sz w:val="24"/>
          <w:szCs w:val="24"/>
        </w:rPr>
      </w:pPr>
      <w:r w:rsidRPr="00784587">
        <w:rPr>
          <w:rFonts w:ascii="Tahoma" w:hAnsi="Tahoma" w:cs="Tahoma"/>
          <w:bCs/>
          <w:sz w:val="24"/>
          <w:szCs w:val="24"/>
        </w:rPr>
        <w:t xml:space="preserve">Staff will revise the online interactive map </w:t>
      </w:r>
    </w:p>
    <w:p w:rsidR="004365AA" w:rsidRPr="00784587" w:rsidRDefault="006B2118" w:rsidP="00784587">
      <w:pPr>
        <w:pStyle w:val="ListParagraph"/>
        <w:numPr>
          <w:ilvl w:val="0"/>
          <w:numId w:val="21"/>
        </w:numPr>
        <w:spacing w:after="0" w:line="240" w:lineRule="auto"/>
        <w:rPr>
          <w:rFonts w:ascii="Tahoma" w:hAnsi="Tahoma" w:cs="Tahoma"/>
          <w:bCs/>
          <w:sz w:val="24"/>
          <w:szCs w:val="24"/>
        </w:rPr>
      </w:pPr>
      <w:r w:rsidRPr="00784587">
        <w:rPr>
          <w:rFonts w:ascii="Tahoma" w:hAnsi="Tahoma" w:cs="Tahoma"/>
          <w:bCs/>
          <w:sz w:val="24"/>
          <w:szCs w:val="24"/>
        </w:rPr>
        <w:t>Staff will conduct the analysis of Visualize 2045 and compare regional accessibility and mobility in EEA’s versus the rest of the region</w:t>
      </w:r>
    </w:p>
    <w:p w:rsidR="004365AA" w:rsidRPr="00784587" w:rsidRDefault="006B2118" w:rsidP="00784587">
      <w:pPr>
        <w:pStyle w:val="ListParagraph"/>
        <w:numPr>
          <w:ilvl w:val="0"/>
          <w:numId w:val="21"/>
        </w:numPr>
        <w:spacing w:after="0" w:line="240" w:lineRule="auto"/>
        <w:rPr>
          <w:rFonts w:ascii="Tahoma" w:hAnsi="Tahoma" w:cs="Tahoma"/>
          <w:bCs/>
          <w:sz w:val="24"/>
          <w:szCs w:val="24"/>
        </w:rPr>
      </w:pPr>
      <w:r w:rsidRPr="00784587">
        <w:rPr>
          <w:rFonts w:ascii="Tahoma" w:hAnsi="Tahoma" w:cs="Tahoma"/>
          <w:bCs/>
          <w:sz w:val="24"/>
          <w:szCs w:val="24"/>
        </w:rPr>
        <w:t>TPB will be briefed on the results in the Oct/Nov/Dec timeframe followed by AFA</w:t>
      </w:r>
    </w:p>
    <w:p w:rsidR="00784587" w:rsidRPr="00784587" w:rsidRDefault="00784587" w:rsidP="00784587">
      <w:pPr>
        <w:pStyle w:val="ListParagraph"/>
        <w:numPr>
          <w:ilvl w:val="0"/>
          <w:numId w:val="21"/>
        </w:numPr>
        <w:spacing w:after="0" w:line="240" w:lineRule="auto"/>
        <w:rPr>
          <w:rFonts w:ascii="Tahoma" w:hAnsi="Tahoma" w:cs="Tahoma"/>
          <w:bCs/>
          <w:sz w:val="24"/>
          <w:szCs w:val="24"/>
        </w:rPr>
      </w:pPr>
      <w:r w:rsidRPr="00784587">
        <w:rPr>
          <w:rFonts w:ascii="Tahoma" w:hAnsi="Tahoma" w:cs="Tahoma"/>
          <w:bCs/>
          <w:sz w:val="24"/>
          <w:szCs w:val="24"/>
        </w:rPr>
        <w:t xml:space="preserve">Online interactive map: </w:t>
      </w:r>
      <w:hyperlink r:id="rId5" w:history="1">
        <w:r w:rsidRPr="00784587">
          <w:rPr>
            <w:rStyle w:val="Hyperlink"/>
            <w:rFonts w:ascii="Tahoma" w:hAnsi="Tahoma" w:cs="Tahoma"/>
            <w:bCs/>
            <w:sz w:val="24"/>
            <w:szCs w:val="24"/>
          </w:rPr>
          <w:t>gis.mwcog.org/</w:t>
        </w:r>
        <w:proofErr w:type="spellStart"/>
        <w:r w:rsidRPr="00784587">
          <w:rPr>
            <w:rStyle w:val="Hyperlink"/>
            <w:rFonts w:ascii="Tahoma" w:hAnsi="Tahoma" w:cs="Tahoma"/>
            <w:bCs/>
            <w:sz w:val="24"/>
            <w:szCs w:val="24"/>
          </w:rPr>
          <w:t>webmaps</w:t>
        </w:r>
        <w:proofErr w:type="spellEnd"/>
        <w:r w:rsidRPr="00784587">
          <w:rPr>
            <w:rStyle w:val="Hyperlink"/>
            <w:rFonts w:ascii="Tahoma" w:hAnsi="Tahoma" w:cs="Tahoma"/>
            <w:bCs/>
            <w:sz w:val="24"/>
            <w:szCs w:val="24"/>
          </w:rPr>
          <w:t>/</w:t>
        </w:r>
        <w:proofErr w:type="spellStart"/>
        <w:r w:rsidRPr="00784587">
          <w:rPr>
            <w:rStyle w:val="Hyperlink"/>
            <w:rFonts w:ascii="Tahoma" w:hAnsi="Tahoma" w:cs="Tahoma"/>
            <w:bCs/>
            <w:sz w:val="24"/>
            <w:szCs w:val="24"/>
          </w:rPr>
          <w:t>tpb</w:t>
        </w:r>
        <w:proofErr w:type="spellEnd"/>
        <w:r w:rsidRPr="00784587">
          <w:rPr>
            <w:rStyle w:val="Hyperlink"/>
            <w:rFonts w:ascii="Tahoma" w:hAnsi="Tahoma" w:cs="Tahoma"/>
            <w:bCs/>
            <w:sz w:val="24"/>
            <w:szCs w:val="24"/>
          </w:rPr>
          <w:t>/</w:t>
        </w:r>
        <w:proofErr w:type="spellStart"/>
        <w:r w:rsidRPr="00784587">
          <w:rPr>
            <w:rStyle w:val="Hyperlink"/>
            <w:rFonts w:ascii="Tahoma" w:hAnsi="Tahoma" w:cs="Tahoma"/>
            <w:bCs/>
            <w:sz w:val="24"/>
            <w:szCs w:val="24"/>
          </w:rPr>
          <w:t>clrp</w:t>
        </w:r>
        <w:proofErr w:type="spellEnd"/>
        <w:r w:rsidRPr="00784587">
          <w:rPr>
            <w:rStyle w:val="Hyperlink"/>
            <w:rFonts w:ascii="Tahoma" w:hAnsi="Tahoma" w:cs="Tahoma"/>
            <w:bCs/>
            <w:sz w:val="24"/>
            <w:szCs w:val="24"/>
          </w:rPr>
          <w:t>/</w:t>
        </w:r>
        <w:proofErr w:type="spellStart"/>
        <w:r w:rsidRPr="00784587">
          <w:rPr>
            <w:rStyle w:val="Hyperlink"/>
            <w:rFonts w:ascii="Tahoma" w:hAnsi="Tahoma" w:cs="Tahoma"/>
            <w:bCs/>
            <w:sz w:val="24"/>
            <w:szCs w:val="24"/>
          </w:rPr>
          <w:t>ej</w:t>
        </w:r>
        <w:proofErr w:type="spellEnd"/>
        <w:r w:rsidRPr="00784587">
          <w:rPr>
            <w:rStyle w:val="Hyperlink"/>
            <w:rFonts w:ascii="Tahoma" w:hAnsi="Tahoma" w:cs="Tahoma"/>
            <w:bCs/>
            <w:sz w:val="24"/>
            <w:szCs w:val="24"/>
          </w:rPr>
          <w:t>/</w:t>
        </w:r>
      </w:hyperlink>
    </w:p>
    <w:p w:rsidR="00784587" w:rsidRDefault="00784587" w:rsidP="0097367F">
      <w:pPr>
        <w:spacing w:after="0" w:line="240" w:lineRule="auto"/>
        <w:rPr>
          <w:rFonts w:ascii="Tahoma" w:hAnsi="Tahoma" w:cs="Tahoma"/>
          <w:bCs/>
          <w:sz w:val="24"/>
          <w:szCs w:val="24"/>
        </w:rPr>
      </w:pPr>
    </w:p>
    <w:p w:rsidR="00784587" w:rsidRDefault="00784587" w:rsidP="0097367F">
      <w:pPr>
        <w:spacing w:after="0" w:line="240" w:lineRule="auto"/>
        <w:rPr>
          <w:rFonts w:ascii="Tahoma" w:hAnsi="Tahoma" w:cs="Tahoma"/>
          <w:bCs/>
          <w:sz w:val="24"/>
          <w:szCs w:val="24"/>
        </w:rPr>
      </w:pPr>
    </w:p>
    <w:p w:rsidR="00A93D0F" w:rsidRDefault="00A93D0F" w:rsidP="0097367F">
      <w:pPr>
        <w:spacing w:after="0" w:line="240" w:lineRule="auto"/>
        <w:rPr>
          <w:rFonts w:ascii="Tahoma" w:hAnsi="Tahoma" w:cs="Tahoma"/>
          <w:bCs/>
          <w:sz w:val="24"/>
          <w:szCs w:val="24"/>
        </w:rPr>
      </w:pPr>
      <w:r>
        <w:rPr>
          <w:rFonts w:ascii="Tahoma" w:hAnsi="Tahoma" w:cs="Tahoma"/>
          <w:bCs/>
          <w:sz w:val="24"/>
          <w:szCs w:val="24"/>
        </w:rPr>
        <w:t xml:space="preserve">Slide 9: </w:t>
      </w:r>
      <w:r w:rsidRPr="00A93D0F">
        <w:rPr>
          <w:rFonts w:ascii="Tahoma" w:hAnsi="Tahoma" w:cs="Tahoma"/>
          <w:bCs/>
          <w:sz w:val="24"/>
          <w:szCs w:val="24"/>
        </w:rPr>
        <w:t>EEA’s and Enhanced Mobility</w:t>
      </w:r>
    </w:p>
    <w:p w:rsidR="00A93D0F" w:rsidRDefault="00A93D0F" w:rsidP="0097367F">
      <w:pPr>
        <w:spacing w:after="0" w:line="240" w:lineRule="auto"/>
        <w:rPr>
          <w:rFonts w:ascii="Tahoma" w:hAnsi="Tahoma" w:cs="Tahoma"/>
          <w:bCs/>
          <w:sz w:val="24"/>
          <w:szCs w:val="24"/>
        </w:rPr>
      </w:pPr>
    </w:p>
    <w:p w:rsidR="00A93D0F" w:rsidRPr="00A93D0F" w:rsidRDefault="00A93D0F" w:rsidP="00A93D0F">
      <w:pPr>
        <w:pStyle w:val="ListParagraph"/>
        <w:numPr>
          <w:ilvl w:val="0"/>
          <w:numId w:val="23"/>
        </w:numPr>
        <w:spacing w:after="0" w:line="240" w:lineRule="auto"/>
        <w:rPr>
          <w:rFonts w:ascii="Tahoma" w:hAnsi="Tahoma" w:cs="Tahoma"/>
          <w:bCs/>
          <w:sz w:val="24"/>
          <w:szCs w:val="24"/>
        </w:rPr>
      </w:pPr>
      <w:r w:rsidRPr="00A93D0F">
        <w:rPr>
          <w:rFonts w:ascii="Tahoma" w:hAnsi="Tahoma" w:cs="Tahoma"/>
          <w:bCs/>
          <w:sz w:val="24"/>
          <w:szCs w:val="24"/>
        </w:rPr>
        <w:t>EEAs in the Washington DC-VA-MD Urbanized Area</w:t>
      </w:r>
    </w:p>
    <w:p w:rsidR="00A93D0F" w:rsidRDefault="00A93D0F" w:rsidP="0097367F">
      <w:pPr>
        <w:spacing w:after="0" w:line="240" w:lineRule="auto"/>
        <w:rPr>
          <w:rFonts w:ascii="Tahoma" w:hAnsi="Tahoma" w:cs="Tahoma"/>
          <w:bCs/>
          <w:sz w:val="24"/>
          <w:szCs w:val="24"/>
        </w:rPr>
      </w:pPr>
    </w:p>
    <w:p w:rsidR="00A93D0F" w:rsidRDefault="00A93D0F" w:rsidP="0097367F">
      <w:pPr>
        <w:spacing w:after="0" w:line="240" w:lineRule="auto"/>
        <w:rPr>
          <w:rFonts w:ascii="Tahoma" w:hAnsi="Tahoma" w:cs="Tahoma"/>
          <w:bCs/>
          <w:sz w:val="24"/>
          <w:szCs w:val="24"/>
        </w:rPr>
      </w:pPr>
      <w:r>
        <w:rPr>
          <w:rFonts w:ascii="Tahoma" w:hAnsi="Tahoma" w:cs="Tahoma"/>
          <w:bCs/>
          <w:sz w:val="24"/>
          <w:szCs w:val="24"/>
        </w:rPr>
        <w:t>Another version of the map presented in slide 6 is included, however, a</w:t>
      </w:r>
      <w:r>
        <w:rPr>
          <w:rFonts w:ascii="Tahoma" w:hAnsi="Tahoma" w:cs="Tahoma"/>
          <w:sz w:val="24"/>
          <w:szCs w:val="24"/>
        </w:rPr>
        <w:t xml:space="preserve">n additional layer is included that shows the </w:t>
      </w:r>
      <w:r>
        <w:rPr>
          <w:rFonts w:ascii="Tahoma" w:hAnsi="Tahoma" w:cs="Tahoma"/>
          <w:sz w:val="24"/>
          <w:szCs w:val="24"/>
        </w:rPr>
        <w:t>Washington DC-MD-VA</w:t>
      </w:r>
      <w:r>
        <w:rPr>
          <w:rFonts w:ascii="Tahoma" w:hAnsi="Tahoma" w:cs="Tahoma"/>
          <w:sz w:val="24"/>
          <w:szCs w:val="24"/>
        </w:rPr>
        <w:t xml:space="preserve"> Urbanized Area</w:t>
      </w:r>
      <w:r>
        <w:rPr>
          <w:rFonts w:ascii="Tahoma" w:hAnsi="Tahoma" w:cs="Tahoma"/>
          <w:sz w:val="24"/>
          <w:szCs w:val="24"/>
        </w:rPr>
        <w:t xml:space="preserve"> used for Enhance Mobility grant applications</w:t>
      </w:r>
      <w:r>
        <w:rPr>
          <w:rFonts w:ascii="Tahoma" w:hAnsi="Tahoma" w:cs="Tahoma"/>
          <w:sz w:val="24"/>
          <w:szCs w:val="24"/>
        </w:rPr>
        <w:t>. This area closely mimics the locations the U.S. Census considers urbanized and account for most of the central part of the region. Urbanized Areas lessen in the outer portions of the region, including, much of Charles County, MD and Frederick County, MD. Some of southern portion of Prince George’s County and northern Montgomery County, MD are not identified as urbanized. In Virginia, the western portion of Loudoun County and Prince William County is not considered urbanized, while a small portion of western Fairfax is not considered as well. All of DC is considered urbanized.</w:t>
      </w:r>
    </w:p>
    <w:p w:rsidR="00A93D0F" w:rsidRDefault="00A93D0F" w:rsidP="0097367F">
      <w:pPr>
        <w:spacing w:after="0" w:line="240" w:lineRule="auto"/>
        <w:rPr>
          <w:rFonts w:ascii="Tahoma" w:hAnsi="Tahoma" w:cs="Tahoma"/>
          <w:bCs/>
          <w:sz w:val="24"/>
          <w:szCs w:val="24"/>
        </w:rPr>
      </w:pPr>
    </w:p>
    <w:p w:rsidR="00A93D0F" w:rsidRDefault="00A93D0F" w:rsidP="0097367F">
      <w:pPr>
        <w:spacing w:after="0" w:line="240" w:lineRule="auto"/>
        <w:rPr>
          <w:rFonts w:ascii="Tahoma" w:hAnsi="Tahoma" w:cs="Tahoma"/>
          <w:bCs/>
          <w:sz w:val="24"/>
          <w:szCs w:val="24"/>
        </w:rPr>
      </w:pPr>
    </w:p>
    <w:p w:rsidR="00A93D0F" w:rsidRDefault="00A93D0F" w:rsidP="0097367F">
      <w:pPr>
        <w:spacing w:after="0" w:line="240" w:lineRule="auto"/>
        <w:rPr>
          <w:rFonts w:ascii="Tahoma" w:hAnsi="Tahoma" w:cs="Tahoma"/>
          <w:bCs/>
          <w:sz w:val="24"/>
          <w:szCs w:val="24"/>
        </w:rPr>
      </w:pPr>
      <w:r>
        <w:rPr>
          <w:rFonts w:ascii="Tahoma" w:hAnsi="Tahoma" w:cs="Tahoma"/>
          <w:bCs/>
          <w:sz w:val="24"/>
          <w:szCs w:val="24"/>
        </w:rPr>
        <w:t xml:space="preserve">Slide 10: </w:t>
      </w:r>
      <w:r w:rsidRPr="00A93D0F">
        <w:rPr>
          <w:rFonts w:ascii="Tahoma" w:hAnsi="Tahoma" w:cs="Tahoma"/>
          <w:bCs/>
          <w:sz w:val="24"/>
          <w:szCs w:val="24"/>
        </w:rPr>
        <w:t>Enhanced Mobility Grant Selection Criteria</w:t>
      </w:r>
    </w:p>
    <w:p w:rsidR="00A93D0F" w:rsidRDefault="00A93D0F" w:rsidP="0097367F">
      <w:pPr>
        <w:spacing w:after="0" w:line="240" w:lineRule="auto"/>
        <w:rPr>
          <w:rFonts w:ascii="Tahoma" w:hAnsi="Tahoma" w:cs="Tahoma"/>
          <w:bCs/>
          <w:sz w:val="24"/>
          <w:szCs w:val="24"/>
        </w:rPr>
      </w:pPr>
      <w:bookmarkStart w:id="0" w:name="_GoBack"/>
      <w:bookmarkEnd w:id="0"/>
    </w:p>
    <w:p w:rsidR="00A93D0F" w:rsidRPr="00A93D0F" w:rsidRDefault="00A93D0F" w:rsidP="00A93D0F">
      <w:pPr>
        <w:pStyle w:val="ListParagraph"/>
        <w:numPr>
          <w:ilvl w:val="0"/>
          <w:numId w:val="23"/>
        </w:numPr>
        <w:spacing w:after="0" w:line="240" w:lineRule="auto"/>
        <w:rPr>
          <w:rFonts w:ascii="Tahoma" w:hAnsi="Tahoma" w:cs="Tahoma"/>
          <w:bCs/>
          <w:sz w:val="24"/>
          <w:szCs w:val="24"/>
        </w:rPr>
      </w:pPr>
      <w:r w:rsidRPr="00A93D0F">
        <w:rPr>
          <w:rFonts w:ascii="Tahoma" w:hAnsi="Tahoma" w:cs="Tahoma"/>
          <w:bCs/>
          <w:sz w:val="24"/>
          <w:szCs w:val="24"/>
        </w:rPr>
        <w:t>Maximum Points = 100</w:t>
      </w:r>
    </w:p>
    <w:p w:rsidR="00A93D0F" w:rsidRPr="00A93D0F" w:rsidRDefault="00A93D0F" w:rsidP="00A93D0F">
      <w:pPr>
        <w:pStyle w:val="ListParagraph"/>
        <w:numPr>
          <w:ilvl w:val="1"/>
          <w:numId w:val="23"/>
        </w:numPr>
        <w:spacing w:after="0" w:line="240" w:lineRule="auto"/>
        <w:rPr>
          <w:rFonts w:ascii="Tahoma" w:hAnsi="Tahoma" w:cs="Tahoma"/>
          <w:bCs/>
          <w:sz w:val="24"/>
          <w:szCs w:val="24"/>
        </w:rPr>
      </w:pPr>
      <w:r w:rsidRPr="00A93D0F">
        <w:rPr>
          <w:rFonts w:ascii="Tahoma" w:hAnsi="Tahoma" w:cs="Tahoma"/>
          <w:bCs/>
          <w:sz w:val="24"/>
          <w:szCs w:val="24"/>
        </w:rPr>
        <w:t>Coordination Among Agencies - 25</w:t>
      </w:r>
    </w:p>
    <w:p w:rsidR="00A93D0F" w:rsidRPr="00A93D0F" w:rsidRDefault="00A93D0F" w:rsidP="00A93D0F">
      <w:pPr>
        <w:pStyle w:val="ListParagraph"/>
        <w:numPr>
          <w:ilvl w:val="1"/>
          <w:numId w:val="23"/>
        </w:numPr>
        <w:spacing w:after="0" w:line="240" w:lineRule="auto"/>
        <w:rPr>
          <w:rFonts w:ascii="Tahoma" w:hAnsi="Tahoma" w:cs="Tahoma"/>
          <w:bCs/>
          <w:sz w:val="24"/>
          <w:szCs w:val="24"/>
        </w:rPr>
      </w:pPr>
      <w:r w:rsidRPr="00A93D0F">
        <w:rPr>
          <w:rFonts w:ascii="Tahoma" w:hAnsi="Tahoma" w:cs="Tahoma"/>
          <w:bCs/>
          <w:sz w:val="24"/>
          <w:szCs w:val="24"/>
        </w:rPr>
        <w:t>Responsiveness to Coordinated Plan - 20 (Applications that are Priority Projects can score up to 12 points; Strategies up to 8 points)</w:t>
      </w:r>
    </w:p>
    <w:p w:rsidR="00A93D0F" w:rsidRPr="00A93D0F" w:rsidRDefault="00A93D0F" w:rsidP="00A93D0F">
      <w:pPr>
        <w:pStyle w:val="ListParagraph"/>
        <w:numPr>
          <w:ilvl w:val="1"/>
          <w:numId w:val="23"/>
        </w:numPr>
        <w:spacing w:after="0" w:line="240" w:lineRule="auto"/>
        <w:rPr>
          <w:rFonts w:ascii="Tahoma" w:hAnsi="Tahoma" w:cs="Tahoma"/>
          <w:bCs/>
          <w:sz w:val="24"/>
          <w:szCs w:val="24"/>
        </w:rPr>
      </w:pPr>
      <w:r w:rsidRPr="00A93D0F">
        <w:rPr>
          <w:rFonts w:ascii="Tahoma" w:hAnsi="Tahoma" w:cs="Tahoma"/>
          <w:bCs/>
          <w:sz w:val="24"/>
          <w:szCs w:val="24"/>
        </w:rPr>
        <w:t>Institutional Capacity to Manage &amp; Administer an FTA grant - 20</w:t>
      </w:r>
    </w:p>
    <w:p w:rsidR="00A93D0F" w:rsidRPr="00A93D0F" w:rsidRDefault="00A93D0F" w:rsidP="00A93D0F">
      <w:pPr>
        <w:pStyle w:val="ListParagraph"/>
        <w:numPr>
          <w:ilvl w:val="1"/>
          <w:numId w:val="23"/>
        </w:numPr>
        <w:spacing w:after="0" w:line="240" w:lineRule="auto"/>
        <w:rPr>
          <w:rFonts w:ascii="Tahoma" w:hAnsi="Tahoma" w:cs="Tahoma"/>
          <w:bCs/>
          <w:sz w:val="24"/>
          <w:szCs w:val="24"/>
        </w:rPr>
      </w:pPr>
      <w:r w:rsidRPr="00A93D0F">
        <w:rPr>
          <w:rFonts w:ascii="Tahoma" w:hAnsi="Tahoma" w:cs="Tahoma"/>
          <w:bCs/>
          <w:sz w:val="24"/>
          <w:szCs w:val="24"/>
        </w:rPr>
        <w:t>Project Feasibility - 15</w:t>
      </w:r>
    </w:p>
    <w:p w:rsidR="00A93D0F" w:rsidRPr="00A93D0F" w:rsidRDefault="00A93D0F" w:rsidP="00A93D0F">
      <w:pPr>
        <w:pStyle w:val="ListParagraph"/>
        <w:numPr>
          <w:ilvl w:val="1"/>
          <w:numId w:val="23"/>
        </w:numPr>
        <w:spacing w:after="0" w:line="240" w:lineRule="auto"/>
        <w:rPr>
          <w:rFonts w:ascii="Tahoma" w:hAnsi="Tahoma" w:cs="Tahoma"/>
          <w:bCs/>
          <w:sz w:val="24"/>
          <w:szCs w:val="24"/>
        </w:rPr>
      </w:pPr>
      <w:r w:rsidRPr="00A93D0F">
        <w:rPr>
          <w:rFonts w:ascii="Tahoma" w:hAnsi="Tahoma" w:cs="Tahoma"/>
          <w:bCs/>
          <w:sz w:val="24"/>
          <w:szCs w:val="24"/>
        </w:rPr>
        <w:t>Regional Need – 10 (Applications that propose to serve more than one jurisdiction can score up to 5 points and those that serve Equity Emphasis Areas up to 5 points)</w:t>
      </w:r>
    </w:p>
    <w:p w:rsidR="00A93D0F" w:rsidRPr="00A93D0F" w:rsidRDefault="00A93D0F" w:rsidP="00A93D0F">
      <w:pPr>
        <w:pStyle w:val="ListParagraph"/>
        <w:numPr>
          <w:ilvl w:val="1"/>
          <w:numId w:val="23"/>
        </w:numPr>
        <w:spacing w:after="0" w:line="240" w:lineRule="auto"/>
        <w:rPr>
          <w:rFonts w:ascii="Tahoma" w:hAnsi="Tahoma" w:cs="Tahoma"/>
          <w:bCs/>
          <w:sz w:val="24"/>
          <w:szCs w:val="24"/>
        </w:rPr>
      </w:pPr>
      <w:r w:rsidRPr="00A93D0F">
        <w:rPr>
          <w:rFonts w:ascii="Tahoma" w:hAnsi="Tahoma" w:cs="Tahoma"/>
          <w:bCs/>
          <w:sz w:val="24"/>
          <w:szCs w:val="24"/>
        </w:rPr>
        <w:t>Customer Focus - 10</w:t>
      </w:r>
    </w:p>
    <w:p w:rsidR="00A93D0F" w:rsidRDefault="00A93D0F" w:rsidP="0097367F">
      <w:pPr>
        <w:spacing w:after="0" w:line="240" w:lineRule="auto"/>
        <w:rPr>
          <w:rFonts w:ascii="Tahoma" w:hAnsi="Tahoma" w:cs="Tahoma"/>
          <w:bCs/>
          <w:sz w:val="24"/>
          <w:szCs w:val="24"/>
        </w:rPr>
      </w:pPr>
    </w:p>
    <w:p w:rsidR="00A93D0F" w:rsidRDefault="00A93D0F" w:rsidP="0097367F">
      <w:pPr>
        <w:spacing w:after="0" w:line="240" w:lineRule="auto"/>
        <w:rPr>
          <w:rFonts w:ascii="Tahoma" w:hAnsi="Tahoma" w:cs="Tahoma"/>
          <w:bCs/>
          <w:sz w:val="24"/>
          <w:szCs w:val="24"/>
        </w:rPr>
      </w:pPr>
    </w:p>
    <w:p w:rsidR="0097367F" w:rsidRDefault="0097367F" w:rsidP="0097367F">
      <w:pPr>
        <w:spacing w:after="0" w:line="240" w:lineRule="auto"/>
        <w:rPr>
          <w:rFonts w:ascii="Tahoma" w:hAnsi="Tahoma" w:cs="Tahoma"/>
          <w:bCs/>
          <w:sz w:val="24"/>
          <w:szCs w:val="24"/>
        </w:rPr>
      </w:pPr>
      <w:r>
        <w:rPr>
          <w:rFonts w:ascii="Tahoma" w:hAnsi="Tahoma" w:cs="Tahoma"/>
          <w:bCs/>
          <w:sz w:val="24"/>
          <w:szCs w:val="24"/>
        </w:rPr>
        <w:lastRenderedPageBreak/>
        <w:t>Slide 1</w:t>
      </w:r>
      <w:r w:rsidR="00A93D0F">
        <w:rPr>
          <w:rFonts w:ascii="Tahoma" w:hAnsi="Tahoma" w:cs="Tahoma"/>
          <w:bCs/>
          <w:sz w:val="24"/>
          <w:szCs w:val="24"/>
        </w:rPr>
        <w:t>1</w:t>
      </w:r>
      <w:r>
        <w:rPr>
          <w:rFonts w:ascii="Tahoma" w:hAnsi="Tahoma" w:cs="Tahoma"/>
          <w:bCs/>
          <w:sz w:val="24"/>
          <w:szCs w:val="24"/>
        </w:rPr>
        <w:t>: Contact Information</w:t>
      </w:r>
    </w:p>
    <w:p w:rsidR="0097367F" w:rsidRPr="00170C5D" w:rsidRDefault="0097367F" w:rsidP="0097367F">
      <w:pPr>
        <w:spacing w:after="0" w:line="240" w:lineRule="auto"/>
        <w:rPr>
          <w:rFonts w:ascii="Tahoma" w:hAnsi="Tahoma" w:cs="Tahoma"/>
          <w:bCs/>
          <w:sz w:val="24"/>
          <w:szCs w:val="24"/>
        </w:rPr>
      </w:pPr>
    </w:p>
    <w:p w:rsidR="00784587" w:rsidRPr="00784587" w:rsidRDefault="00784587" w:rsidP="00784587">
      <w:pPr>
        <w:spacing w:after="0" w:line="240" w:lineRule="auto"/>
        <w:ind w:left="720"/>
        <w:rPr>
          <w:rFonts w:ascii="Tahoma" w:hAnsi="Tahoma" w:cs="Tahoma"/>
          <w:bCs/>
          <w:sz w:val="24"/>
          <w:szCs w:val="24"/>
        </w:rPr>
      </w:pPr>
      <w:r w:rsidRPr="00784587">
        <w:rPr>
          <w:rFonts w:ascii="Tahoma" w:hAnsi="Tahoma" w:cs="Tahoma"/>
          <w:bCs/>
          <w:sz w:val="24"/>
          <w:szCs w:val="24"/>
        </w:rPr>
        <w:t>Sergio Ritacco</w:t>
      </w:r>
    </w:p>
    <w:p w:rsidR="00784587" w:rsidRPr="00784587" w:rsidRDefault="00784587" w:rsidP="00784587">
      <w:pPr>
        <w:spacing w:after="0" w:line="240" w:lineRule="auto"/>
        <w:ind w:left="720"/>
        <w:rPr>
          <w:rFonts w:ascii="Tahoma" w:hAnsi="Tahoma" w:cs="Tahoma"/>
          <w:bCs/>
          <w:sz w:val="24"/>
          <w:szCs w:val="24"/>
        </w:rPr>
      </w:pPr>
      <w:r w:rsidRPr="00784587">
        <w:rPr>
          <w:rFonts w:ascii="Tahoma" w:hAnsi="Tahoma" w:cs="Tahoma"/>
          <w:bCs/>
          <w:sz w:val="24"/>
          <w:szCs w:val="24"/>
        </w:rPr>
        <w:t>Transportation Planner</w:t>
      </w:r>
    </w:p>
    <w:p w:rsidR="00784587" w:rsidRPr="00784587" w:rsidRDefault="00784587" w:rsidP="00784587">
      <w:pPr>
        <w:spacing w:after="0" w:line="240" w:lineRule="auto"/>
        <w:ind w:left="720"/>
        <w:rPr>
          <w:rFonts w:ascii="Tahoma" w:hAnsi="Tahoma" w:cs="Tahoma"/>
          <w:bCs/>
          <w:sz w:val="24"/>
          <w:szCs w:val="24"/>
        </w:rPr>
      </w:pPr>
      <w:r w:rsidRPr="00784587">
        <w:rPr>
          <w:rFonts w:ascii="Tahoma" w:hAnsi="Tahoma" w:cs="Tahoma"/>
          <w:bCs/>
          <w:sz w:val="24"/>
          <w:szCs w:val="24"/>
        </w:rPr>
        <w:t>(202) 962-3232</w:t>
      </w:r>
    </w:p>
    <w:p w:rsidR="00784587" w:rsidRPr="00784587" w:rsidRDefault="00A93D0F" w:rsidP="00784587">
      <w:pPr>
        <w:spacing w:after="0" w:line="240" w:lineRule="auto"/>
        <w:ind w:left="720"/>
        <w:rPr>
          <w:rFonts w:ascii="Tahoma" w:hAnsi="Tahoma" w:cs="Tahoma"/>
          <w:bCs/>
          <w:sz w:val="24"/>
          <w:szCs w:val="24"/>
        </w:rPr>
      </w:pPr>
      <w:hyperlink r:id="rId6" w:history="1">
        <w:r w:rsidR="00784587" w:rsidRPr="00784587">
          <w:rPr>
            <w:rStyle w:val="Hyperlink"/>
            <w:rFonts w:ascii="Tahoma" w:hAnsi="Tahoma" w:cs="Tahoma"/>
            <w:bCs/>
            <w:sz w:val="24"/>
            <w:szCs w:val="24"/>
          </w:rPr>
          <w:t>sritacco@</w:t>
        </w:r>
      </w:hyperlink>
      <w:hyperlink r:id="rId7" w:history="1">
        <w:r w:rsidR="00784587" w:rsidRPr="00784587">
          <w:rPr>
            <w:rStyle w:val="Hyperlink"/>
            <w:rFonts w:ascii="Tahoma" w:hAnsi="Tahoma" w:cs="Tahoma"/>
            <w:bCs/>
            <w:sz w:val="24"/>
            <w:szCs w:val="24"/>
          </w:rPr>
          <w:t>mwcog.</w:t>
        </w:r>
      </w:hyperlink>
      <w:hyperlink r:id="rId8" w:history="1">
        <w:r w:rsidR="00784587" w:rsidRPr="00784587">
          <w:rPr>
            <w:rStyle w:val="Hyperlink"/>
            <w:rFonts w:ascii="Tahoma" w:hAnsi="Tahoma" w:cs="Tahoma"/>
            <w:bCs/>
            <w:sz w:val="24"/>
            <w:szCs w:val="24"/>
          </w:rPr>
          <w:t>org</w:t>
        </w:r>
      </w:hyperlink>
    </w:p>
    <w:p w:rsidR="00784587" w:rsidRDefault="00784587" w:rsidP="00784587">
      <w:pPr>
        <w:spacing w:after="0" w:line="240" w:lineRule="auto"/>
        <w:ind w:left="720"/>
        <w:rPr>
          <w:rFonts w:ascii="Tahoma" w:hAnsi="Tahoma" w:cs="Tahoma"/>
          <w:bCs/>
          <w:sz w:val="24"/>
          <w:szCs w:val="24"/>
        </w:rPr>
      </w:pPr>
    </w:p>
    <w:p w:rsidR="00784587" w:rsidRPr="00784587" w:rsidRDefault="00784587" w:rsidP="00784587">
      <w:pPr>
        <w:spacing w:after="0" w:line="240" w:lineRule="auto"/>
        <w:ind w:left="720"/>
        <w:rPr>
          <w:rFonts w:ascii="Tahoma" w:hAnsi="Tahoma" w:cs="Tahoma"/>
          <w:bCs/>
          <w:sz w:val="24"/>
          <w:szCs w:val="24"/>
        </w:rPr>
      </w:pPr>
      <w:r w:rsidRPr="00784587">
        <w:rPr>
          <w:rFonts w:ascii="Tahoma" w:hAnsi="Tahoma" w:cs="Tahoma"/>
          <w:bCs/>
          <w:sz w:val="24"/>
          <w:szCs w:val="24"/>
        </w:rPr>
        <w:t>Wendy Klancher, AICP</w:t>
      </w:r>
    </w:p>
    <w:p w:rsidR="00784587" w:rsidRPr="00784587" w:rsidRDefault="00784587" w:rsidP="00784587">
      <w:pPr>
        <w:spacing w:after="0" w:line="240" w:lineRule="auto"/>
        <w:ind w:left="720"/>
        <w:rPr>
          <w:rFonts w:ascii="Tahoma" w:hAnsi="Tahoma" w:cs="Tahoma"/>
          <w:bCs/>
          <w:sz w:val="24"/>
          <w:szCs w:val="24"/>
        </w:rPr>
      </w:pPr>
      <w:r w:rsidRPr="00784587">
        <w:rPr>
          <w:rFonts w:ascii="Tahoma" w:hAnsi="Tahoma" w:cs="Tahoma"/>
          <w:bCs/>
          <w:sz w:val="24"/>
          <w:szCs w:val="24"/>
        </w:rPr>
        <w:t>Principal Transportation Planner</w:t>
      </w:r>
    </w:p>
    <w:p w:rsidR="00784587" w:rsidRPr="00784587" w:rsidRDefault="00784587" w:rsidP="00784587">
      <w:pPr>
        <w:spacing w:after="0" w:line="240" w:lineRule="auto"/>
        <w:ind w:left="720"/>
        <w:rPr>
          <w:rFonts w:ascii="Tahoma" w:hAnsi="Tahoma" w:cs="Tahoma"/>
          <w:bCs/>
          <w:sz w:val="24"/>
          <w:szCs w:val="24"/>
        </w:rPr>
      </w:pPr>
      <w:r w:rsidRPr="00784587">
        <w:rPr>
          <w:rFonts w:ascii="Tahoma" w:hAnsi="Tahoma" w:cs="Tahoma"/>
          <w:bCs/>
          <w:sz w:val="24"/>
          <w:szCs w:val="24"/>
        </w:rPr>
        <w:t>(202) 962-3321</w:t>
      </w:r>
    </w:p>
    <w:p w:rsidR="00784587" w:rsidRPr="00784587" w:rsidRDefault="00A93D0F" w:rsidP="00784587">
      <w:pPr>
        <w:spacing w:after="0" w:line="240" w:lineRule="auto"/>
        <w:ind w:left="720"/>
        <w:rPr>
          <w:rFonts w:ascii="Tahoma" w:hAnsi="Tahoma" w:cs="Tahoma"/>
          <w:bCs/>
          <w:sz w:val="24"/>
          <w:szCs w:val="24"/>
        </w:rPr>
      </w:pPr>
      <w:hyperlink r:id="rId9" w:history="1">
        <w:r w:rsidR="00784587" w:rsidRPr="00784587">
          <w:rPr>
            <w:rStyle w:val="Hyperlink"/>
            <w:rFonts w:ascii="Tahoma" w:hAnsi="Tahoma" w:cs="Tahoma"/>
            <w:bCs/>
            <w:sz w:val="24"/>
            <w:szCs w:val="24"/>
          </w:rPr>
          <w:t>wklancher@</w:t>
        </w:r>
      </w:hyperlink>
      <w:hyperlink r:id="rId10" w:history="1">
        <w:r w:rsidR="00784587" w:rsidRPr="00784587">
          <w:rPr>
            <w:rStyle w:val="Hyperlink"/>
            <w:rFonts w:ascii="Tahoma" w:hAnsi="Tahoma" w:cs="Tahoma"/>
            <w:bCs/>
            <w:sz w:val="24"/>
            <w:szCs w:val="24"/>
          </w:rPr>
          <w:t>mwcog.</w:t>
        </w:r>
      </w:hyperlink>
      <w:hyperlink r:id="rId11" w:history="1">
        <w:r w:rsidR="00784587" w:rsidRPr="00784587">
          <w:rPr>
            <w:rStyle w:val="Hyperlink"/>
            <w:rFonts w:ascii="Tahoma" w:hAnsi="Tahoma" w:cs="Tahoma"/>
            <w:bCs/>
            <w:sz w:val="24"/>
            <w:szCs w:val="24"/>
          </w:rPr>
          <w:t>org</w:t>
        </w:r>
      </w:hyperlink>
      <w:r w:rsidR="00784587" w:rsidRPr="00784587">
        <w:rPr>
          <w:rFonts w:ascii="Tahoma" w:hAnsi="Tahoma" w:cs="Tahoma"/>
          <w:bCs/>
          <w:sz w:val="24"/>
          <w:szCs w:val="24"/>
        </w:rPr>
        <w:t xml:space="preserve"> </w:t>
      </w:r>
    </w:p>
    <w:p w:rsidR="0097367F" w:rsidRDefault="0097367F" w:rsidP="00784587">
      <w:pPr>
        <w:spacing w:after="0" w:line="240" w:lineRule="auto"/>
        <w:ind w:left="720"/>
        <w:rPr>
          <w:rFonts w:ascii="Tahoma" w:hAnsi="Tahoma" w:cs="Tahoma"/>
          <w:bCs/>
          <w:sz w:val="24"/>
          <w:szCs w:val="24"/>
        </w:rPr>
      </w:pPr>
    </w:p>
    <w:p w:rsidR="0097367F" w:rsidRDefault="00A93D0F" w:rsidP="00784587">
      <w:pPr>
        <w:spacing w:after="0" w:line="240" w:lineRule="auto"/>
        <w:ind w:left="720"/>
        <w:rPr>
          <w:rFonts w:ascii="Tahoma" w:hAnsi="Tahoma" w:cs="Tahoma"/>
          <w:bCs/>
          <w:sz w:val="24"/>
          <w:szCs w:val="24"/>
        </w:rPr>
      </w:pPr>
      <w:hyperlink r:id="rId12" w:history="1">
        <w:r w:rsidR="0097367F" w:rsidRPr="00FB51E7">
          <w:rPr>
            <w:rStyle w:val="Hyperlink"/>
            <w:rFonts w:ascii="Tahoma" w:hAnsi="Tahoma" w:cs="Tahoma"/>
            <w:sz w:val="24"/>
            <w:szCs w:val="24"/>
          </w:rPr>
          <w:t>www.mwcog.org/TPB</w:t>
        </w:r>
      </w:hyperlink>
    </w:p>
    <w:p w:rsidR="0097367F" w:rsidRDefault="0097367F" w:rsidP="00784587">
      <w:pPr>
        <w:spacing w:after="0" w:line="240" w:lineRule="auto"/>
        <w:ind w:left="720"/>
        <w:rPr>
          <w:rFonts w:ascii="Tahoma" w:hAnsi="Tahoma" w:cs="Tahoma"/>
          <w:bCs/>
          <w:sz w:val="24"/>
          <w:szCs w:val="24"/>
        </w:rPr>
      </w:pPr>
    </w:p>
    <w:p w:rsidR="0097367F" w:rsidRPr="00170C5D" w:rsidRDefault="0097367F" w:rsidP="00784587">
      <w:pPr>
        <w:spacing w:after="0" w:line="240" w:lineRule="auto"/>
        <w:ind w:left="720"/>
        <w:rPr>
          <w:rFonts w:ascii="Tahoma" w:hAnsi="Tahoma" w:cs="Tahoma"/>
          <w:bCs/>
          <w:sz w:val="24"/>
          <w:szCs w:val="24"/>
        </w:rPr>
      </w:pPr>
      <w:r w:rsidRPr="00170C5D">
        <w:rPr>
          <w:rFonts w:ascii="Tahoma" w:hAnsi="Tahoma" w:cs="Tahoma"/>
          <w:bCs/>
          <w:sz w:val="24"/>
          <w:szCs w:val="24"/>
        </w:rPr>
        <w:t>Metropolitan Washington Council of Governments</w:t>
      </w:r>
    </w:p>
    <w:p w:rsidR="0097367F" w:rsidRPr="00170C5D" w:rsidRDefault="0097367F" w:rsidP="00784587">
      <w:pPr>
        <w:spacing w:after="0" w:line="240" w:lineRule="auto"/>
        <w:ind w:left="720"/>
        <w:rPr>
          <w:rFonts w:ascii="Tahoma" w:hAnsi="Tahoma" w:cs="Tahoma"/>
          <w:bCs/>
          <w:sz w:val="24"/>
          <w:szCs w:val="24"/>
        </w:rPr>
      </w:pPr>
      <w:r w:rsidRPr="00170C5D">
        <w:rPr>
          <w:rFonts w:ascii="Tahoma" w:hAnsi="Tahoma" w:cs="Tahoma"/>
          <w:bCs/>
          <w:sz w:val="24"/>
          <w:szCs w:val="24"/>
        </w:rPr>
        <w:t>777 North Capitol Street NE, Suite 300</w:t>
      </w:r>
    </w:p>
    <w:p w:rsidR="0097367F" w:rsidRDefault="0097367F" w:rsidP="00784587">
      <w:pPr>
        <w:spacing w:after="0" w:line="240" w:lineRule="auto"/>
        <w:ind w:left="720"/>
        <w:rPr>
          <w:rFonts w:ascii="Tahoma" w:hAnsi="Tahoma" w:cs="Tahoma"/>
          <w:bCs/>
          <w:sz w:val="24"/>
          <w:szCs w:val="24"/>
        </w:rPr>
      </w:pPr>
      <w:r w:rsidRPr="00170C5D">
        <w:rPr>
          <w:rFonts w:ascii="Tahoma" w:hAnsi="Tahoma" w:cs="Tahoma"/>
          <w:bCs/>
          <w:sz w:val="24"/>
          <w:szCs w:val="24"/>
        </w:rPr>
        <w:t>Washington, DC 20002</w:t>
      </w:r>
    </w:p>
    <w:p w:rsidR="00984CFA" w:rsidRDefault="00984CFA"/>
    <w:sectPr w:rsidR="00984C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0473E"/>
    <w:multiLevelType w:val="hybridMultilevel"/>
    <w:tmpl w:val="B42C9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F2AA9"/>
    <w:multiLevelType w:val="hybridMultilevel"/>
    <w:tmpl w:val="791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9139F"/>
    <w:multiLevelType w:val="hybridMultilevel"/>
    <w:tmpl w:val="12583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43038D"/>
    <w:multiLevelType w:val="hybridMultilevel"/>
    <w:tmpl w:val="D75ED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863A7"/>
    <w:multiLevelType w:val="hybridMultilevel"/>
    <w:tmpl w:val="54966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1C530B"/>
    <w:multiLevelType w:val="hybridMultilevel"/>
    <w:tmpl w:val="2408890C"/>
    <w:lvl w:ilvl="0" w:tplc="273A2B16">
      <w:start w:val="1"/>
      <w:numFmt w:val="bullet"/>
      <w:lvlText w:val="•"/>
      <w:lvlJc w:val="left"/>
      <w:pPr>
        <w:tabs>
          <w:tab w:val="num" w:pos="720"/>
        </w:tabs>
        <w:ind w:left="720" w:hanging="360"/>
      </w:pPr>
      <w:rPr>
        <w:rFonts w:ascii="Arial" w:hAnsi="Arial" w:hint="default"/>
      </w:rPr>
    </w:lvl>
    <w:lvl w:ilvl="1" w:tplc="4B6CE482" w:tentative="1">
      <w:start w:val="1"/>
      <w:numFmt w:val="bullet"/>
      <w:lvlText w:val="•"/>
      <w:lvlJc w:val="left"/>
      <w:pPr>
        <w:tabs>
          <w:tab w:val="num" w:pos="1440"/>
        </w:tabs>
        <w:ind w:left="1440" w:hanging="360"/>
      </w:pPr>
      <w:rPr>
        <w:rFonts w:ascii="Arial" w:hAnsi="Arial" w:hint="default"/>
      </w:rPr>
    </w:lvl>
    <w:lvl w:ilvl="2" w:tplc="E36C3FBA" w:tentative="1">
      <w:start w:val="1"/>
      <w:numFmt w:val="bullet"/>
      <w:lvlText w:val="•"/>
      <w:lvlJc w:val="left"/>
      <w:pPr>
        <w:tabs>
          <w:tab w:val="num" w:pos="2160"/>
        </w:tabs>
        <w:ind w:left="2160" w:hanging="360"/>
      </w:pPr>
      <w:rPr>
        <w:rFonts w:ascii="Arial" w:hAnsi="Arial" w:hint="default"/>
      </w:rPr>
    </w:lvl>
    <w:lvl w:ilvl="3" w:tplc="316A305A" w:tentative="1">
      <w:start w:val="1"/>
      <w:numFmt w:val="bullet"/>
      <w:lvlText w:val="•"/>
      <w:lvlJc w:val="left"/>
      <w:pPr>
        <w:tabs>
          <w:tab w:val="num" w:pos="2880"/>
        </w:tabs>
        <w:ind w:left="2880" w:hanging="360"/>
      </w:pPr>
      <w:rPr>
        <w:rFonts w:ascii="Arial" w:hAnsi="Arial" w:hint="default"/>
      </w:rPr>
    </w:lvl>
    <w:lvl w:ilvl="4" w:tplc="3816F9AC" w:tentative="1">
      <w:start w:val="1"/>
      <w:numFmt w:val="bullet"/>
      <w:lvlText w:val="•"/>
      <w:lvlJc w:val="left"/>
      <w:pPr>
        <w:tabs>
          <w:tab w:val="num" w:pos="3600"/>
        </w:tabs>
        <w:ind w:left="3600" w:hanging="360"/>
      </w:pPr>
      <w:rPr>
        <w:rFonts w:ascii="Arial" w:hAnsi="Arial" w:hint="default"/>
      </w:rPr>
    </w:lvl>
    <w:lvl w:ilvl="5" w:tplc="E9A859BC" w:tentative="1">
      <w:start w:val="1"/>
      <w:numFmt w:val="bullet"/>
      <w:lvlText w:val="•"/>
      <w:lvlJc w:val="left"/>
      <w:pPr>
        <w:tabs>
          <w:tab w:val="num" w:pos="4320"/>
        </w:tabs>
        <w:ind w:left="4320" w:hanging="360"/>
      </w:pPr>
      <w:rPr>
        <w:rFonts w:ascii="Arial" w:hAnsi="Arial" w:hint="default"/>
      </w:rPr>
    </w:lvl>
    <w:lvl w:ilvl="6" w:tplc="ED8246FA" w:tentative="1">
      <w:start w:val="1"/>
      <w:numFmt w:val="bullet"/>
      <w:lvlText w:val="•"/>
      <w:lvlJc w:val="left"/>
      <w:pPr>
        <w:tabs>
          <w:tab w:val="num" w:pos="5040"/>
        </w:tabs>
        <w:ind w:left="5040" w:hanging="360"/>
      </w:pPr>
      <w:rPr>
        <w:rFonts w:ascii="Arial" w:hAnsi="Arial" w:hint="default"/>
      </w:rPr>
    </w:lvl>
    <w:lvl w:ilvl="7" w:tplc="331AFDBA" w:tentative="1">
      <w:start w:val="1"/>
      <w:numFmt w:val="bullet"/>
      <w:lvlText w:val="•"/>
      <w:lvlJc w:val="left"/>
      <w:pPr>
        <w:tabs>
          <w:tab w:val="num" w:pos="5760"/>
        </w:tabs>
        <w:ind w:left="5760" w:hanging="360"/>
      </w:pPr>
      <w:rPr>
        <w:rFonts w:ascii="Arial" w:hAnsi="Arial" w:hint="default"/>
      </w:rPr>
    </w:lvl>
    <w:lvl w:ilvl="8" w:tplc="5388F71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BEE3262"/>
    <w:multiLevelType w:val="hybridMultilevel"/>
    <w:tmpl w:val="E2822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D72347"/>
    <w:multiLevelType w:val="hybridMultilevel"/>
    <w:tmpl w:val="0C104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932AB3"/>
    <w:multiLevelType w:val="hybridMultilevel"/>
    <w:tmpl w:val="A1F48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CD31AB"/>
    <w:multiLevelType w:val="hybridMultilevel"/>
    <w:tmpl w:val="47A84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E9672A"/>
    <w:multiLevelType w:val="hybridMultilevel"/>
    <w:tmpl w:val="E33AD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AC7247"/>
    <w:multiLevelType w:val="hybridMultilevel"/>
    <w:tmpl w:val="7646B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D06ABC"/>
    <w:multiLevelType w:val="hybridMultilevel"/>
    <w:tmpl w:val="3C4EF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7B0893"/>
    <w:multiLevelType w:val="hybridMultilevel"/>
    <w:tmpl w:val="55561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2B5560"/>
    <w:multiLevelType w:val="hybridMultilevel"/>
    <w:tmpl w:val="2F564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E64B5A"/>
    <w:multiLevelType w:val="hybridMultilevel"/>
    <w:tmpl w:val="18F4A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0A43CB"/>
    <w:multiLevelType w:val="hybridMultilevel"/>
    <w:tmpl w:val="AA340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300835"/>
    <w:multiLevelType w:val="hybridMultilevel"/>
    <w:tmpl w:val="6AE07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5053B8"/>
    <w:multiLevelType w:val="hybridMultilevel"/>
    <w:tmpl w:val="202A6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B52675"/>
    <w:multiLevelType w:val="hybridMultilevel"/>
    <w:tmpl w:val="FF54F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BB5232"/>
    <w:multiLevelType w:val="hybridMultilevel"/>
    <w:tmpl w:val="383C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457729"/>
    <w:multiLevelType w:val="hybridMultilevel"/>
    <w:tmpl w:val="2960C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561AED"/>
    <w:multiLevelType w:val="hybridMultilevel"/>
    <w:tmpl w:val="8AB48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10"/>
  </w:num>
  <w:num w:numId="4">
    <w:abstractNumId w:val="14"/>
  </w:num>
  <w:num w:numId="5">
    <w:abstractNumId w:val="22"/>
  </w:num>
  <w:num w:numId="6">
    <w:abstractNumId w:val="18"/>
  </w:num>
  <w:num w:numId="7">
    <w:abstractNumId w:val="1"/>
  </w:num>
  <w:num w:numId="8">
    <w:abstractNumId w:val="6"/>
  </w:num>
  <w:num w:numId="9">
    <w:abstractNumId w:val="20"/>
  </w:num>
  <w:num w:numId="10">
    <w:abstractNumId w:val="11"/>
  </w:num>
  <w:num w:numId="11">
    <w:abstractNumId w:val="2"/>
  </w:num>
  <w:num w:numId="12">
    <w:abstractNumId w:val="0"/>
  </w:num>
  <w:num w:numId="13">
    <w:abstractNumId w:val="3"/>
  </w:num>
  <w:num w:numId="14">
    <w:abstractNumId w:val="17"/>
  </w:num>
  <w:num w:numId="15">
    <w:abstractNumId w:val="15"/>
  </w:num>
  <w:num w:numId="16">
    <w:abstractNumId w:val="19"/>
  </w:num>
  <w:num w:numId="17">
    <w:abstractNumId w:val="9"/>
  </w:num>
  <w:num w:numId="18">
    <w:abstractNumId w:val="8"/>
  </w:num>
  <w:num w:numId="19">
    <w:abstractNumId w:val="13"/>
  </w:num>
  <w:num w:numId="20">
    <w:abstractNumId w:val="7"/>
  </w:num>
  <w:num w:numId="21">
    <w:abstractNumId w:val="16"/>
  </w:num>
  <w:num w:numId="22">
    <w:abstractNumId w:val="5"/>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67F"/>
    <w:rsid w:val="004365AA"/>
    <w:rsid w:val="006B2118"/>
    <w:rsid w:val="00784587"/>
    <w:rsid w:val="008722D7"/>
    <w:rsid w:val="008E5D91"/>
    <w:rsid w:val="0092569E"/>
    <w:rsid w:val="0097367F"/>
    <w:rsid w:val="00984CFA"/>
    <w:rsid w:val="009D2903"/>
    <w:rsid w:val="00A93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A7B4E"/>
  <w15:chartTrackingRefBased/>
  <w15:docId w15:val="{110DE23E-BAA0-4335-9447-7B8C7E482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367F"/>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97367F"/>
    <w:pPr>
      <w:widowControl w:val="0"/>
      <w:autoSpaceDE w:val="0"/>
      <w:autoSpaceDN w:val="0"/>
      <w:adjustRightInd w:val="0"/>
      <w:spacing w:after="0" w:line="240" w:lineRule="auto"/>
      <w:ind w:left="540" w:hanging="540"/>
      <w:outlineLvl w:val="0"/>
    </w:pPr>
    <w:rPr>
      <w:rFonts w:ascii="Times New Roman" w:hAnsi="Times New Roman"/>
      <w:color w:val="000000"/>
      <w:kern w:val="24"/>
      <w:sz w:val="64"/>
      <w:szCs w:val="6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67F"/>
    <w:rPr>
      <w:rFonts w:ascii="Times New Roman" w:eastAsia="Times New Roman" w:hAnsi="Times New Roman" w:cs="Times New Roman"/>
      <w:color w:val="000000"/>
      <w:kern w:val="24"/>
      <w:sz w:val="64"/>
      <w:szCs w:val="64"/>
    </w:rPr>
  </w:style>
  <w:style w:type="character" w:styleId="Hyperlink">
    <w:name w:val="Hyperlink"/>
    <w:basedOn w:val="DefaultParagraphFont"/>
    <w:uiPriority w:val="99"/>
    <w:unhideWhenUsed/>
    <w:rsid w:val="0097367F"/>
    <w:rPr>
      <w:color w:val="0563C1" w:themeColor="hyperlink"/>
      <w:u w:val="single"/>
    </w:rPr>
  </w:style>
  <w:style w:type="paragraph" w:styleId="ListParagraph">
    <w:name w:val="List Paragraph"/>
    <w:basedOn w:val="Normal"/>
    <w:uiPriority w:val="34"/>
    <w:qFormat/>
    <w:rsid w:val="0097367F"/>
    <w:pPr>
      <w:ind w:left="720"/>
      <w:contextualSpacing/>
    </w:pPr>
  </w:style>
  <w:style w:type="paragraph" w:styleId="NoSpacing">
    <w:name w:val="No Spacing"/>
    <w:uiPriority w:val="1"/>
    <w:qFormat/>
    <w:rsid w:val="0097367F"/>
    <w:pPr>
      <w:spacing w:after="0" w:line="240" w:lineRule="auto"/>
    </w:pPr>
    <w:rPr>
      <w:rFonts w:ascii="Calibri" w:eastAsia="Times New Roman" w:hAnsi="Calibri" w:cs="Times New Roman"/>
    </w:rPr>
  </w:style>
  <w:style w:type="paragraph" w:styleId="NormalWeb">
    <w:name w:val="Normal (Web)"/>
    <w:basedOn w:val="Normal"/>
    <w:uiPriority w:val="99"/>
    <w:semiHidden/>
    <w:unhideWhenUsed/>
    <w:rsid w:val="0097367F"/>
    <w:pPr>
      <w:spacing w:before="100" w:beforeAutospacing="1" w:after="100" w:afterAutospacing="1" w:line="240" w:lineRule="auto"/>
    </w:pPr>
    <w:rPr>
      <w:rFonts w:ascii="Times New Roman" w:hAnsi="Times New Roman"/>
      <w:sz w:val="24"/>
      <w:szCs w:val="24"/>
    </w:rPr>
  </w:style>
  <w:style w:type="character" w:styleId="UnresolvedMention">
    <w:name w:val="Unresolved Mention"/>
    <w:basedOn w:val="DefaultParagraphFont"/>
    <w:uiPriority w:val="99"/>
    <w:semiHidden/>
    <w:unhideWhenUsed/>
    <w:rsid w:val="0078458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535">
      <w:bodyDiv w:val="1"/>
      <w:marLeft w:val="0"/>
      <w:marRight w:val="0"/>
      <w:marTop w:val="0"/>
      <w:marBottom w:val="0"/>
      <w:divBdr>
        <w:top w:val="none" w:sz="0" w:space="0" w:color="auto"/>
        <w:left w:val="none" w:sz="0" w:space="0" w:color="auto"/>
        <w:bottom w:val="none" w:sz="0" w:space="0" w:color="auto"/>
        <w:right w:val="none" w:sz="0" w:space="0" w:color="auto"/>
      </w:divBdr>
    </w:div>
    <w:div w:id="8651804">
      <w:bodyDiv w:val="1"/>
      <w:marLeft w:val="0"/>
      <w:marRight w:val="0"/>
      <w:marTop w:val="0"/>
      <w:marBottom w:val="0"/>
      <w:divBdr>
        <w:top w:val="none" w:sz="0" w:space="0" w:color="auto"/>
        <w:left w:val="none" w:sz="0" w:space="0" w:color="auto"/>
        <w:bottom w:val="none" w:sz="0" w:space="0" w:color="auto"/>
        <w:right w:val="none" w:sz="0" w:space="0" w:color="auto"/>
      </w:divBdr>
    </w:div>
    <w:div w:id="436021620">
      <w:bodyDiv w:val="1"/>
      <w:marLeft w:val="0"/>
      <w:marRight w:val="0"/>
      <w:marTop w:val="0"/>
      <w:marBottom w:val="0"/>
      <w:divBdr>
        <w:top w:val="none" w:sz="0" w:space="0" w:color="auto"/>
        <w:left w:val="none" w:sz="0" w:space="0" w:color="auto"/>
        <w:bottom w:val="none" w:sz="0" w:space="0" w:color="auto"/>
        <w:right w:val="none" w:sz="0" w:space="0" w:color="auto"/>
      </w:divBdr>
      <w:divsChild>
        <w:div w:id="2045981648">
          <w:marLeft w:val="403"/>
          <w:marRight w:val="0"/>
          <w:marTop w:val="240"/>
          <w:marBottom w:val="0"/>
          <w:divBdr>
            <w:top w:val="none" w:sz="0" w:space="0" w:color="auto"/>
            <w:left w:val="none" w:sz="0" w:space="0" w:color="auto"/>
            <w:bottom w:val="none" w:sz="0" w:space="0" w:color="auto"/>
            <w:right w:val="none" w:sz="0" w:space="0" w:color="auto"/>
          </w:divBdr>
        </w:div>
        <w:div w:id="2062703763">
          <w:marLeft w:val="403"/>
          <w:marRight w:val="0"/>
          <w:marTop w:val="240"/>
          <w:marBottom w:val="0"/>
          <w:divBdr>
            <w:top w:val="none" w:sz="0" w:space="0" w:color="auto"/>
            <w:left w:val="none" w:sz="0" w:space="0" w:color="auto"/>
            <w:bottom w:val="none" w:sz="0" w:space="0" w:color="auto"/>
            <w:right w:val="none" w:sz="0" w:space="0" w:color="auto"/>
          </w:divBdr>
        </w:div>
        <w:div w:id="576137096">
          <w:marLeft w:val="403"/>
          <w:marRight w:val="0"/>
          <w:marTop w:val="240"/>
          <w:marBottom w:val="0"/>
          <w:divBdr>
            <w:top w:val="none" w:sz="0" w:space="0" w:color="auto"/>
            <w:left w:val="none" w:sz="0" w:space="0" w:color="auto"/>
            <w:bottom w:val="none" w:sz="0" w:space="0" w:color="auto"/>
            <w:right w:val="none" w:sz="0" w:space="0" w:color="auto"/>
          </w:divBdr>
        </w:div>
      </w:divsChild>
    </w:div>
    <w:div w:id="519779828">
      <w:bodyDiv w:val="1"/>
      <w:marLeft w:val="0"/>
      <w:marRight w:val="0"/>
      <w:marTop w:val="0"/>
      <w:marBottom w:val="0"/>
      <w:divBdr>
        <w:top w:val="none" w:sz="0" w:space="0" w:color="auto"/>
        <w:left w:val="none" w:sz="0" w:space="0" w:color="auto"/>
        <w:bottom w:val="none" w:sz="0" w:space="0" w:color="auto"/>
        <w:right w:val="none" w:sz="0" w:space="0" w:color="auto"/>
      </w:divBdr>
    </w:div>
    <w:div w:id="750658129">
      <w:bodyDiv w:val="1"/>
      <w:marLeft w:val="0"/>
      <w:marRight w:val="0"/>
      <w:marTop w:val="0"/>
      <w:marBottom w:val="0"/>
      <w:divBdr>
        <w:top w:val="none" w:sz="0" w:space="0" w:color="auto"/>
        <w:left w:val="none" w:sz="0" w:space="0" w:color="auto"/>
        <w:bottom w:val="none" w:sz="0" w:space="0" w:color="auto"/>
        <w:right w:val="none" w:sz="0" w:space="0" w:color="auto"/>
      </w:divBdr>
    </w:div>
    <w:div w:id="1346056631">
      <w:bodyDiv w:val="1"/>
      <w:marLeft w:val="0"/>
      <w:marRight w:val="0"/>
      <w:marTop w:val="0"/>
      <w:marBottom w:val="0"/>
      <w:divBdr>
        <w:top w:val="none" w:sz="0" w:space="0" w:color="auto"/>
        <w:left w:val="none" w:sz="0" w:space="0" w:color="auto"/>
        <w:bottom w:val="none" w:sz="0" w:space="0" w:color="auto"/>
        <w:right w:val="none" w:sz="0" w:space="0" w:color="auto"/>
      </w:divBdr>
    </w:div>
    <w:div w:id="161370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joh@mwcog.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joh@mwcog.org" TargetMode="External"/><Relationship Id="rId12" Type="http://schemas.openxmlformats.org/officeDocument/2006/relationships/hyperlink" Target="http://www.mwcog.org/TP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joh@mwcog.org" TargetMode="External"/><Relationship Id="rId11" Type="http://schemas.openxmlformats.org/officeDocument/2006/relationships/hyperlink" Target="mailto:wklancher@mwcog.org" TargetMode="External"/><Relationship Id="rId5" Type="http://schemas.openxmlformats.org/officeDocument/2006/relationships/hyperlink" Target="http://gis.mwcog.org/webmaps/tpb/clrp/ej/" TargetMode="External"/><Relationship Id="rId10" Type="http://schemas.openxmlformats.org/officeDocument/2006/relationships/hyperlink" Target="mailto:wklancher@mwcog.org" TargetMode="External"/><Relationship Id="rId4" Type="http://schemas.openxmlformats.org/officeDocument/2006/relationships/webSettings" Target="webSettings.xml"/><Relationship Id="rId9" Type="http://schemas.openxmlformats.org/officeDocument/2006/relationships/hyperlink" Target="mailto:wklancher@mwcog.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5</Pages>
  <Words>1116</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Ritacco</dc:creator>
  <cp:keywords/>
  <dc:description/>
  <cp:lastModifiedBy>Sergio Ritacco</cp:lastModifiedBy>
  <cp:revision>2</cp:revision>
  <dcterms:created xsi:type="dcterms:W3CDTF">2018-06-04T18:53:00Z</dcterms:created>
  <dcterms:modified xsi:type="dcterms:W3CDTF">2018-06-05T14:11:00Z</dcterms:modified>
</cp:coreProperties>
</file>