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392A" w14:textId="79854F67" w:rsidR="009532C7" w:rsidRDefault="009532C7" w:rsidP="001D7095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782A63" w:rsidRPr="00782A63">
        <w:rPr>
          <w:rFonts w:ascii="Franklin Gothic Book" w:hAnsi="Franklin Gothic Book" w:cs="Tahoma"/>
          <w:sz w:val="22"/>
          <w:szCs w:val="22"/>
        </w:rPr>
        <w:t>Draft Technical Inputs for The Air Quality Conformity Analysis</w:t>
      </w:r>
      <w:r w:rsidR="00782A63">
        <w:rPr>
          <w:rFonts w:ascii="Franklin Gothic Book" w:hAnsi="Franklin Gothic Book" w:cs="Tahoma"/>
          <w:sz w:val="22"/>
          <w:szCs w:val="22"/>
        </w:rPr>
        <w:t>, V</w:t>
      </w:r>
      <w:r w:rsidR="00782A63" w:rsidRPr="00782A63">
        <w:rPr>
          <w:rFonts w:ascii="Franklin Gothic Book" w:hAnsi="Franklin Gothic Book" w:cs="Tahoma"/>
          <w:sz w:val="22"/>
          <w:szCs w:val="22"/>
        </w:rPr>
        <w:t>isualize 2050 &amp; FY 2026-2029 TIP</w:t>
      </w:r>
    </w:p>
    <w:p w14:paraId="6216F8B3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A2E505E" w14:textId="5D27668C" w:rsidR="009532C7" w:rsidRPr="009532C7" w:rsidRDefault="00782A6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Cristina Finch</w:t>
      </w:r>
    </w:p>
    <w:p w14:paraId="3DCDFB6B" w14:textId="4AB08200" w:rsidR="009532C7" w:rsidRPr="009532C7" w:rsidRDefault="00782A6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TPB </w:t>
      </w:r>
      <w:r w:rsidR="009532C7" w:rsidRPr="009532C7">
        <w:rPr>
          <w:rFonts w:ascii="Franklin Gothic Book" w:hAnsi="Franklin Gothic Book" w:cs="Tahoma"/>
          <w:sz w:val="22"/>
          <w:szCs w:val="22"/>
        </w:rPr>
        <w:t>Transportation Planner</w:t>
      </w:r>
    </w:p>
    <w:p w14:paraId="22330679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1A8C1831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TPB’s Access for All Advisory Committee</w:t>
      </w:r>
    </w:p>
    <w:p w14:paraId="3702B655" w14:textId="7F5773D5" w:rsidR="009532C7" w:rsidRPr="009532C7" w:rsidRDefault="00782A6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March 11</w:t>
      </w:r>
      <w:r w:rsidR="009532C7" w:rsidRPr="009532C7">
        <w:rPr>
          <w:rFonts w:ascii="Franklin Gothic Book" w:hAnsi="Franklin Gothic Book" w:cs="Tahoma"/>
          <w:sz w:val="22"/>
          <w:szCs w:val="22"/>
        </w:rPr>
        <w:t>, 202</w:t>
      </w:r>
      <w:r>
        <w:rPr>
          <w:rFonts w:ascii="Franklin Gothic Book" w:hAnsi="Franklin Gothic Book" w:cs="Tahoma"/>
          <w:sz w:val="22"/>
          <w:szCs w:val="22"/>
        </w:rPr>
        <w:t>4</w:t>
      </w:r>
    </w:p>
    <w:p w14:paraId="3EFDEEFB" w14:textId="191A61DF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E19AFC5" w14:textId="26547C6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782A63">
        <w:rPr>
          <w:rFonts w:ascii="Franklin Gothic Book" w:hAnsi="Franklin Gothic Book" w:cs="Tahoma"/>
          <w:bCs/>
          <w:sz w:val="22"/>
          <w:szCs w:val="22"/>
        </w:rPr>
        <w:t>Overview</w:t>
      </w:r>
    </w:p>
    <w:p w14:paraId="3A79110D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B167224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Background </w:t>
      </w:r>
    </w:p>
    <w:p w14:paraId="4725992F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Current Transportation System </w:t>
      </w:r>
    </w:p>
    <w:p w14:paraId="08726C35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Focus on Air Quality</w:t>
      </w:r>
    </w:p>
    <w:p w14:paraId="28ADCF59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Comment Period Materials</w:t>
      </w:r>
    </w:p>
    <w:p w14:paraId="2EF8559C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Financial Considerations</w:t>
      </w:r>
    </w:p>
    <w:p w14:paraId="07F91811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Implementing TPB Priority Strategies</w:t>
      </w:r>
    </w:p>
    <w:p w14:paraId="7A1D0835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Project Alignment with TPB Goals</w:t>
      </w:r>
    </w:p>
    <w:p w14:paraId="46D0D6C2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Comparison with the Visualize 2045 Plan</w:t>
      </w:r>
    </w:p>
    <w:p w14:paraId="54CBB3E8" w14:textId="77777777" w:rsidR="00782A63" w:rsidRPr="00782A63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Acknowledgements</w:t>
      </w:r>
    </w:p>
    <w:p w14:paraId="07510C39" w14:textId="25C1A68C" w:rsidR="009532C7" w:rsidRPr="009532C7" w:rsidRDefault="00782A63" w:rsidP="00782A63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2769A406" w14:textId="28B5E7C6" w:rsidR="009532C7" w:rsidRPr="009532C7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C6339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0B56D7D" w14:textId="40C37BB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782A63">
        <w:rPr>
          <w:rFonts w:ascii="Franklin Gothic Book" w:hAnsi="Franklin Gothic Book" w:cs="Tahoma"/>
          <w:bCs/>
          <w:sz w:val="22"/>
          <w:szCs w:val="22"/>
        </w:rPr>
        <w:t>Background</w:t>
      </w:r>
    </w:p>
    <w:p w14:paraId="0B361B25" w14:textId="467EF202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31EE4D2" w14:textId="77777777" w:rsidR="00782A63" w:rsidRPr="00782A63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Via Resolution R19-2021, the TPB directed its staff to initiate an update of the Visualize 2045 plan and said that the updated plan “will be based on the concept of ‘zero-based budgeting’ where all projects, including those currently included in the Plan, must be resubmitted for consideration in such Plan.”</w:t>
      </w:r>
    </w:p>
    <w:p w14:paraId="333D47EC" w14:textId="18167D46" w:rsidR="00782A63" w:rsidRPr="00782A63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June 2022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Visualize 2045 plan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approved</w:t>
      </w:r>
      <w:proofErr w:type="gramEnd"/>
      <w:r w:rsidRPr="00782A63">
        <w:rPr>
          <w:rFonts w:ascii="Franklin Gothic Book" w:hAnsi="Franklin Gothic Book" w:cs="Tahoma"/>
          <w:bCs/>
          <w:sz w:val="22"/>
          <w:szCs w:val="22"/>
        </w:rPr>
        <w:t xml:space="preserve"> </w:t>
      </w:r>
    </w:p>
    <w:p w14:paraId="50FD04F8" w14:textId="2CA44599" w:rsidR="00782A63" w:rsidRPr="00782A63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February 2023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TPB approved the Technical Inputs Solicitation </w:t>
      </w:r>
    </w:p>
    <w:p w14:paraId="15B48EF0" w14:textId="04EB5071" w:rsidR="00782A63" w:rsidRPr="00782A63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March 2023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Listening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sessions</w:t>
      </w:r>
      <w:proofErr w:type="gramEnd"/>
    </w:p>
    <w:p w14:paraId="4ADC55CB" w14:textId="0CA8A9B7" w:rsidR="00782A63" w:rsidRPr="00782A63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Feb. - Dec. 2023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782A63">
        <w:rPr>
          <w:rFonts w:ascii="Franklin Gothic Book" w:hAnsi="Franklin Gothic Book" w:cs="Tahoma"/>
          <w:bCs/>
          <w:sz w:val="22"/>
          <w:szCs w:val="22"/>
        </w:rPr>
        <w:t>Re-examination of projects by sponsor agencies, public comment opportunity, project inputs Q&amp;A sessions &amp; submittals</w:t>
      </w:r>
    </w:p>
    <w:p w14:paraId="37A20D08" w14:textId="720C5DDC" w:rsidR="001D7095" w:rsidRPr="001D7095" w:rsidRDefault="00782A63" w:rsidP="00782A63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Jan. - Feb. 2024</w:t>
      </w:r>
      <w:r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782A63">
        <w:rPr>
          <w:rFonts w:ascii="Franklin Gothic Book" w:hAnsi="Franklin Gothic Book" w:cs="Tahoma"/>
          <w:bCs/>
          <w:sz w:val="22"/>
          <w:szCs w:val="22"/>
        </w:rPr>
        <w:t>Project inputs preparation for March 2024 comment period</w:t>
      </w:r>
    </w:p>
    <w:p w14:paraId="0D9D5A86" w14:textId="5E1CD411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A5F0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1506244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4: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782A63">
        <w:rPr>
          <w:rFonts w:ascii="Franklin Gothic Book" w:hAnsi="Franklin Gothic Book" w:cs="Tahoma"/>
          <w:bCs/>
          <w:sz w:val="22"/>
          <w:szCs w:val="22"/>
        </w:rPr>
        <w:t>Project Inputs Schedule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7DFFE82" w14:textId="1973D4A9" w:rsidR="00782A63" w:rsidRDefault="00782A63" w:rsidP="001D7095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Projects in Visualize 2050 Financial Plan</w:t>
      </w:r>
    </w:p>
    <w:p w14:paraId="4BDB9634" w14:textId="68B499DB" w:rsidR="00782A63" w:rsidRDefault="00782A63" w:rsidP="00782A63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Regionally Significant for Air Quality</w:t>
      </w:r>
    </w:p>
    <w:p w14:paraId="1663F56C" w14:textId="3EE18561" w:rsidR="00782A63" w:rsidRDefault="00782A63" w:rsidP="00782A63">
      <w:pPr>
        <w:pStyle w:val="ListParagraph"/>
        <w:numPr>
          <w:ilvl w:val="2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Currently Programmed through Fiscal Year 2029</w:t>
      </w:r>
    </w:p>
    <w:p w14:paraId="590A8304" w14:textId="0AD28666" w:rsidR="00782A63" w:rsidRDefault="00782A63" w:rsidP="00974FA0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Highway or Transit Projects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>Project Details &amp; Total Cost Estimate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due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12/29/23</w:t>
      </w:r>
      <w:proofErr w:type="gramEnd"/>
    </w:p>
    <w:p w14:paraId="3C8CCA8E" w14:textId="5106C7DE" w:rsidR="00782A63" w:rsidRPr="00782A63" w:rsidRDefault="00782A63" w:rsidP="00446E40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Financial Details due 1/26/25</w:t>
      </w:r>
    </w:p>
    <w:p w14:paraId="7EE24E27" w14:textId="03AE6301" w:rsidR="00782A63" w:rsidRDefault="00782A63" w:rsidP="00782A63">
      <w:pPr>
        <w:pStyle w:val="ListParagraph"/>
        <w:numPr>
          <w:ilvl w:val="2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For Future Programming in Fiscal Year 2030 through 2050</w:t>
      </w:r>
    </w:p>
    <w:p w14:paraId="1AFA9757" w14:textId="019F5893" w:rsidR="00782A63" w:rsidRDefault="00782A63" w:rsidP="00782A63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Highway or Transit Projects Project Details &amp; Total Cost Estimate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due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12/29/23</w:t>
      </w:r>
      <w:proofErr w:type="gramEnd"/>
    </w:p>
    <w:p w14:paraId="6CBCA4A1" w14:textId="2C000C91" w:rsidR="00782A63" w:rsidRPr="00782A63" w:rsidRDefault="00782A63" w:rsidP="001B1DFB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Financial Details due 12/29/23</w:t>
      </w:r>
    </w:p>
    <w:p w14:paraId="79345CE8" w14:textId="6EA96113" w:rsidR="00782A63" w:rsidRDefault="00782A63" w:rsidP="00782A63">
      <w:pPr>
        <w:pStyle w:val="ListParagraph"/>
        <w:numPr>
          <w:ilvl w:val="1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Not Regionally Significant for Air Quality</w:t>
      </w:r>
    </w:p>
    <w:p w14:paraId="2E49C0C8" w14:textId="77777777" w:rsidR="00782A63" w:rsidRDefault="00782A63" w:rsidP="00782A63">
      <w:pPr>
        <w:pStyle w:val="ListParagraph"/>
        <w:numPr>
          <w:ilvl w:val="2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Currently Programmed through Fiscal Year 2029</w:t>
      </w:r>
    </w:p>
    <w:p w14:paraId="5E75781E" w14:textId="54AC7A62" w:rsidR="00782A63" w:rsidRDefault="00782A63" w:rsidP="00497C74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Highway, Transit, Bike, Pedestrian, etc. Projects, Phases, or Project Grouping Categories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>Project Details &amp; Total Cost Estimate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due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6/28/24</w:t>
      </w:r>
      <w:proofErr w:type="gramEnd"/>
    </w:p>
    <w:p w14:paraId="23EF5F8B" w14:textId="3131219A" w:rsidR="00782A63" w:rsidRPr="00782A63" w:rsidRDefault="00782A63" w:rsidP="00497C74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Financial Details due 1/26/25</w:t>
      </w:r>
    </w:p>
    <w:p w14:paraId="5B8E1154" w14:textId="77777777" w:rsidR="00782A63" w:rsidRDefault="00782A63" w:rsidP="00782A63">
      <w:pPr>
        <w:pStyle w:val="ListParagraph"/>
        <w:numPr>
          <w:ilvl w:val="2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For Future Programming in Fiscal Year 2030 through 2050</w:t>
      </w:r>
    </w:p>
    <w:p w14:paraId="743BBC13" w14:textId="62D285A2" w:rsidR="00782A63" w:rsidRDefault="00782A63" w:rsidP="00782A63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>Highway, Transit, Bike, Pedestrian, etc. Projects, Phases, or Project Grouping Categories Project Details &amp; Total Cost Estimate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due </w:t>
      </w:r>
      <w:proofErr w:type="gramStart"/>
      <w:r w:rsidRPr="00782A63">
        <w:rPr>
          <w:rFonts w:ascii="Franklin Gothic Book" w:hAnsi="Franklin Gothic Book" w:cs="Tahoma"/>
          <w:bCs/>
          <w:sz w:val="22"/>
          <w:szCs w:val="22"/>
        </w:rPr>
        <w:t>6/28/24</w:t>
      </w:r>
      <w:proofErr w:type="gramEnd"/>
    </w:p>
    <w:p w14:paraId="6FFEB8BF" w14:textId="11216776" w:rsidR="00782A63" w:rsidRDefault="00782A63" w:rsidP="00782A63">
      <w:pPr>
        <w:pStyle w:val="ListParagraph"/>
        <w:numPr>
          <w:ilvl w:val="3"/>
          <w:numId w:val="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782A63">
        <w:rPr>
          <w:rFonts w:ascii="Franklin Gothic Book" w:hAnsi="Franklin Gothic Book" w:cs="Tahoma"/>
          <w:bCs/>
          <w:sz w:val="22"/>
          <w:szCs w:val="22"/>
        </w:rPr>
        <w:t xml:space="preserve">Financial Details due </w:t>
      </w:r>
      <w:r>
        <w:rPr>
          <w:rFonts w:ascii="Franklin Gothic Book" w:hAnsi="Franklin Gothic Book" w:cs="Tahoma"/>
          <w:bCs/>
          <w:sz w:val="22"/>
          <w:szCs w:val="22"/>
        </w:rPr>
        <w:t>6</w:t>
      </w:r>
      <w:r w:rsidRPr="00782A63">
        <w:rPr>
          <w:rFonts w:ascii="Franklin Gothic Book" w:hAnsi="Franklin Gothic Book" w:cs="Tahoma"/>
          <w:bCs/>
          <w:sz w:val="22"/>
          <w:szCs w:val="22"/>
        </w:rPr>
        <w:t>/2</w:t>
      </w:r>
      <w:r>
        <w:rPr>
          <w:rFonts w:ascii="Franklin Gothic Book" w:hAnsi="Franklin Gothic Book" w:cs="Tahoma"/>
          <w:bCs/>
          <w:sz w:val="22"/>
          <w:szCs w:val="22"/>
        </w:rPr>
        <w:t>8</w:t>
      </w:r>
      <w:r w:rsidRPr="00782A63">
        <w:rPr>
          <w:rFonts w:ascii="Franklin Gothic Book" w:hAnsi="Franklin Gothic Book" w:cs="Tahoma"/>
          <w:bCs/>
          <w:sz w:val="22"/>
          <w:szCs w:val="22"/>
        </w:rPr>
        <w:t>/2</w:t>
      </w:r>
      <w:r>
        <w:rPr>
          <w:rFonts w:ascii="Franklin Gothic Book" w:hAnsi="Franklin Gothic Book" w:cs="Tahoma"/>
          <w:bCs/>
          <w:sz w:val="22"/>
          <w:szCs w:val="22"/>
        </w:rPr>
        <w:t>4</w:t>
      </w:r>
    </w:p>
    <w:p w14:paraId="48ADA99A" w14:textId="12466EF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1C7E8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738F8" w14:textId="3B4E453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782A63" w:rsidRPr="00782A63">
        <w:rPr>
          <w:rFonts w:ascii="Franklin Gothic Book" w:hAnsi="Franklin Gothic Book" w:cs="Tahoma"/>
          <w:sz w:val="22"/>
          <w:szCs w:val="22"/>
        </w:rPr>
        <w:t>Where we are in the Plan Development Process</w:t>
      </w:r>
    </w:p>
    <w:p w14:paraId="39D1477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A191BC2" w14:textId="17E081D5" w:rsidR="009532C7" w:rsidRPr="009532C7" w:rsidRDefault="00782A63" w:rsidP="00782A63">
      <w:pPr>
        <w:pStyle w:val="NoSpacing"/>
        <w:numPr>
          <w:ilvl w:val="0"/>
          <w:numId w:val="6"/>
        </w:numPr>
        <w:rPr>
          <w:rFonts w:ascii="Franklin Gothic Book" w:hAnsi="Franklin Gothic Book" w:cs="Tahoma"/>
          <w:bCs/>
        </w:rPr>
      </w:pPr>
      <w:r>
        <w:rPr>
          <w:rFonts w:ascii="Franklin Gothic Book" w:hAnsi="Franklin Gothic Book" w:cs="Tahoma"/>
          <w:bCs/>
        </w:rPr>
        <w:t xml:space="preserve">Graphical image representing the timeline of activities. Illustrates that we hare a little less than </w:t>
      </w:r>
      <w:proofErr w:type="gramStart"/>
      <w:r>
        <w:rPr>
          <w:rFonts w:ascii="Franklin Gothic Book" w:hAnsi="Franklin Gothic Book" w:cs="Tahoma"/>
          <w:bCs/>
        </w:rPr>
        <w:t>half way</w:t>
      </w:r>
      <w:proofErr w:type="gramEnd"/>
      <w:r>
        <w:rPr>
          <w:rFonts w:ascii="Franklin Gothic Book" w:hAnsi="Franklin Gothic Book" w:cs="Tahoma"/>
          <w:bCs/>
        </w:rPr>
        <w:t xml:space="preserve"> through the development process beginning the first public comment period. Second public comment period to begin in April 2025</w:t>
      </w:r>
    </w:p>
    <w:p w14:paraId="504A922E" w14:textId="49AFB5A8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4D8C937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7D6CB19" w14:textId="40F5485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6: </w:t>
      </w:r>
      <w:r w:rsidR="00782A63">
        <w:rPr>
          <w:rFonts w:ascii="Franklin Gothic Book" w:hAnsi="Franklin Gothic Book" w:cs="Tahoma"/>
          <w:bCs/>
          <w:sz w:val="22"/>
          <w:szCs w:val="22"/>
        </w:rPr>
        <w:t>Current Transportation System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BA7047B" w14:textId="2A2C602E" w:rsidR="00C013EC" w:rsidRPr="00C013EC" w:rsidRDefault="00C013EC" w:rsidP="00C013EC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Roadways &amp; Tolled Lanes</w:t>
      </w:r>
    </w:p>
    <w:p w14:paraId="0163E24A" w14:textId="77777777" w:rsidR="00C013EC" w:rsidRPr="00C013EC" w:rsidRDefault="00C013EC" w:rsidP="00C013EC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Freeways/Expressways</w:t>
      </w: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ab/>
      </w:r>
    </w:p>
    <w:p w14:paraId="6FECF13E" w14:textId="77777777" w:rsidR="00C013EC" w:rsidRPr="00C013EC" w:rsidRDefault="00C013EC" w:rsidP="00C013EC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Arterials</w:t>
      </w:r>
    </w:p>
    <w:p w14:paraId="6FEFD8D9" w14:textId="77777777" w:rsidR="00C013EC" w:rsidRPr="00C013EC" w:rsidRDefault="00C013EC" w:rsidP="00C013EC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Non-Motorized Facilities</w:t>
      </w:r>
    </w:p>
    <w:p w14:paraId="5F5EF5D7" w14:textId="77777777" w:rsidR="00C013EC" w:rsidRPr="00C013EC" w:rsidRDefault="00C013EC" w:rsidP="00C013EC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High-Capacity Transit</w:t>
      </w:r>
    </w:p>
    <w:p w14:paraId="590A206E" w14:textId="5BE0CAEF" w:rsidR="00C013EC" w:rsidRPr="00C013EC" w:rsidRDefault="00C013EC" w:rsidP="00C013EC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Metrorail</w:t>
      </w:r>
    </w:p>
    <w:p w14:paraId="748B084E" w14:textId="59D61B4F" w:rsidR="00C013EC" w:rsidRPr="00C013EC" w:rsidRDefault="00C013EC" w:rsidP="00C013EC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Light Rail/Streetcar</w:t>
      </w:r>
    </w:p>
    <w:p w14:paraId="14CA8B34" w14:textId="05E29E30" w:rsidR="00C013EC" w:rsidRPr="00C013EC" w:rsidRDefault="00C013EC" w:rsidP="00C013EC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Bus Rapid Transit</w:t>
      </w:r>
    </w:p>
    <w:p w14:paraId="28AF202D" w14:textId="61DB4DE9" w:rsidR="001D7095" w:rsidRPr="001D7095" w:rsidRDefault="00C013EC" w:rsidP="00C013EC">
      <w:pPr>
        <w:pStyle w:val="ListParagraph"/>
        <w:numPr>
          <w:ilvl w:val="1"/>
          <w:numId w:val="6"/>
        </w:num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  <w:r w:rsidRPr="00C013EC">
        <w:rPr>
          <w:rFonts w:ascii="Franklin Gothic Book" w:eastAsia="Times New Roman" w:hAnsi="Franklin Gothic Book" w:cs="Tahoma"/>
          <w:bCs/>
          <w:sz w:val="22"/>
          <w:szCs w:val="22"/>
        </w:rPr>
        <w:t>Commuter/Regional Rail</w:t>
      </w:r>
    </w:p>
    <w:p w14:paraId="6DB16239" w14:textId="300E528F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820FE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3A6EE3CD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7: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C013EC">
        <w:rPr>
          <w:rFonts w:ascii="Franklin Gothic Book" w:hAnsi="Franklin Gothic Book" w:cs="Tahoma"/>
          <w:bCs/>
          <w:sz w:val="22"/>
          <w:szCs w:val="22"/>
        </w:rPr>
        <w:t>Making Our Region Better</w:t>
      </w:r>
    </w:p>
    <w:p w14:paraId="57A335E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D8D78F7" w14:textId="77777777" w:rsidR="00C013EC" w:rsidRPr="00C013EC" w:rsidRDefault="00C013EC" w:rsidP="00C013E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Many multimodal transportation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options</w:t>
      </w:r>
      <w:proofErr w:type="gramEnd"/>
    </w:p>
    <w:p w14:paraId="676688E6" w14:textId="77777777" w:rsidR="00C013EC" w:rsidRPr="00C013EC" w:rsidRDefault="00C013EC" w:rsidP="00C013E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Travelling has its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challenges</w:t>
      </w:r>
      <w:proofErr w:type="gramEnd"/>
    </w:p>
    <w:p w14:paraId="639ED26B" w14:textId="77777777" w:rsidR="00C013EC" w:rsidRPr="00C013EC" w:rsidRDefault="00C013EC" w:rsidP="00C013E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Always try to make it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better</w:t>
      </w:r>
      <w:proofErr w:type="gramEnd"/>
    </w:p>
    <w:p w14:paraId="1BAF0FFA" w14:textId="5EFB3E2B" w:rsidR="009532C7" w:rsidRPr="00C013EC" w:rsidRDefault="00C013EC" w:rsidP="00C013EC">
      <w:pPr>
        <w:pStyle w:val="ListParagraph"/>
        <w:numPr>
          <w:ilvl w:val="0"/>
          <w:numId w:val="1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Serve residents, employees, visitors 25 years from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now</w:t>
      </w:r>
      <w:proofErr w:type="gramEnd"/>
    </w:p>
    <w:p w14:paraId="2604B965" w14:textId="66DF99C1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B1A6E83" w14:textId="77777777" w:rsidR="009532C7" w:rsidRPr="001D7095" w:rsidRDefault="009532C7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2707AF5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C013EC" w:rsidRPr="00C013EC">
        <w:rPr>
          <w:rFonts w:ascii="Franklin Gothic Book" w:hAnsi="Franklin Gothic Book" w:cs="Tahoma"/>
          <w:bCs/>
          <w:sz w:val="22"/>
          <w:szCs w:val="22"/>
        </w:rPr>
        <w:t>Transportation &amp; Air Quality</w:t>
      </w:r>
    </w:p>
    <w:p w14:paraId="786E468B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BD48165" w14:textId="1C459F58" w:rsidR="00C013EC" w:rsidRPr="00C013EC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Forecast changes in population, employment and land use affect travel demand and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patterns</w:t>
      </w:r>
      <w:proofErr w:type="gramEnd"/>
    </w:p>
    <w:p w14:paraId="22750571" w14:textId="77777777" w:rsidR="00C013EC" w:rsidRPr="00C013EC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Roadway/transit capacity changes impacts travel behavior and vehicle use</w:t>
      </w:r>
    </w:p>
    <w:p w14:paraId="7E5E7C5D" w14:textId="77777777" w:rsidR="00C013EC" w:rsidRPr="00C013EC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Fossil fueled motor vehicle emissions impact air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quality</w:t>
      </w:r>
      <w:proofErr w:type="gramEnd"/>
    </w:p>
    <w:p w14:paraId="09D60475" w14:textId="77777777" w:rsidR="00C013EC" w:rsidRPr="00C013EC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TPB measures attainment of future air quality goals via air quality conformity analysis</w:t>
      </w:r>
    </w:p>
    <w:p w14:paraId="7275BBF7" w14:textId="77777777" w:rsidR="00C013EC" w:rsidRPr="00C013EC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Robust modelling effort to conduct the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analysis</w:t>
      </w:r>
      <w:proofErr w:type="gramEnd"/>
    </w:p>
    <w:p w14:paraId="55CB46C6" w14:textId="29B8ED2A" w:rsidR="009532C7" w:rsidRPr="001D7095" w:rsidRDefault="00C013EC" w:rsidP="00C013EC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Determine if Visualize 2050 &amp; FY 2026-2029 TIP are consistent with EPA approved mobile source emissions budgets, contribute to annual emissions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reductions</w:t>
      </w:r>
      <w:proofErr w:type="gramEnd"/>
    </w:p>
    <w:p w14:paraId="00868024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6431477" w14:textId="458DA39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C013EC">
        <w:rPr>
          <w:rFonts w:ascii="Franklin Gothic Book" w:hAnsi="Franklin Gothic Book" w:cs="Tahoma"/>
          <w:bCs/>
          <w:sz w:val="22"/>
          <w:szCs w:val="22"/>
        </w:rPr>
        <w:t>Comment Period Outreach Methods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179DC7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Ambassadors – Sample web, news, social content, and graphics </w:t>
      </w:r>
    </w:p>
    <w:p w14:paraId="680CA2B3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Email announcements (TPB News subscription list, committee mailings)</w:t>
      </w:r>
    </w:p>
    <w:p w14:paraId="47CA8AD6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News ads – The Washington Post, AFRO News, Washington Hispanic </w:t>
      </w:r>
    </w:p>
    <w:p w14:paraId="403D1D77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News release – shared through COG/TPB e-news and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website</w:t>
      </w:r>
      <w:proofErr w:type="gramEnd"/>
    </w:p>
    <w:p w14:paraId="03A04363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Social media (Twitter, Facebook, LinkedIn)</w:t>
      </w:r>
    </w:p>
    <w:p w14:paraId="3645E8AF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Web - Visualize2050.org and mwcog.org\</w:t>
      </w:r>
      <w:proofErr w:type="spellStart"/>
      <w:r w:rsidRPr="00C013EC">
        <w:rPr>
          <w:rFonts w:ascii="Franklin Gothic Book" w:hAnsi="Franklin Gothic Book" w:cs="Tahoma"/>
          <w:bCs/>
          <w:sz w:val="22"/>
          <w:szCs w:val="22"/>
        </w:rPr>
        <w:t>tpbcomment</w:t>
      </w:r>
      <w:proofErr w:type="spellEnd"/>
    </w:p>
    <w:p w14:paraId="32FC527F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PDF flyer with comment period description, call to action, key dates, contact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info</w:t>
      </w:r>
      <w:proofErr w:type="gramEnd"/>
    </w:p>
    <w:p w14:paraId="14F5B293" w14:textId="77777777" w:rsidR="00C013EC" w:rsidRPr="00C013EC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Comment by Visualize 2050 </w:t>
      </w:r>
      <w:proofErr w:type="spellStart"/>
      <w:r w:rsidRPr="00C013EC">
        <w:rPr>
          <w:rFonts w:ascii="Franklin Gothic Book" w:hAnsi="Franklin Gothic Book" w:cs="Tahoma"/>
          <w:bCs/>
          <w:sz w:val="22"/>
          <w:szCs w:val="22"/>
        </w:rPr>
        <w:t>MetroQuest</w:t>
      </w:r>
      <w:proofErr w:type="spellEnd"/>
      <w:r w:rsidRPr="00C013EC">
        <w:rPr>
          <w:rFonts w:ascii="Franklin Gothic Book" w:hAnsi="Franklin Gothic Book" w:cs="Tahoma"/>
          <w:bCs/>
          <w:sz w:val="22"/>
          <w:szCs w:val="22"/>
        </w:rPr>
        <w:t> 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form</w:t>
      </w:r>
      <w:proofErr w:type="gramEnd"/>
    </w:p>
    <w:p w14:paraId="5BE5A3C8" w14:textId="30D05C1D" w:rsidR="009532C7" w:rsidRPr="001D7095" w:rsidRDefault="00C013EC" w:rsidP="00C013EC">
      <w:pPr>
        <w:pStyle w:val="ListParagraph"/>
        <w:numPr>
          <w:ilvl w:val="0"/>
          <w:numId w:val="1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Other ways to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comment:</w:t>
      </w:r>
      <w:proofErr w:type="gramEnd"/>
      <w:r w:rsidRPr="00C013EC">
        <w:rPr>
          <w:rFonts w:ascii="Franklin Gothic Book" w:hAnsi="Franklin Gothic Book" w:cs="Tahoma"/>
          <w:bCs/>
          <w:sz w:val="22"/>
          <w:szCs w:val="22"/>
        </w:rPr>
        <w:t xml:space="preserve"> email, phone, letter, March TPB meeting</w:t>
      </w:r>
    </w:p>
    <w:p w14:paraId="5DA6E658" w14:textId="3BAC455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AED8FFF" w14:textId="77777777" w:rsidR="001D7095" w:rsidRPr="009532C7" w:rsidRDefault="001D7095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D19E72" w14:textId="4A2974D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1D7095">
        <w:rPr>
          <w:rFonts w:ascii="Franklin Gothic Book" w:hAnsi="Franklin Gothic Book" w:cs="Tahoma"/>
          <w:bCs/>
          <w:sz w:val="22"/>
          <w:szCs w:val="22"/>
        </w:rPr>
        <w:t>1</w:t>
      </w:r>
      <w:r w:rsidR="00C013EC">
        <w:rPr>
          <w:rFonts w:ascii="Franklin Gothic Book" w:hAnsi="Franklin Gothic Book" w:cs="Tahoma"/>
          <w:bCs/>
          <w:sz w:val="22"/>
          <w:szCs w:val="22"/>
        </w:rPr>
        <w:t>0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013EC">
        <w:rPr>
          <w:rFonts w:ascii="Franklin Gothic Book" w:hAnsi="Franklin Gothic Book" w:cs="Tahoma"/>
          <w:bCs/>
          <w:sz w:val="22"/>
          <w:szCs w:val="22"/>
        </w:rPr>
        <w:t>Comment Period Materials</w:t>
      </w:r>
    </w:p>
    <w:p w14:paraId="59B86F1A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078EC52" w14:textId="77777777" w:rsidR="00C013EC" w:rsidRPr="00C013EC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Hlk524075959"/>
      <w:r w:rsidRPr="00C013EC">
        <w:rPr>
          <w:rFonts w:ascii="Franklin Gothic Book" w:hAnsi="Franklin Gothic Book" w:cs="Tahoma"/>
          <w:bCs/>
          <w:sz w:val="22"/>
          <w:szCs w:val="22"/>
        </w:rPr>
        <w:t>Visualize 2050 Website</w:t>
      </w:r>
    </w:p>
    <w:p w14:paraId="0A0EB17A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Air Quality Conformity Project Input Table </w:t>
      </w:r>
    </w:p>
    <w:p w14:paraId="70BB44D2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Air Quality Conformity Scope of Work</w:t>
      </w:r>
    </w:p>
    <w:p w14:paraId="5B4C32A2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spellStart"/>
      <w:r w:rsidRPr="00C013EC">
        <w:rPr>
          <w:rFonts w:ascii="Franklin Gothic Book" w:hAnsi="Franklin Gothic Book" w:cs="Tahoma"/>
          <w:bCs/>
          <w:sz w:val="22"/>
          <w:szCs w:val="22"/>
        </w:rPr>
        <w:t>Metroquest</w:t>
      </w:r>
      <w:proofErr w:type="spellEnd"/>
      <w:r w:rsidRPr="00C013EC">
        <w:rPr>
          <w:rFonts w:ascii="Franklin Gothic Book" w:hAnsi="Franklin Gothic Book" w:cs="Tahoma"/>
          <w:bCs/>
          <w:sz w:val="22"/>
          <w:szCs w:val="22"/>
        </w:rPr>
        <w:t xml:space="preserve"> Comment Form (English and Spanish)</w:t>
      </w:r>
    </w:p>
    <w:p w14:paraId="153F64EB" w14:textId="77777777" w:rsidR="00C013EC" w:rsidRP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Other Methods to Provide Input (email, phone, writing, in-person at TPB meeting)</w:t>
      </w:r>
    </w:p>
    <w:p w14:paraId="3C0F4CB6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Project Summary Table</w:t>
      </w:r>
    </w:p>
    <w:p w14:paraId="31FEA494" w14:textId="77777777" w:rsidR="00C013EC" w:rsidRP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Detailed Project Information Packets</w:t>
      </w:r>
    </w:p>
    <w:p w14:paraId="10FCA007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State Responses to Last Comment Period</w:t>
      </w:r>
    </w:p>
    <w:p w14:paraId="173456D4" w14:textId="4693F35A" w:rsidR="009532C7" w:rsidRPr="001D7095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COG Website</w:t>
      </w:r>
    </w:p>
    <w:p w14:paraId="59814E11" w14:textId="1721924E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bookmarkEnd w:id="0"/>
    <w:p w14:paraId="4A6EFEB0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AA290B3" w14:textId="4B43E18A" w:rsidR="001D7095" w:rsidRPr="009532C7" w:rsidRDefault="001D7095" w:rsidP="00C013E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C013EC"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013EC" w:rsidRPr="00C013EC">
        <w:rPr>
          <w:rFonts w:ascii="Franklin Gothic Book" w:hAnsi="Franklin Gothic Book" w:cs="Tahoma"/>
          <w:bCs/>
          <w:sz w:val="22"/>
          <w:szCs w:val="22"/>
        </w:rPr>
        <w:t>Air Quality Conformity</w:t>
      </w:r>
      <w:r w:rsidR="00C013EC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C013EC" w:rsidRPr="00C013EC">
        <w:rPr>
          <w:rFonts w:ascii="Franklin Gothic Book" w:hAnsi="Franklin Gothic Book" w:cs="Tahoma"/>
          <w:bCs/>
          <w:sz w:val="22"/>
          <w:szCs w:val="22"/>
        </w:rPr>
        <w:t>Project Inputs Table</w:t>
      </w:r>
    </w:p>
    <w:p w14:paraId="0995FE85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3C3BB6" w14:textId="77777777" w:rsidR="00C013EC" w:rsidRPr="00C013EC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600+ segments of highway/transit regionally significant projects for coding in the travel demand model </w:t>
      </w:r>
    </w:p>
    <w:p w14:paraId="11CB770F" w14:textId="77777777" w:rsidR="00C013EC" w:rsidRPr="00C013EC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Used for air quality conformity analysis of Visualize 2050 &amp; FY 2026-2029 TIP</w:t>
      </w:r>
    </w:p>
    <w:p w14:paraId="45A327EE" w14:textId="77777777" w:rsidR="00C013EC" w:rsidRPr="00C013EC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Highlighting indicates changes from the current Visualize 2045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plan</w:t>
      </w:r>
      <w:proofErr w:type="gramEnd"/>
    </w:p>
    <w:p w14:paraId="1F3FB91E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Blue – strikethrough, not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continuing</w:t>
      </w:r>
      <w:proofErr w:type="gramEnd"/>
    </w:p>
    <w:p w14:paraId="6AAD7DB3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Yellow – updates, new projects/segments</w:t>
      </w:r>
    </w:p>
    <w:p w14:paraId="5A51F67A" w14:textId="1CBC3903" w:rsidR="001D7095" w:rsidRPr="001D7095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To be approved by TPB in May 2024</w:t>
      </w:r>
    </w:p>
    <w:p w14:paraId="15698F13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DA27CD5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43937EA" w14:textId="46F62382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C013EC">
        <w:rPr>
          <w:rFonts w:ascii="Franklin Gothic Book" w:hAnsi="Franklin Gothic Book" w:cs="Tahoma"/>
          <w:bCs/>
          <w:sz w:val="22"/>
          <w:szCs w:val="22"/>
        </w:rPr>
        <w:t>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013EC">
        <w:rPr>
          <w:rFonts w:ascii="Franklin Gothic Book" w:hAnsi="Franklin Gothic Book" w:cs="Tahoma"/>
          <w:bCs/>
          <w:sz w:val="22"/>
          <w:szCs w:val="22"/>
        </w:rPr>
        <w:t xml:space="preserve">Air Quality Conformity Scope of </w:t>
      </w:r>
      <w:proofErr w:type="spellStart"/>
      <w:r w:rsidR="00C013EC">
        <w:rPr>
          <w:rFonts w:ascii="Franklin Gothic Book" w:hAnsi="Franklin Gothic Book" w:cs="Tahoma"/>
          <w:bCs/>
          <w:sz w:val="22"/>
          <w:szCs w:val="22"/>
        </w:rPr>
        <w:t>WOrk</w:t>
      </w:r>
      <w:proofErr w:type="spellEnd"/>
    </w:p>
    <w:p w14:paraId="1222CA3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BB3D739" w14:textId="35B2AB1E" w:rsidR="001D7095" w:rsidRPr="001D7095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 xml:space="preserve">Visualize 2050 &amp; FY 2026-2029 TIP air quality analysis must comply with Air Quality Conformity (AQC) </w:t>
      </w:r>
      <w:proofErr w:type="gramStart"/>
      <w:r w:rsidRPr="00C013EC">
        <w:rPr>
          <w:rFonts w:ascii="Franklin Gothic Book" w:hAnsi="Franklin Gothic Book" w:cs="Tahoma"/>
          <w:bCs/>
          <w:sz w:val="22"/>
          <w:szCs w:val="22"/>
        </w:rPr>
        <w:t>regulations</w:t>
      </w:r>
      <w:proofErr w:type="gramEnd"/>
    </w:p>
    <w:p w14:paraId="1D54979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148A60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8D4225" w14:textId="1182626E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 w:rsidR="00C013EC">
        <w:rPr>
          <w:rFonts w:ascii="Franklin Gothic Book" w:hAnsi="Franklin Gothic Book" w:cs="Tahoma"/>
          <w:bCs/>
          <w:sz w:val="22"/>
          <w:szCs w:val="22"/>
        </w:rPr>
        <w:t>13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013EC" w:rsidRPr="00C013EC">
        <w:rPr>
          <w:rFonts w:ascii="Franklin Gothic Book" w:hAnsi="Franklin Gothic Book" w:cs="Tahoma"/>
          <w:bCs/>
          <w:sz w:val="22"/>
          <w:szCs w:val="22"/>
        </w:rPr>
        <w:t>AQC Scope of Work – Policy &amp; Technical Approach</w:t>
      </w:r>
    </w:p>
    <w:p w14:paraId="452F309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69F2E8" w14:textId="77777777" w:rsidR="00C013EC" w:rsidRPr="00C013EC" w:rsidRDefault="00C013EC" w:rsidP="00C013E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lastRenderedPageBreak/>
        <w:t>Summary of Key Elements</w:t>
      </w:r>
    </w:p>
    <w:p w14:paraId="5298820D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Network Inputs</w:t>
      </w:r>
    </w:p>
    <w:p w14:paraId="3FC20969" w14:textId="77777777" w:rsidR="00C013EC" w:rsidRP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Land Activity</w:t>
      </w:r>
    </w:p>
    <w:p w14:paraId="142B29B0" w14:textId="11EFCF13" w:rsidR="001D7095" w:rsidRPr="001D7095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C013EC">
        <w:rPr>
          <w:rFonts w:ascii="Franklin Gothic Book" w:hAnsi="Franklin Gothic Book" w:cs="Tahoma"/>
          <w:bCs/>
          <w:sz w:val="22"/>
          <w:szCs w:val="22"/>
        </w:rPr>
        <w:t>HOV/HOT</w:t>
      </w:r>
    </w:p>
    <w:p w14:paraId="56EAF198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E4337F4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C92BCFF" w14:textId="77376ED4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C013EC">
        <w:rPr>
          <w:rFonts w:ascii="Franklin Gothic Book" w:hAnsi="Franklin Gothic Book" w:cs="Tahoma"/>
          <w:bCs/>
          <w:sz w:val="22"/>
          <w:szCs w:val="22"/>
        </w:rPr>
        <w:t>4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C013EC">
        <w:rPr>
          <w:rFonts w:ascii="Franklin Gothic Book" w:hAnsi="Franklin Gothic Book" w:cs="Tahoma"/>
          <w:bCs/>
          <w:sz w:val="22"/>
          <w:szCs w:val="22"/>
        </w:rPr>
        <w:t>Air Quality Conformity Analysis Diagram</w:t>
      </w:r>
    </w:p>
    <w:p w14:paraId="64694C4A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4A5AE2F" w14:textId="645E4926" w:rsidR="001D7095" w:rsidRDefault="00C013EC" w:rsidP="001D7095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Graphical diagram summarizing process for conducting air quality conformity analysis. </w:t>
      </w:r>
    </w:p>
    <w:p w14:paraId="17D86D62" w14:textId="447D543C" w:rsid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Inputs</w:t>
      </w:r>
    </w:p>
    <w:p w14:paraId="28949775" w14:textId="0FB151B9" w:rsid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Demographic data</w:t>
      </w:r>
    </w:p>
    <w:p w14:paraId="253125BC" w14:textId="4500C2CD" w:rsid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Roadways</w:t>
      </w:r>
    </w:p>
    <w:p w14:paraId="6CAD47C2" w14:textId="43E0262C" w:rsid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Transit System</w:t>
      </w:r>
    </w:p>
    <w:p w14:paraId="75B50BD2" w14:textId="0F25458B" w:rsid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Vehicle Fleet Information</w:t>
      </w:r>
    </w:p>
    <w:p w14:paraId="53259F8F" w14:textId="0AB910A8" w:rsidR="00C013EC" w:rsidRDefault="00C013EC" w:rsidP="00C013E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Travel Statistics</w:t>
      </w:r>
    </w:p>
    <w:p w14:paraId="140973D9" w14:textId="56A7285D" w:rsid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Analysis question: Are the total ozone emissions from Visualize 2050 below EPA-approved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levels</w:t>
      </w:r>
      <w:proofErr w:type="gramEnd"/>
    </w:p>
    <w:p w14:paraId="7245D734" w14:textId="33063662" w:rsidR="00C013EC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Analysis using Travel Demand Forecasting Model and Motor Vehicle Emissions Model</w:t>
      </w:r>
    </w:p>
    <w:p w14:paraId="79EB0EF4" w14:textId="3D554900" w:rsidR="00C013EC" w:rsidRPr="001D7095" w:rsidRDefault="00C013EC" w:rsidP="00C013E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Test: Pass or Fail</w:t>
      </w:r>
    </w:p>
    <w:p w14:paraId="23182C99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173B628" w14:textId="77777777" w:rsidR="001D7095" w:rsidRPr="009532C7" w:rsidRDefault="001D7095" w:rsidP="001D7095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3583747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002953">
        <w:rPr>
          <w:rFonts w:ascii="Franklin Gothic Book" w:hAnsi="Franklin Gothic Book" w:cs="Tahoma"/>
          <w:bCs/>
          <w:sz w:val="22"/>
          <w:szCs w:val="22"/>
        </w:rPr>
        <w:t>5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proofErr w:type="spellStart"/>
      <w:r w:rsidR="00002953">
        <w:rPr>
          <w:rFonts w:ascii="Franklin Gothic Book" w:hAnsi="Franklin Gothic Book" w:cs="Tahoma"/>
          <w:bCs/>
          <w:sz w:val="22"/>
          <w:szCs w:val="22"/>
        </w:rPr>
        <w:t>Metroquest</w:t>
      </w:r>
      <w:proofErr w:type="spellEnd"/>
      <w:r w:rsidR="00002953">
        <w:rPr>
          <w:rFonts w:ascii="Franklin Gothic Book" w:hAnsi="Franklin Gothic Book" w:cs="Tahoma"/>
          <w:bCs/>
          <w:sz w:val="22"/>
          <w:szCs w:val="22"/>
        </w:rPr>
        <w:t xml:space="preserve"> Comment Form</w:t>
      </w:r>
    </w:p>
    <w:p w14:paraId="7986874D" w14:textId="39018EBB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CC1BB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Available at visualize2050.org</w:t>
      </w:r>
    </w:p>
    <w:p w14:paraId="0E20F3C9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Consists of five screens:</w:t>
      </w:r>
    </w:p>
    <w:p w14:paraId="2135191F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Introduction</w:t>
      </w:r>
    </w:p>
    <w:p w14:paraId="0D118F75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Transportation &amp; Air Quality</w:t>
      </w:r>
    </w:p>
    <w:p w14:paraId="75B94322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Two project screens</w:t>
      </w:r>
    </w:p>
    <w:p w14:paraId="32F7912B" w14:textId="5F516211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Wrap-Up</w:t>
      </w:r>
    </w:p>
    <w:p w14:paraId="46F8A0D1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F2438EE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F7B2685" w14:textId="1F6BD106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>
        <w:rPr>
          <w:rFonts w:ascii="Franklin Gothic Book" w:hAnsi="Franklin Gothic Book" w:cs="Tahoma"/>
          <w:bCs/>
          <w:sz w:val="22"/>
          <w:szCs w:val="22"/>
        </w:rPr>
        <w:t>6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Regionally Significant for Air Quality Projects</w:t>
      </w:r>
    </w:p>
    <w:p w14:paraId="028163E2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CFDC047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Many transportation projects in the region will be included in the final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plan</w:t>
      </w:r>
      <w:proofErr w:type="gramEnd"/>
    </w:p>
    <w:p w14:paraId="2DC6601A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Smaller-scale roadway, bike, pedestrian, and transit projects; maintenance &amp; operations projects not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included</w:t>
      </w:r>
      <w:proofErr w:type="gramEnd"/>
    </w:p>
    <w:p w14:paraId="2E61861C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Focus for this comment period is capacity-impacting projects – adding or removing vehicle capacity, representing ~20% of regional expenditures in the financial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plan</w:t>
      </w:r>
      <w:proofErr w:type="gramEnd"/>
    </w:p>
    <w:p w14:paraId="38E184FB" w14:textId="6E62B0A4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Only focusing on a piece of the pie for this comment period</w:t>
      </w:r>
    </w:p>
    <w:p w14:paraId="3543E83C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CEDBE02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5B1483C" w14:textId="2688DEDE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>
        <w:rPr>
          <w:rFonts w:ascii="Franklin Gothic Book" w:hAnsi="Franklin Gothic Book" w:cs="Tahoma"/>
          <w:bCs/>
          <w:sz w:val="22"/>
          <w:szCs w:val="22"/>
        </w:rPr>
        <w:t>7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Regionally Significant for Air Quality Project Types</w:t>
      </w:r>
    </w:p>
    <w:p w14:paraId="3D2D01BC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2A85E45" w14:textId="117C57EE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Two charts representing the various types of regionally significant project. Includes infrastructure, programs, services, studies, administrative, and other for Roadway, Bike and Pedestrian, and Transit </w:t>
      </w:r>
    </w:p>
    <w:p w14:paraId="6B252122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827C193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08FB17" w14:textId="5D8D2F80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>
        <w:rPr>
          <w:rFonts w:ascii="Franklin Gothic Book" w:hAnsi="Franklin Gothic Book" w:cs="Tahoma"/>
          <w:bCs/>
          <w:sz w:val="22"/>
          <w:szCs w:val="22"/>
        </w:rPr>
        <w:t>8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Multimodal Access and Capacity Reduction Projects</w:t>
      </w:r>
    </w:p>
    <w:p w14:paraId="63956769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85DC4BE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Roadway Extension</w:t>
      </w:r>
    </w:p>
    <w:p w14:paraId="705190C0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Transit </w:t>
      </w:r>
    </w:p>
    <w:p w14:paraId="042B0CE4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HOV/HOT/Express Lanes </w:t>
      </w:r>
    </w:p>
    <w:p w14:paraId="75AD20FA" w14:textId="029A331D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Capacity Reduction</w:t>
      </w:r>
    </w:p>
    <w:p w14:paraId="00F8532E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E86CBAC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5D87938" w14:textId="13BAFD6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>
        <w:rPr>
          <w:rFonts w:ascii="Franklin Gothic Book" w:hAnsi="Franklin Gothic Book" w:cs="Tahoma"/>
          <w:bCs/>
          <w:sz w:val="22"/>
          <w:szCs w:val="22"/>
        </w:rPr>
        <w:t>9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General Purpose Roadway Projects</w:t>
      </w:r>
    </w:p>
    <w:p w14:paraId="7CAF0DDD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686A5DF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Roadway Widening/Grade Separation</w:t>
      </w:r>
    </w:p>
    <w:p w14:paraId="369646A3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Intersection/Interchange/Ramp Improvement</w:t>
      </w:r>
    </w:p>
    <w:p w14:paraId="3E20A0E6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 New/Widened Bridge</w:t>
      </w:r>
    </w:p>
    <w:p w14:paraId="62B3E426" w14:textId="04C96E8D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 Relocation/Reconstruction</w:t>
      </w:r>
    </w:p>
    <w:p w14:paraId="78532905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C734149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AD6DB69" w14:textId="231A3F74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20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Project Summary Table</w:t>
      </w:r>
    </w:p>
    <w:p w14:paraId="0FAC122E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7346192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Supplementary material to better understand the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projects</w:t>
      </w:r>
      <w:proofErr w:type="gramEnd"/>
    </w:p>
    <w:p w14:paraId="574229AE" w14:textId="5F901759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Project information packets with data received from agencies linked by project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name</w:t>
      </w:r>
      <w:proofErr w:type="gramEnd"/>
    </w:p>
    <w:p w14:paraId="60B3C66E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A33730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BF62539" w14:textId="3EB65144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Financial Considerations</w:t>
      </w:r>
    </w:p>
    <w:p w14:paraId="5CFEF46A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117BC60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Some projects have programmed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funding</w:t>
      </w:r>
      <w:proofErr w:type="gramEnd"/>
    </w:p>
    <w:p w14:paraId="76A27741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Other projects are reasonably anticipated to receive necessary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funding</w:t>
      </w:r>
      <w:proofErr w:type="gramEnd"/>
    </w:p>
    <w:p w14:paraId="51C5E449" w14:textId="1F3CEB6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All projects have been screened and are presented in this comment period because funding expectations are reasonable for inclusion in Visualize 2050</w:t>
      </w:r>
    </w:p>
    <w:p w14:paraId="2FD39F1C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Regionally significant projects without reasonably anticipated funding </w:t>
      </w:r>
    </w:p>
    <w:p w14:paraId="648BBFCC" w14:textId="7F1F87E2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will not be included in the conformity analysis,</w:t>
      </w:r>
    </w:p>
    <w:p w14:paraId="6049F203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will not be included in the financial plan, </w:t>
      </w:r>
    </w:p>
    <w:p w14:paraId="0FD6556E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will not be included in the Visualize 2050 plan for construction or implementation,</w:t>
      </w:r>
    </w:p>
    <w:p w14:paraId="2C980580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may be listed as a “study” and “not coded” in the conformity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table</w:t>
      </w:r>
      <w:proofErr w:type="gramEnd"/>
      <w:r w:rsidRPr="00002953">
        <w:rPr>
          <w:rFonts w:ascii="Franklin Gothic Book" w:hAnsi="Franklin Gothic Book" w:cs="Tahoma"/>
          <w:bCs/>
          <w:sz w:val="22"/>
          <w:szCs w:val="22"/>
        </w:rPr>
        <w:t> </w:t>
      </w:r>
    </w:p>
    <w:p w14:paraId="065BDEA0" w14:textId="5F17BD3D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Non-regionally significant projects (e.g., trails, intersections), state of good repair projects, and operations costs will be part of the overall financial plan required as part of the Visualize 2050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plan</w:t>
      </w:r>
      <w:proofErr w:type="gramEnd"/>
    </w:p>
    <w:p w14:paraId="0D7844C5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F2E639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6755FFD" w14:textId="09D96CAB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Implementation of TPB Priority Strategies</w:t>
      </w:r>
    </w:p>
    <w:p w14:paraId="1FF050DE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5725F8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Apply best practices to maintain the transportation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system</w:t>
      </w:r>
      <w:proofErr w:type="gramEnd"/>
    </w:p>
    <w:p w14:paraId="10586E32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Apply the endorsed safety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strategies</w:t>
      </w:r>
      <w:proofErr w:type="gramEnd"/>
    </w:p>
    <w:p w14:paraId="2B882924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Increase frequency &amp; capacity of transit by expanding BRT/Transitways</w:t>
      </w:r>
    </w:p>
    <w:p w14:paraId="219F0DAA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Reduce travel times on all public transportation bus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services</w:t>
      </w:r>
      <w:proofErr w:type="gramEnd"/>
    </w:p>
    <w:p w14:paraId="6DDC0673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Move more people on Metrorail and commuter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rail</w:t>
      </w:r>
      <w:proofErr w:type="gramEnd"/>
    </w:p>
    <w:p w14:paraId="2CF065DC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Bring jobs/housing closer by focusing growth &amp; adding housing in ACs &amp; HCTs</w:t>
      </w:r>
    </w:p>
    <w:p w14:paraId="1D807AF9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Provide more telecommuting and other options for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commuting</w:t>
      </w:r>
      <w:proofErr w:type="gramEnd"/>
    </w:p>
    <w:p w14:paraId="64FA51F6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Expand express lanes, with rapid transit, &amp; allow carpool/vanpool ride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free</w:t>
      </w:r>
      <w:proofErr w:type="gramEnd"/>
    </w:p>
    <w:p w14:paraId="72272A59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Improve walk/bike access to transit, especially within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HCTs</w:t>
      </w:r>
      <w:proofErr w:type="gramEnd"/>
    </w:p>
    <w:p w14:paraId="63908C52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Complete the National Capital Trail Network</w:t>
      </w:r>
    </w:p>
    <w:p w14:paraId="3B640686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Implement Transportation Systems Management &amp; Operations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measures</w:t>
      </w:r>
      <w:proofErr w:type="gramEnd"/>
    </w:p>
    <w:p w14:paraId="075B0944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Apply effective technologies that advance the TPB’s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goals</w:t>
      </w:r>
      <w:proofErr w:type="gramEnd"/>
    </w:p>
    <w:p w14:paraId="4A7F2D3A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Convert vehicles to clean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fuels</w:t>
      </w:r>
      <w:proofErr w:type="gramEnd"/>
    </w:p>
    <w:p w14:paraId="7E19B0DC" w14:textId="0BF6D46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Develop and implement an electric vehicle charging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network</w:t>
      </w:r>
      <w:proofErr w:type="gramEnd"/>
    </w:p>
    <w:p w14:paraId="3AA2E8B9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C6E457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9826DD" w14:textId="7890084B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3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TPB Priority Strategy: Expand Express Lanes</w:t>
      </w:r>
    </w:p>
    <w:p w14:paraId="6D17C9A5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85A039A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Express Toll Lanes exist already on I-95,    I-495, I-66</w:t>
      </w:r>
    </w:p>
    <w:p w14:paraId="30492AD9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 xml:space="preserve">Additional Express Toll Lanes </w:t>
      </w:r>
      <w:proofErr w:type="gramStart"/>
      <w:r w:rsidRPr="00002953">
        <w:rPr>
          <w:rFonts w:ascii="Franklin Gothic Book" w:hAnsi="Franklin Gothic Book" w:cs="Tahoma"/>
          <w:bCs/>
          <w:sz w:val="22"/>
          <w:szCs w:val="22"/>
        </w:rPr>
        <w:t>proposed</w:t>
      </w:r>
      <w:proofErr w:type="gramEnd"/>
    </w:p>
    <w:p w14:paraId="01FDA313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MD I-495/ I-270 Y/I-270: ALB - I-370</w:t>
      </w:r>
    </w:p>
    <w:p w14:paraId="7A65B404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I-495 S. of Old Dominion Dr. - ALB</w:t>
      </w:r>
    </w:p>
    <w:p w14:paraId="2AB7EC6D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I-95/495 Springfield Int. - MD 210</w:t>
      </w:r>
    </w:p>
    <w:p w14:paraId="6CF5DC73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I-95 Turkeycock Run to Opitz Blvd.</w:t>
      </w:r>
    </w:p>
    <w:p w14:paraId="2F17133A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I-495 &amp; I-95 Truck Access</w:t>
      </w:r>
    </w:p>
    <w:p w14:paraId="3B922CEF" w14:textId="23495DD5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I-495 Toll Lane Ramps – Dulles Connector Rd. and Dulles Toll Rd.</w:t>
      </w:r>
    </w:p>
    <w:p w14:paraId="71D2B3A0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B41E30F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4A61A1B" w14:textId="63407338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4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002953">
        <w:rPr>
          <w:rFonts w:ascii="Franklin Gothic Book" w:hAnsi="Franklin Gothic Book" w:cs="Tahoma"/>
          <w:bCs/>
          <w:sz w:val="22"/>
          <w:szCs w:val="22"/>
        </w:rPr>
        <w:t>TPB Priority Strategy: Expand BRT/Transitways</w:t>
      </w:r>
    </w:p>
    <w:p w14:paraId="1344431F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CC9D0F2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37 current miles of BRT and streetcars</w:t>
      </w:r>
    </w:p>
    <w:p w14:paraId="55619207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Existing Bus Rapid Transit/Transitways:</w:t>
      </w:r>
    </w:p>
    <w:p w14:paraId="1B2C06A3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proofErr w:type="spellStart"/>
      <w:r w:rsidRPr="00002953">
        <w:rPr>
          <w:rFonts w:ascii="Franklin Gothic Book" w:hAnsi="Franklin Gothic Book" w:cs="Tahoma"/>
          <w:bCs/>
          <w:sz w:val="22"/>
          <w:szCs w:val="22"/>
        </w:rPr>
        <w:t>Metroway</w:t>
      </w:r>
      <w:proofErr w:type="spellEnd"/>
      <w:r w:rsidRPr="00002953">
        <w:rPr>
          <w:rFonts w:ascii="Franklin Gothic Book" w:hAnsi="Franklin Gothic Book" w:cs="Tahoma"/>
          <w:bCs/>
          <w:sz w:val="22"/>
          <w:szCs w:val="22"/>
        </w:rPr>
        <w:t> on US 1 in Arlington/Alexandria</w:t>
      </w:r>
    </w:p>
    <w:p w14:paraId="03076ADE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Flash on US 29 in Montgomery County</w:t>
      </w:r>
    </w:p>
    <w:p w14:paraId="4E9B7D58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Additional proposed BRT/Transitways:</w:t>
      </w:r>
    </w:p>
    <w:p w14:paraId="3E2489BD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MD - MD 355, North Bethesda Transitway, Randolph Road, Viers Mill Road</w:t>
      </w:r>
    </w:p>
    <w:p w14:paraId="1AC4F04E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DC - Georgia Ave. and Southern Ave. Bus Lanes</w:t>
      </w:r>
    </w:p>
    <w:p w14:paraId="3CCFB06A" w14:textId="10438F3F" w:rsid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VA - Crystal City Transitway Expansion, Duke Street, Landmark Transit Center, US 1 - Richmond Hwy BRT, West End Transitway, Potomac Ave. Bus Lane</w:t>
      </w:r>
    </w:p>
    <w:p w14:paraId="3FB0E486" w14:textId="77777777" w:rsidR="00002953" w:rsidRPr="00002953" w:rsidRDefault="00002953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Plus, proposed rail projects:</w:t>
      </w:r>
    </w:p>
    <w:p w14:paraId="003BBBDB" w14:textId="77777777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MD - Purple Line</w:t>
      </w:r>
    </w:p>
    <w:p w14:paraId="29D1DFEF" w14:textId="0EA26580" w:rsidR="00002953" w:rsidRPr="00002953" w:rsidRDefault="00002953" w:rsidP="00002953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002953">
        <w:rPr>
          <w:rFonts w:ascii="Franklin Gothic Book" w:hAnsi="Franklin Gothic Book" w:cs="Tahoma"/>
          <w:bCs/>
          <w:sz w:val="22"/>
          <w:szCs w:val="22"/>
        </w:rPr>
        <w:t>DC - Benning Road Streetcar Ext.</w:t>
      </w:r>
    </w:p>
    <w:p w14:paraId="74DAC9AE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EA17677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738E97" w14:textId="0293FCCF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5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AC60AC" w:rsidRPr="00AC60AC">
        <w:rPr>
          <w:rFonts w:ascii="Franklin Gothic Book" w:hAnsi="Franklin Gothic Book" w:cs="Tahoma"/>
          <w:bCs/>
          <w:sz w:val="22"/>
          <w:szCs w:val="22"/>
        </w:rPr>
        <w:t>Federal Planning Factors Alignment w/TPB Goals</w:t>
      </w:r>
    </w:p>
    <w:p w14:paraId="2D31F86C" w14:textId="77777777" w:rsidR="00002953" w:rsidRDefault="00002953" w:rsidP="0000295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1140F3D" w14:textId="561BC1BF" w:rsidR="00002953" w:rsidRDefault="00AC60AC" w:rsidP="0000295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Federal Planning Factors</w:t>
      </w:r>
    </w:p>
    <w:p w14:paraId="3D1E55CE" w14:textId="0BD33D27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Support the economic vitality of the metropolitan area, especially by enabling global competitiveness, productivity, and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efficiency</w:t>
      </w:r>
      <w:proofErr w:type="gramEnd"/>
    </w:p>
    <w:p w14:paraId="5DAE7F40" w14:textId="2141A27B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TPB Goals: </w:t>
      </w:r>
      <w:r w:rsidRPr="00AC60AC">
        <w:rPr>
          <w:rFonts w:ascii="Franklin Gothic Book" w:hAnsi="Franklin Gothic Book" w:cs="Tahoma"/>
          <w:bCs/>
          <w:sz w:val="22"/>
          <w:szCs w:val="22"/>
        </w:rPr>
        <w:t>Livable and Prosperous Communities</w:t>
      </w:r>
    </w:p>
    <w:p w14:paraId="5B7F9917" w14:textId="2251C8E4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Increase the safety of the transportation system for motorized and nonmotorized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users</w:t>
      </w:r>
      <w:proofErr w:type="gramEnd"/>
    </w:p>
    <w:p w14:paraId="422E8AC4" w14:textId="516294B8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Safety</w:t>
      </w:r>
    </w:p>
    <w:p w14:paraId="67CE6448" w14:textId="29460370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Increase the security of the transportation system for motorized and nonmotorized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users</w:t>
      </w:r>
      <w:proofErr w:type="gramEnd"/>
    </w:p>
    <w:p w14:paraId="742AB43D" w14:textId="795012DE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Safety</w:t>
      </w:r>
    </w:p>
    <w:p w14:paraId="59E78011" w14:textId="7C15EB0C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Increase the accessibility and mobility of people and for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freight</w:t>
      </w:r>
      <w:proofErr w:type="gramEnd"/>
    </w:p>
    <w:p w14:paraId="5F138139" w14:textId="46D3A498" w:rsidR="00AC60AC" w:rsidRPr="00AC60AC" w:rsidRDefault="00AC60AC" w:rsidP="009048E5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TPB Goals:</w:t>
      </w: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Affordable and Convenient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Reliability</w:t>
      </w:r>
    </w:p>
    <w:p w14:paraId="601987D8" w14:textId="542281F4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Protect and enhance the environment, promote energy conservation, improve the quality of life, and promote consistency between transportation improvements and state and local planned growth, housing, and economic development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patterns</w:t>
      </w:r>
      <w:proofErr w:type="gramEnd"/>
    </w:p>
    <w:p w14:paraId="6C4A9A61" w14:textId="02E8C278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Environmental Protection</w:t>
      </w:r>
    </w:p>
    <w:p w14:paraId="6EF34DDF" w14:textId="31F88350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Enhance the integration and connectivity of the transportation system, across and between modes, for people and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freight</w:t>
      </w:r>
      <w:proofErr w:type="gramEnd"/>
    </w:p>
    <w:p w14:paraId="4DCA8899" w14:textId="5D7EC2BD" w:rsidR="00AC60AC" w:rsidRPr="00AC60AC" w:rsidRDefault="00AC60AC" w:rsidP="00DF50D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TPB Goals:</w:t>
      </w: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Affordable and Convenient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Reliability</w:t>
      </w:r>
    </w:p>
    <w:p w14:paraId="325295E3" w14:textId="29574FCF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Promote efficient system management and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operation</w:t>
      </w:r>
      <w:proofErr w:type="gramEnd"/>
    </w:p>
    <w:p w14:paraId="406465E1" w14:textId="172A885D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Efficient System Operations</w:t>
      </w:r>
    </w:p>
    <w:p w14:paraId="57A9C899" w14:textId="116CBEB7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Emphasize the preservation of the existing transportation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system</w:t>
      </w:r>
      <w:proofErr w:type="gramEnd"/>
    </w:p>
    <w:p w14:paraId="709F535E" w14:textId="034C0034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Maintenance</w:t>
      </w:r>
    </w:p>
    <w:p w14:paraId="2A5317AC" w14:textId="402303A9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Improve the resiliency and reliability of the transportation system and reduce or mitigate stormwater impacts of surface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transportation</w:t>
      </w:r>
      <w:proofErr w:type="gramEnd"/>
    </w:p>
    <w:p w14:paraId="7AF9C76B" w14:textId="20A14AAC" w:rsidR="00AC60AC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Resilient Region</w:t>
      </w:r>
    </w:p>
    <w:p w14:paraId="231A112E" w14:textId="32C19CFC" w:rsid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Enhance travel and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tourism</w:t>
      </w:r>
      <w:proofErr w:type="gramEnd"/>
    </w:p>
    <w:p w14:paraId="7D8F82B0" w14:textId="77DC633E" w:rsidR="00AC60AC" w:rsidRPr="00002953" w:rsidRDefault="00AC60AC" w:rsidP="00AC60AC">
      <w:pPr>
        <w:pStyle w:val="ListParagraph"/>
        <w:numPr>
          <w:ilvl w:val="2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TPB Goals:</w:t>
      </w:r>
      <w:r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Pr="00AC60AC">
        <w:rPr>
          <w:rFonts w:ascii="Franklin Gothic Book" w:hAnsi="Franklin Gothic Book" w:cs="Tahoma"/>
          <w:bCs/>
          <w:sz w:val="22"/>
          <w:szCs w:val="22"/>
        </w:rPr>
        <w:t>Livable and Prosperous Communities</w:t>
      </w:r>
    </w:p>
    <w:p w14:paraId="3A2A409E" w14:textId="344B9F14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CDA62F8" w14:textId="77777777" w:rsidR="00002953" w:rsidRDefault="0000295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D99F595" w14:textId="2091178E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6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Projects Alignment with TPB Goals</w:t>
      </w:r>
    </w:p>
    <w:p w14:paraId="666F0994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691CD37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More than 75% of projects support TPB’s reliability, affordability &amp; convenience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goals</w:t>
      </w:r>
      <w:proofErr w:type="gramEnd"/>
    </w:p>
    <w:p w14:paraId="427A8AAD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Transit projects often noted support for TPB’s livable &amp; prosperous communities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goal</w:t>
      </w:r>
      <w:proofErr w:type="gramEnd"/>
    </w:p>
    <w:p w14:paraId="7226E490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Road projects – improving safety nearly always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noted</w:t>
      </w:r>
      <w:proofErr w:type="gramEnd"/>
    </w:p>
    <w:p w14:paraId="4CCF524C" w14:textId="591B60B9" w:rsid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See the Project Summary Table for individual project alignment with TPB goals as indicated by TPB member agencies for projects to be completed in 2026 or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later</w:t>
      </w:r>
      <w:proofErr w:type="gramEnd"/>
    </w:p>
    <w:p w14:paraId="615BCC71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F7061AF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D5BF7F1" w14:textId="153E4F0A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7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AC60AC">
        <w:rPr>
          <w:rFonts w:ascii="Franklin Gothic Book" w:hAnsi="Franklin Gothic Book" w:cs="Tahoma"/>
          <w:bCs/>
          <w:sz w:val="22"/>
          <w:szCs w:val="22"/>
        </w:rPr>
        <w:t>Additional Information on Visualize 2050 Projects</w:t>
      </w:r>
    </w:p>
    <w:p w14:paraId="7C43D56A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350A6D9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Agencies have undertaken a thorough review of their local and TPB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priorities</w:t>
      </w:r>
      <w:proofErr w:type="gramEnd"/>
    </w:p>
    <w:p w14:paraId="681DA241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States have responded to 2023 public comments via letters to the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TPB</w:t>
      </w:r>
      <w:proofErr w:type="gramEnd"/>
    </w:p>
    <w:p w14:paraId="53E68622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Some Visualize 2045 projects are no longer priorities and have not been resubmitted for Visualize 2050</w:t>
      </w:r>
    </w:p>
    <w:p w14:paraId="4DB49D1E" w14:textId="77777777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Some new projects not in Visualize 2045</w:t>
      </w:r>
    </w:p>
    <w:p w14:paraId="24FC6EC7" w14:textId="77777777" w:rsidR="00AC60AC" w:rsidRP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DC 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>17 new projects</w:t>
      </w:r>
    </w:p>
    <w:p w14:paraId="03328AD5" w14:textId="77777777" w:rsidR="00AC60AC" w:rsidRP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MD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>0 new projects</w:t>
      </w:r>
    </w:p>
    <w:p w14:paraId="4504CC3E" w14:textId="77777777" w:rsidR="00AC60AC" w:rsidRPr="00AC60AC" w:rsidRDefault="00AC60AC" w:rsidP="00AC60AC">
      <w:pPr>
        <w:pStyle w:val="ListParagraph"/>
        <w:numPr>
          <w:ilvl w:val="1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VA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>19 new projects</w:t>
      </w:r>
    </w:p>
    <w:p w14:paraId="515F4BA7" w14:textId="641C4F93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Implementing agencies report that most air quality conformity-impacting projects include bicycle/pedestrian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accommodations</w:t>
      </w:r>
      <w:proofErr w:type="gramEnd"/>
    </w:p>
    <w:p w14:paraId="26FF56AA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1B26F54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ADD8EB" w14:textId="19CD5CE1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>
        <w:rPr>
          <w:rFonts w:ascii="Franklin Gothic Book" w:hAnsi="Franklin Gothic Book" w:cs="Tahoma"/>
          <w:bCs/>
          <w:sz w:val="22"/>
          <w:szCs w:val="22"/>
        </w:rPr>
        <w:t>8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Pr="00AC60AC">
        <w:rPr>
          <w:rFonts w:ascii="Franklin Gothic Book" w:hAnsi="Franklin Gothic Book" w:cs="Tahoma"/>
          <w:bCs/>
          <w:sz w:val="22"/>
          <w:szCs w:val="22"/>
        </w:rPr>
        <w:t>Visualize 2045 Projects Continuing</w:t>
      </w:r>
    </w:p>
    <w:p w14:paraId="7D67A4C8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E18D009" w14:textId="0D746B29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Visualize 2045 Major Highway Projects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 xml:space="preserve">65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continuing</w:t>
      </w:r>
      <w:proofErr w:type="gramEnd"/>
    </w:p>
    <w:p w14:paraId="78F1C44E" w14:textId="463FC54F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Visualize 2045 Major HOT/HOV/Toll Lane Projects 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 xml:space="preserve">10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continuing</w:t>
      </w:r>
      <w:proofErr w:type="gramEnd"/>
    </w:p>
    <w:p w14:paraId="0C297EB3" w14:textId="715CB6E3" w:rsidR="00AC60AC" w:rsidRPr="00AC60AC" w:rsidRDefault="00AC60AC" w:rsidP="00AC60AC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Visualize 2045 Major Transit Projects 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 xml:space="preserve">22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continuing</w:t>
      </w:r>
      <w:proofErr w:type="gramEnd"/>
    </w:p>
    <w:p w14:paraId="69A2D71B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891474D" w14:textId="77777777" w:rsidR="00AC60AC" w:rsidRDefault="00AC60A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F2009F7" w14:textId="1044C80A" w:rsidR="00AC60AC" w:rsidRP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Slide 2</w:t>
      </w:r>
      <w:r>
        <w:rPr>
          <w:rFonts w:ascii="Franklin Gothic Book" w:hAnsi="Franklin Gothic Book" w:cs="Tahoma"/>
          <w:bCs/>
          <w:sz w:val="22"/>
          <w:szCs w:val="22"/>
        </w:rPr>
        <w:t>9 through 31</w:t>
      </w: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: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Acknowledgements</w:t>
      </w:r>
      <w:proofErr w:type="gramEnd"/>
    </w:p>
    <w:p w14:paraId="5B2AF922" w14:textId="77777777" w:rsidR="00AC60AC" w:rsidRP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F6503B6" w14:textId="67437475" w:rsidR="00AC60AC" w:rsidRDefault="00AC60AC" w:rsidP="00AC60AC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DC and MD</w:t>
      </w:r>
    </w:p>
    <w:p w14:paraId="6386A046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District Department of Transportation – Mark Rawlings, Samuel Brooks, Madeline Hairfield, Aaron Goldbeck, Megan Kanagy, Jennifer Klein</w:t>
      </w:r>
    </w:p>
    <w:p w14:paraId="3EBF8F65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Maryland Department of Transportation – Kari Snyder</w:t>
      </w:r>
    </w:p>
    <w:p w14:paraId="55ECFA18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lastRenderedPageBreak/>
        <w:t>Maryland Transit Administration – Stephen Miller</w:t>
      </w:r>
    </w:p>
    <w:p w14:paraId="7F4353D7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State Highway Administration – David Rodgers, Darren Bean, David Schlie</w:t>
      </w:r>
    </w:p>
    <w:p w14:paraId="54F4593D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Frederick County – Mark Mishler</w:t>
      </w:r>
    </w:p>
    <w:p w14:paraId="3D1055FF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Montgomery County – Gary Erenrich</w:t>
      </w:r>
    </w:p>
    <w:p w14:paraId="2E2F44A4" w14:textId="36BFF380" w:rsid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Prince George’s County – Victor Weissberg, Erv Beckert, Noah Donoghue, Aisha Khan, James Hairston, Natalie Roach</w:t>
      </w:r>
    </w:p>
    <w:p w14:paraId="68268326" w14:textId="4D3B0CDB" w:rsidR="00AC60AC" w:rsidRDefault="00AC60AC" w:rsidP="00AC60AC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Virginia </w:t>
      </w:r>
    </w:p>
    <w:p w14:paraId="4A6A659E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Virginia Department of Transportation – Amir Shahpar, Regina Moore, Dale Castellow</w:t>
      </w:r>
    </w:p>
    <w:p w14:paraId="6EC93131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Virginia Department of Rail &amp; Public Transportation – Amy Garbarini</w:t>
      </w:r>
    </w:p>
    <w:p w14:paraId="377119FD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Potomac &amp; Rappahannock Transportation Commission – Cynthia Porter-Johnson</w:t>
      </w:r>
    </w:p>
    <w:p w14:paraId="08FEDC0D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Virginia Passenger Rail Authority – Naomi Klein, Christine Fix</w:t>
      </w:r>
    </w:p>
    <w:p w14:paraId="344C89BC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Virginia Railway Express – Christine Hoeffner, Nick Ruiz</w:t>
      </w:r>
    </w:p>
    <w:p w14:paraId="774CAECF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Arlington County – Dan Malouff</w:t>
      </w:r>
    </w:p>
    <w:p w14:paraId="53DB4045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Fairfax County – Malcolm Watson, Brent Riddle, Calvin Lam, Christina Cain,                Paul Doku, Ray Johnson, Smitha Chellappa</w:t>
      </w:r>
    </w:p>
    <w:p w14:paraId="1D3D87B0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Loudoun County – Lou </w:t>
      </w:r>
      <w:proofErr w:type="spellStart"/>
      <w:r w:rsidRPr="00AC60AC">
        <w:rPr>
          <w:rFonts w:ascii="Franklin Gothic Book" w:hAnsi="Franklin Gothic Book" w:cs="Tahoma"/>
          <w:bCs/>
          <w:sz w:val="22"/>
          <w:szCs w:val="22"/>
        </w:rPr>
        <w:t>Mosurak</w:t>
      </w:r>
      <w:proofErr w:type="spellEnd"/>
      <w:r w:rsidRPr="00AC60AC">
        <w:rPr>
          <w:rFonts w:ascii="Franklin Gothic Book" w:hAnsi="Franklin Gothic Book" w:cs="Tahoma"/>
          <w:bCs/>
          <w:sz w:val="22"/>
          <w:szCs w:val="22"/>
        </w:rPr>
        <w:t>, Rob Donaldson, Robert S Brown</w:t>
      </w:r>
    </w:p>
    <w:p w14:paraId="2BCE870B" w14:textId="5C8B1EA3" w:rsid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Prince William County – Ben Carbajal, Meagan Landis</w:t>
      </w:r>
    </w:p>
    <w:p w14:paraId="12432510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City of Alexandria – Philippe Simon, Jennifer Monaco, Silas Sullivan</w:t>
      </w:r>
    </w:p>
    <w:p w14:paraId="34F19D8C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City of Fairfax – Chloe Ritter</w:t>
      </w:r>
    </w:p>
    <w:p w14:paraId="3435C952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City of Falls Church – Kerri </w:t>
      </w:r>
      <w:proofErr w:type="spellStart"/>
      <w:r w:rsidRPr="00AC60AC">
        <w:rPr>
          <w:rFonts w:ascii="Franklin Gothic Book" w:hAnsi="Franklin Gothic Book" w:cs="Tahoma"/>
          <w:bCs/>
          <w:sz w:val="22"/>
          <w:szCs w:val="22"/>
        </w:rPr>
        <w:t>Oddenino</w:t>
      </w:r>
      <w:proofErr w:type="spellEnd"/>
    </w:p>
    <w:p w14:paraId="0E7910E1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City of Manassas – Brian Leckie, Chloe Del Homme</w:t>
      </w:r>
    </w:p>
    <w:p w14:paraId="55894328" w14:textId="77777777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City of Manassas Park – Steven Hall</w:t>
      </w:r>
    </w:p>
    <w:p w14:paraId="6AE327E1" w14:textId="0DE230F2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Town of Leesburg – Christine Roe, Renee </w:t>
      </w:r>
      <w:proofErr w:type="spellStart"/>
      <w:r w:rsidRPr="00AC60AC">
        <w:rPr>
          <w:rFonts w:ascii="Franklin Gothic Book" w:hAnsi="Franklin Gothic Book" w:cs="Tahoma"/>
          <w:bCs/>
          <w:sz w:val="22"/>
          <w:szCs w:val="22"/>
        </w:rPr>
        <w:t>Lafollete</w:t>
      </w:r>
      <w:proofErr w:type="spellEnd"/>
    </w:p>
    <w:p w14:paraId="70365118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5C1F3F5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9C315FF" w14:textId="200A7768" w:rsidR="00AC60AC" w:rsidRP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32</w:t>
      </w: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Next Steps</w:t>
      </w:r>
    </w:p>
    <w:p w14:paraId="6C2F991F" w14:textId="77777777" w:rsidR="00AC60AC" w:rsidRP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1F22CA9" w14:textId="77777777" w:rsidR="00AC60AC" w:rsidRDefault="00AC60AC" w:rsidP="00951556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March </w:t>
      </w:r>
      <w:r w:rsidRPr="00AC60AC">
        <w:rPr>
          <w:rFonts w:ascii="Franklin Gothic Book" w:hAnsi="Franklin Gothic Book" w:cs="Tahoma"/>
          <w:bCs/>
          <w:sz w:val="22"/>
          <w:szCs w:val="22"/>
        </w:rPr>
        <w:tab/>
        <w:t>Spread the Word! Public Comment Period from March 1-30, 2024</w:t>
      </w:r>
    </w:p>
    <w:p w14:paraId="6F0F0B2C" w14:textId="5F8D7C9B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visualize2050.org</w:t>
      </w:r>
    </w:p>
    <w:p w14:paraId="58123A21" w14:textId="77777777" w:rsid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 xml:space="preserve">Agencies also review the information and provide TPB staff any </w:t>
      </w:r>
      <w:proofErr w:type="gramStart"/>
      <w:r w:rsidRPr="00AC60AC">
        <w:rPr>
          <w:rFonts w:ascii="Franklin Gothic Book" w:hAnsi="Franklin Gothic Book" w:cs="Tahoma"/>
          <w:bCs/>
          <w:sz w:val="22"/>
          <w:szCs w:val="22"/>
        </w:rPr>
        <w:t>corrections</w:t>
      </w:r>
      <w:proofErr w:type="gramEnd"/>
    </w:p>
    <w:p w14:paraId="5BF8E676" w14:textId="6C8F7F44" w:rsidR="00AC60AC" w:rsidRPr="00AC60AC" w:rsidRDefault="00AC60AC" w:rsidP="00AC60AC">
      <w:pPr>
        <w:pStyle w:val="ListParagraph"/>
        <w:numPr>
          <w:ilvl w:val="1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Upcoming TPB Work Session and Meeting</w:t>
      </w:r>
    </w:p>
    <w:p w14:paraId="76AE186D" w14:textId="77777777" w:rsidR="00AC60AC" w:rsidRPr="00AC60AC" w:rsidRDefault="00AC60AC" w:rsidP="00AC60AC">
      <w:pPr>
        <w:pStyle w:val="ListParagraph"/>
        <w:numPr>
          <w:ilvl w:val="2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Thursday, March 21, 2024 – TPB Work Session at 10:30 a.m.</w:t>
      </w:r>
    </w:p>
    <w:p w14:paraId="0FEC0C74" w14:textId="77777777" w:rsidR="00AC60AC" w:rsidRPr="00AC60AC" w:rsidRDefault="00AC60AC" w:rsidP="00AC60AC">
      <w:pPr>
        <w:pStyle w:val="ListParagraph"/>
        <w:numPr>
          <w:ilvl w:val="2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Thursday, March 21, 2024 – TPB Meeting at noon</w:t>
      </w:r>
    </w:p>
    <w:p w14:paraId="6DA6858B" w14:textId="77A74B82" w:rsidR="00AC60AC" w:rsidRPr="00AC60AC" w:rsidRDefault="00AC60AC" w:rsidP="00AC60AC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April Comment Period Results</w:t>
      </w:r>
    </w:p>
    <w:p w14:paraId="285E29AC" w14:textId="33381073" w:rsidR="00AC60AC" w:rsidRPr="00AC60AC" w:rsidRDefault="00AC60AC" w:rsidP="00AC60AC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May TPB action on Air Quality Conformity Scope of Work and Project Inputs</w:t>
      </w:r>
    </w:p>
    <w:p w14:paraId="79123105" w14:textId="55D3771E" w:rsidR="00AC60AC" w:rsidRDefault="00AC60AC" w:rsidP="00AC60AC">
      <w:pPr>
        <w:pStyle w:val="ListParagraph"/>
        <w:numPr>
          <w:ilvl w:val="0"/>
          <w:numId w:val="1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AC60AC">
        <w:rPr>
          <w:rFonts w:ascii="Franklin Gothic Book" w:hAnsi="Franklin Gothic Book" w:cs="Tahoma"/>
          <w:bCs/>
          <w:sz w:val="22"/>
          <w:szCs w:val="22"/>
        </w:rPr>
        <w:t>TPB staff begin performance and air quality analysis of Visualize 2050 and the FY 2026-2029 TIP</w:t>
      </w:r>
    </w:p>
    <w:p w14:paraId="3EE567B0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FB65E3E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1FF8F15" w14:textId="454DE528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33: Close</w:t>
      </w:r>
    </w:p>
    <w:p w14:paraId="7C5F35A7" w14:textId="77777777" w:rsidR="00AC60AC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6A8FC55" w14:textId="0420E0DD" w:rsidR="009532C7" w:rsidRPr="009532C7" w:rsidRDefault="00AC60AC" w:rsidP="00AC60AC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Cristina Finch, AICP</w:t>
      </w:r>
    </w:p>
    <w:p w14:paraId="6BE4F9E1" w14:textId="34648A0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Transportation Plann</w:t>
      </w:r>
      <w:r w:rsidR="00AC60AC">
        <w:rPr>
          <w:rFonts w:ascii="Franklin Gothic Book" w:hAnsi="Franklin Gothic Book" w:cs="Tahoma"/>
          <w:bCs/>
          <w:sz w:val="22"/>
          <w:szCs w:val="22"/>
        </w:rPr>
        <w:t>ing Manager</w:t>
      </w:r>
    </w:p>
    <w:p w14:paraId="4A5324FF" w14:textId="4EBE6CC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(202) 962-33</w:t>
      </w:r>
      <w:r w:rsidR="00AC60AC">
        <w:rPr>
          <w:rFonts w:ascii="Franklin Gothic Book" w:hAnsi="Franklin Gothic Book" w:cs="Tahoma"/>
          <w:bCs/>
          <w:sz w:val="22"/>
          <w:szCs w:val="22"/>
        </w:rPr>
        <w:t>35</w:t>
      </w:r>
    </w:p>
    <w:p w14:paraId="7A67BCE3" w14:textId="7078C12A" w:rsidR="00962F6A" w:rsidRPr="009532C7" w:rsidRDefault="00AC60AC" w:rsidP="00AC60AC">
      <w:pPr>
        <w:spacing w:after="0" w:line="240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cfinch</w:t>
      </w:r>
      <w:r w:rsidR="009532C7" w:rsidRPr="009532C7">
        <w:rPr>
          <w:rFonts w:ascii="Franklin Gothic Book" w:hAnsi="Franklin Gothic Book" w:cs="Tahoma"/>
          <w:bCs/>
          <w:sz w:val="22"/>
          <w:szCs w:val="22"/>
        </w:rPr>
        <w:t>@mwcog.org</w:t>
      </w:r>
    </w:p>
    <w:sectPr w:rsidR="00ED3D25" w:rsidRPr="009532C7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DF8"/>
    <w:multiLevelType w:val="hybridMultilevel"/>
    <w:tmpl w:val="168C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37B56"/>
    <w:multiLevelType w:val="hybridMultilevel"/>
    <w:tmpl w:val="C7F6B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567"/>
    <w:multiLevelType w:val="hybridMultilevel"/>
    <w:tmpl w:val="2B9C45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36C6"/>
    <w:multiLevelType w:val="hybridMultilevel"/>
    <w:tmpl w:val="0158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729"/>
    <w:multiLevelType w:val="hybridMultilevel"/>
    <w:tmpl w:val="69A4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981"/>
    <w:multiLevelType w:val="hybridMultilevel"/>
    <w:tmpl w:val="C79AF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04895"/>
    <w:multiLevelType w:val="hybridMultilevel"/>
    <w:tmpl w:val="EB52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A5E5F"/>
    <w:multiLevelType w:val="hybridMultilevel"/>
    <w:tmpl w:val="7136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33539"/>
    <w:multiLevelType w:val="hybridMultilevel"/>
    <w:tmpl w:val="389C3D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6EE2F92"/>
    <w:multiLevelType w:val="hybridMultilevel"/>
    <w:tmpl w:val="881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F1F9D"/>
    <w:multiLevelType w:val="hybridMultilevel"/>
    <w:tmpl w:val="02DE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625B"/>
    <w:multiLevelType w:val="hybridMultilevel"/>
    <w:tmpl w:val="EE1A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E5601"/>
    <w:multiLevelType w:val="hybridMultilevel"/>
    <w:tmpl w:val="7B3A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0611"/>
    <w:multiLevelType w:val="hybridMultilevel"/>
    <w:tmpl w:val="D5C0E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A91238"/>
    <w:multiLevelType w:val="hybridMultilevel"/>
    <w:tmpl w:val="276A6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7500"/>
    <w:multiLevelType w:val="hybridMultilevel"/>
    <w:tmpl w:val="3EAA67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244100">
    <w:abstractNumId w:val="1"/>
  </w:num>
  <w:num w:numId="2" w16cid:durableId="920870007">
    <w:abstractNumId w:val="11"/>
  </w:num>
  <w:num w:numId="3" w16cid:durableId="184250362">
    <w:abstractNumId w:val="3"/>
  </w:num>
  <w:num w:numId="4" w16cid:durableId="137891879">
    <w:abstractNumId w:val="15"/>
  </w:num>
  <w:num w:numId="5" w16cid:durableId="1634213510">
    <w:abstractNumId w:val="16"/>
  </w:num>
  <w:num w:numId="6" w16cid:durableId="1631083297">
    <w:abstractNumId w:val="12"/>
  </w:num>
  <w:num w:numId="7" w16cid:durableId="1745251992">
    <w:abstractNumId w:val="2"/>
  </w:num>
  <w:num w:numId="8" w16cid:durableId="1628001359">
    <w:abstractNumId w:val="9"/>
  </w:num>
  <w:num w:numId="9" w16cid:durableId="1134369336">
    <w:abstractNumId w:val="7"/>
  </w:num>
  <w:num w:numId="10" w16cid:durableId="597712936">
    <w:abstractNumId w:val="10"/>
  </w:num>
  <w:num w:numId="11" w16cid:durableId="1854416824">
    <w:abstractNumId w:val="14"/>
  </w:num>
  <w:num w:numId="12" w16cid:durableId="1341541301">
    <w:abstractNumId w:val="6"/>
  </w:num>
  <w:num w:numId="13" w16cid:durableId="518666473">
    <w:abstractNumId w:val="4"/>
  </w:num>
  <w:num w:numId="14" w16cid:durableId="1287278874">
    <w:abstractNumId w:val="5"/>
  </w:num>
  <w:num w:numId="15" w16cid:durableId="66807859">
    <w:abstractNumId w:val="13"/>
  </w:num>
  <w:num w:numId="16" w16cid:durableId="1388142631">
    <w:abstractNumId w:val="0"/>
  </w:num>
  <w:num w:numId="17" w16cid:durableId="17844228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02953"/>
    <w:rsid w:val="00012D41"/>
    <w:rsid w:val="00023646"/>
    <w:rsid w:val="00071FB3"/>
    <w:rsid w:val="000E2DEF"/>
    <w:rsid w:val="00137A19"/>
    <w:rsid w:val="001C1F4F"/>
    <w:rsid w:val="001D7095"/>
    <w:rsid w:val="00231E60"/>
    <w:rsid w:val="002563BE"/>
    <w:rsid w:val="00260FC6"/>
    <w:rsid w:val="002A7FC3"/>
    <w:rsid w:val="002C4AE3"/>
    <w:rsid w:val="002D184F"/>
    <w:rsid w:val="00332A81"/>
    <w:rsid w:val="00354DE0"/>
    <w:rsid w:val="00391B8C"/>
    <w:rsid w:val="003B2E76"/>
    <w:rsid w:val="003E14B2"/>
    <w:rsid w:val="00417689"/>
    <w:rsid w:val="00450B54"/>
    <w:rsid w:val="004E251B"/>
    <w:rsid w:val="00505D14"/>
    <w:rsid w:val="005509DF"/>
    <w:rsid w:val="00570014"/>
    <w:rsid w:val="005B6DB0"/>
    <w:rsid w:val="00644310"/>
    <w:rsid w:val="0069440F"/>
    <w:rsid w:val="006C2D07"/>
    <w:rsid w:val="00736AC2"/>
    <w:rsid w:val="00782A63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32C7"/>
    <w:rsid w:val="00962F6A"/>
    <w:rsid w:val="009C00E5"/>
    <w:rsid w:val="00A2120A"/>
    <w:rsid w:val="00A37845"/>
    <w:rsid w:val="00A51829"/>
    <w:rsid w:val="00A63929"/>
    <w:rsid w:val="00A82932"/>
    <w:rsid w:val="00A96DB0"/>
    <w:rsid w:val="00AC60AC"/>
    <w:rsid w:val="00AE7BF3"/>
    <w:rsid w:val="00B154E8"/>
    <w:rsid w:val="00B62FC0"/>
    <w:rsid w:val="00B83F51"/>
    <w:rsid w:val="00B8569F"/>
    <w:rsid w:val="00BD326E"/>
    <w:rsid w:val="00BE27D4"/>
    <w:rsid w:val="00C013EC"/>
    <w:rsid w:val="00C55061"/>
    <w:rsid w:val="00CB12B3"/>
    <w:rsid w:val="00CD2B6D"/>
    <w:rsid w:val="00D04E1D"/>
    <w:rsid w:val="00D07983"/>
    <w:rsid w:val="00D26A3F"/>
    <w:rsid w:val="00D8175D"/>
    <w:rsid w:val="00E07BED"/>
    <w:rsid w:val="00EF18E0"/>
    <w:rsid w:val="00EF19DC"/>
    <w:rsid w:val="00F73CA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AC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Sergio Ritacco</cp:lastModifiedBy>
  <cp:revision>6</cp:revision>
  <dcterms:created xsi:type="dcterms:W3CDTF">2018-06-07T16:56:00Z</dcterms:created>
  <dcterms:modified xsi:type="dcterms:W3CDTF">2024-03-07T15:45:00Z</dcterms:modified>
</cp:coreProperties>
</file>