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66F4AD4" w14:textId="29FC8C6F" w:rsidR="00CA16E8" w:rsidRPr="00F01ADF" w:rsidRDefault="00957592" w:rsidP="00E60E57">
      <w:pPr>
        <w:ind w:left="2160"/>
        <w:rPr>
          <w:b/>
          <w:sz w:val="22"/>
          <w:szCs w:val="22"/>
          <w:u w:val="single"/>
        </w:rPr>
      </w:pPr>
      <w:r w:rsidRPr="00F01AD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F4ADB" wp14:editId="166F4ADC">
                <wp:simplePos x="0" y="0"/>
                <wp:positionH relativeFrom="column">
                  <wp:posOffset>-485775</wp:posOffset>
                </wp:positionH>
                <wp:positionV relativeFrom="paragraph">
                  <wp:posOffset>-39370</wp:posOffset>
                </wp:positionV>
                <wp:extent cx="1371600" cy="38265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82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F4AE9" w14:textId="77777777" w:rsidR="00957592" w:rsidRPr="000A1DA8" w:rsidRDefault="00957592" w:rsidP="005D52C3">
                            <w:pPr>
                              <w:spacing w:line="276" w:lineRule="auto"/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t>District of Columbia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Bladensburg*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Bowie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Charles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br/>
                              <w:t>College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Frederick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Frederick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Gaithersburg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Greenbelt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Montgomery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Prince George’s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Rockville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Takoma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Alexandria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Arlington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Fairfax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Fairfax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Falls Church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Loudoun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Manassas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Manassas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Prince William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*Adjunct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8.25pt;margin-top:-3.1pt;width:108pt;height:30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" stroked="f">
                <v:textbox style="mso-fit-shape-to-text:t">
                  <w:txbxContent>
                    <w:p w:rsidR="00957592" w:rsidRPr="000A1DA8" w:rsidRDefault="00957592" w:rsidP="005D52C3">
                      <w:pPr>
                        <w:spacing w:line="276" w:lineRule="auto"/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</w:pP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t>District of Columbia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Bladensburg*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Bowie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Charles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br/>
                        <w:t>College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Frederick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Frederick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Gaithersburg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Greenbelt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Montgomery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Prince George’s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Rockville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Takoma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Alexandria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Arlington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Fairfax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Fairfax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Falls Church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Loudoun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Manassas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Manassas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Prince William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*Adjunct Member</w:t>
                      </w:r>
                    </w:p>
                  </w:txbxContent>
                </v:textbox>
              </v:shape>
            </w:pict>
          </mc:Fallback>
        </mc:AlternateContent>
      </w:r>
      <w:r w:rsidR="00F01ADF" w:rsidRPr="00F01ADF">
        <w:rPr>
          <w:b/>
          <w:sz w:val="22"/>
          <w:szCs w:val="22"/>
          <w:u w:val="single"/>
        </w:rPr>
        <w:t xml:space="preserve">COG </w:t>
      </w:r>
      <w:r w:rsidR="00017AC5">
        <w:rPr>
          <w:b/>
          <w:sz w:val="22"/>
          <w:szCs w:val="22"/>
          <w:u w:val="single"/>
        </w:rPr>
        <w:t>Fire Chiefs Committee</w:t>
      </w:r>
    </w:p>
    <w:p w14:paraId="1E6F207E" w14:textId="283E4822" w:rsidR="00F01ADF" w:rsidRDefault="00F01ADF" w:rsidP="00F01AD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8620954" w14:textId="5BDD3905" w:rsidR="00F01ADF" w:rsidRDefault="00F01ADF" w:rsidP="00F01AD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3885BA6" w14:textId="1E8B1D0B" w:rsidR="00F01ADF" w:rsidRDefault="00F01ADF" w:rsidP="00F01ADF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01ADF">
        <w:rPr>
          <w:b/>
          <w:i/>
          <w:sz w:val="22"/>
          <w:szCs w:val="22"/>
        </w:rPr>
        <w:t>2014 Accomplishments:</w:t>
      </w:r>
    </w:p>
    <w:p w14:paraId="68813E3D" w14:textId="77777777" w:rsidR="003C15EA" w:rsidRPr="00F01ADF" w:rsidRDefault="003C15EA" w:rsidP="00F01ADF">
      <w:pPr>
        <w:rPr>
          <w:b/>
          <w:i/>
          <w:sz w:val="22"/>
          <w:szCs w:val="22"/>
        </w:rPr>
      </w:pPr>
    </w:p>
    <w:p w14:paraId="381065C3" w14:textId="5A3EFC35" w:rsidR="00F01ADF" w:rsidRDefault="00FC0467" w:rsidP="0063449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Coordinated with other disciplines to adopt </w:t>
      </w:r>
      <w:r w:rsidR="00555E87">
        <w:rPr>
          <w:sz w:val="22"/>
          <w:szCs w:val="22"/>
        </w:rPr>
        <w:t>a public safety-wide regional strategic voice communications plan and radio capabilities assessment</w:t>
      </w:r>
      <w:r>
        <w:rPr>
          <w:sz w:val="22"/>
          <w:szCs w:val="22"/>
        </w:rPr>
        <w:t xml:space="preserve"> that has yielded several recommendations for evolving current regional systems and practices. </w:t>
      </w:r>
    </w:p>
    <w:p w14:paraId="4894EC15" w14:textId="19F34FA4" w:rsidR="00F24986" w:rsidRDefault="00F24986" w:rsidP="0063449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Collaborat</w:t>
      </w:r>
      <w:r w:rsidR="00AC5ADE">
        <w:rPr>
          <w:sz w:val="22"/>
          <w:szCs w:val="22"/>
        </w:rPr>
        <w:t>ed</w:t>
      </w:r>
      <w:r>
        <w:rPr>
          <w:sz w:val="22"/>
          <w:szCs w:val="22"/>
        </w:rPr>
        <w:t xml:space="preserve"> with the Police Chiefs and Emergency Managers Committees in the</w:t>
      </w:r>
      <w:r w:rsidR="00AC5ADE">
        <w:rPr>
          <w:sz w:val="22"/>
          <w:szCs w:val="22"/>
        </w:rPr>
        <w:t xml:space="preserve"> regional application for and</w:t>
      </w:r>
      <w:r>
        <w:rPr>
          <w:sz w:val="22"/>
          <w:szCs w:val="22"/>
        </w:rPr>
        <w:t xml:space="preserve"> award </w:t>
      </w:r>
      <w:r w:rsidR="00AC5ADE">
        <w:rPr>
          <w:sz w:val="22"/>
          <w:szCs w:val="22"/>
        </w:rPr>
        <w:t xml:space="preserve">of </w:t>
      </w:r>
      <w:r>
        <w:rPr>
          <w:sz w:val="22"/>
          <w:szCs w:val="22"/>
        </w:rPr>
        <w:t>the Securing the Cities grant</w:t>
      </w:r>
      <w:r w:rsidR="00AC5ADE">
        <w:rPr>
          <w:sz w:val="22"/>
          <w:szCs w:val="22"/>
        </w:rPr>
        <w:t xml:space="preserve"> which </w:t>
      </w:r>
      <w:r w:rsidR="00AD63A4">
        <w:rPr>
          <w:sz w:val="22"/>
          <w:szCs w:val="22"/>
        </w:rPr>
        <w:t>provides funding to build upon the region’s capabilities to detect and protect against radiological and nuclear threats to the NCR.</w:t>
      </w:r>
    </w:p>
    <w:p w14:paraId="034C9B32" w14:textId="571392B5" w:rsidR="002A1587" w:rsidRDefault="002A1587" w:rsidP="0063449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Agreed to </w:t>
      </w:r>
      <w:r w:rsidR="00F670F5">
        <w:rPr>
          <w:sz w:val="22"/>
          <w:szCs w:val="22"/>
        </w:rPr>
        <w:t xml:space="preserve">initial </w:t>
      </w:r>
      <w:r>
        <w:rPr>
          <w:sz w:val="22"/>
          <w:szCs w:val="22"/>
        </w:rPr>
        <w:t xml:space="preserve">planning efforts </w:t>
      </w:r>
      <w:r w:rsidR="00F670F5">
        <w:rPr>
          <w:sz w:val="22"/>
          <w:szCs w:val="22"/>
        </w:rPr>
        <w:t>for</w:t>
      </w:r>
      <w:r>
        <w:rPr>
          <w:sz w:val="22"/>
          <w:szCs w:val="22"/>
        </w:rPr>
        <w:t xml:space="preserve"> bring</w:t>
      </w:r>
      <w:r w:rsidR="00F670F5">
        <w:rPr>
          <w:sz w:val="22"/>
          <w:szCs w:val="22"/>
        </w:rPr>
        <w:t>ing the</w:t>
      </w:r>
      <w:r>
        <w:rPr>
          <w:sz w:val="22"/>
          <w:szCs w:val="22"/>
        </w:rPr>
        <w:t xml:space="preserve"> region</w:t>
      </w:r>
      <w:r w:rsidR="00F670F5">
        <w:rPr>
          <w:sz w:val="22"/>
          <w:szCs w:val="22"/>
        </w:rPr>
        <w:t>al fire and rescue departments</w:t>
      </w:r>
      <w:r>
        <w:rPr>
          <w:sz w:val="22"/>
          <w:szCs w:val="22"/>
        </w:rPr>
        <w:t xml:space="preserve"> into compliance </w:t>
      </w:r>
      <w:r w:rsidR="00F670F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="00F670F5">
        <w:rPr>
          <w:sz w:val="22"/>
          <w:szCs w:val="22"/>
        </w:rPr>
        <w:t xml:space="preserve">the </w:t>
      </w:r>
      <w:r>
        <w:rPr>
          <w:sz w:val="22"/>
          <w:szCs w:val="22"/>
        </w:rPr>
        <w:t>n</w:t>
      </w:r>
      <w:r w:rsidR="00F670F5">
        <w:rPr>
          <w:sz w:val="22"/>
          <w:szCs w:val="22"/>
        </w:rPr>
        <w:t>ew recommended standard for self-contained breathing apparatus (SCBA) for fire fighters.</w:t>
      </w:r>
    </w:p>
    <w:p w14:paraId="32D8BA6C" w14:textId="2EC21EAB" w:rsidR="002A1587" w:rsidRDefault="00AA7B19" w:rsidP="0063449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Worked with the Police Chiefs and Emergency Managers Committees to f</w:t>
      </w:r>
      <w:r w:rsidR="00EC2F30">
        <w:rPr>
          <w:sz w:val="22"/>
          <w:szCs w:val="22"/>
        </w:rPr>
        <w:t>ormalize</w:t>
      </w:r>
      <w:r w:rsidR="002A15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="002A1587">
        <w:rPr>
          <w:sz w:val="22"/>
          <w:szCs w:val="22"/>
        </w:rPr>
        <w:t>written agreement to bring regional sharing of radio system information into compliance with FCC requirements</w:t>
      </w:r>
      <w:r>
        <w:rPr>
          <w:sz w:val="22"/>
          <w:szCs w:val="22"/>
        </w:rPr>
        <w:t>.</w:t>
      </w:r>
    </w:p>
    <w:p w14:paraId="0E47542F" w14:textId="6C06F626" w:rsidR="002A1587" w:rsidRDefault="008839E9" w:rsidP="0063449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Completed major strides in planning for the upcoming 2015 World Police and Fire Games that is being hosted by Fairfax County and will have a huge impact on the NCR.</w:t>
      </w:r>
    </w:p>
    <w:p w14:paraId="681CBFC8" w14:textId="77777777" w:rsidR="00F01ADF" w:rsidRDefault="00F01ADF" w:rsidP="00F01ADF">
      <w:pPr>
        <w:rPr>
          <w:sz w:val="22"/>
          <w:szCs w:val="22"/>
        </w:rPr>
      </w:pPr>
    </w:p>
    <w:p w14:paraId="31F6429C" w14:textId="4C46341F" w:rsidR="00F01ADF" w:rsidRPr="00F01ADF" w:rsidRDefault="00F01ADF" w:rsidP="00F01ADF">
      <w:pPr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1ADF">
        <w:rPr>
          <w:b/>
          <w:i/>
          <w:sz w:val="22"/>
          <w:szCs w:val="22"/>
        </w:rPr>
        <w:t>2015 Work Plan Priorities:</w:t>
      </w:r>
    </w:p>
    <w:p w14:paraId="5313B781" w14:textId="2E152565" w:rsidR="00F01ADF" w:rsidRDefault="00F01ADF" w:rsidP="00F01ADF">
      <w:pPr>
        <w:rPr>
          <w:sz w:val="22"/>
          <w:szCs w:val="22"/>
        </w:rPr>
      </w:pPr>
    </w:p>
    <w:p w14:paraId="1468767C" w14:textId="77777777" w:rsidR="00EC2F30" w:rsidRDefault="002A1587" w:rsidP="00FE4D9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Work with </w:t>
      </w:r>
      <w:r w:rsidR="00EC2F30">
        <w:rPr>
          <w:sz w:val="22"/>
          <w:szCs w:val="22"/>
        </w:rPr>
        <w:t>WMATA</w:t>
      </w:r>
      <w:r>
        <w:rPr>
          <w:sz w:val="22"/>
          <w:szCs w:val="22"/>
        </w:rPr>
        <w:t xml:space="preserve"> to</w:t>
      </w:r>
      <w:r w:rsidR="00EC2F30">
        <w:rPr>
          <w:sz w:val="22"/>
          <w:szCs w:val="22"/>
        </w:rPr>
        <w:t xml:space="preserve"> formalize ongoing communications testing, reporting/documentations, and resolution protocols between WMATA and jurisdictions in the Metro system.</w:t>
      </w:r>
    </w:p>
    <w:p w14:paraId="07F3DE00" w14:textId="6EA4AFD6" w:rsidR="002A1587" w:rsidRDefault="00EC2F30" w:rsidP="00FE4D9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Work with WMATA to develop an agreeable training plan and schedule for first responders in the region.</w:t>
      </w:r>
      <w:r w:rsidR="00046A91">
        <w:rPr>
          <w:sz w:val="22"/>
          <w:szCs w:val="22"/>
        </w:rPr>
        <w:t xml:space="preserve"> </w:t>
      </w:r>
    </w:p>
    <w:p w14:paraId="31986072" w14:textId="4E308E4F" w:rsidR="002A1587" w:rsidRDefault="002A1587" w:rsidP="00FE4D9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Implement interim strategy for maintaining interoperable communications as work begins on establishing a long-term regional strategic encryption plan</w:t>
      </w:r>
      <w:r w:rsidR="00AF1AA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2804CBB" w14:textId="46B7ED2C" w:rsidR="00FC0467" w:rsidRDefault="00AF1AA1" w:rsidP="00FE4D9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Finalize all necessary </w:t>
      </w:r>
      <w:r w:rsidR="00FC0467">
        <w:rPr>
          <w:sz w:val="22"/>
          <w:szCs w:val="22"/>
        </w:rPr>
        <w:t>plan</w:t>
      </w:r>
      <w:r>
        <w:rPr>
          <w:sz w:val="22"/>
          <w:szCs w:val="22"/>
        </w:rPr>
        <w:t>s</w:t>
      </w:r>
      <w:r w:rsidR="00FC0467">
        <w:rPr>
          <w:sz w:val="22"/>
          <w:szCs w:val="22"/>
        </w:rPr>
        <w:t xml:space="preserve"> for</w:t>
      </w:r>
      <w:r>
        <w:rPr>
          <w:sz w:val="22"/>
          <w:szCs w:val="22"/>
        </w:rPr>
        <w:t xml:space="preserve"> the</w:t>
      </w:r>
      <w:r w:rsidR="00FC0467">
        <w:rPr>
          <w:sz w:val="22"/>
          <w:szCs w:val="22"/>
        </w:rPr>
        <w:t xml:space="preserve"> 2015 World Police and Fire Game</w:t>
      </w:r>
      <w:r>
        <w:rPr>
          <w:sz w:val="22"/>
          <w:szCs w:val="22"/>
        </w:rPr>
        <w:t>s.</w:t>
      </w:r>
    </w:p>
    <w:p w14:paraId="4F66242D" w14:textId="244BE71D" w:rsidR="00F01ADF" w:rsidRDefault="00335D76" w:rsidP="00FE4D9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Collabor</w:t>
      </w:r>
      <w:r w:rsidR="00C01905">
        <w:rPr>
          <w:sz w:val="22"/>
          <w:szCs w:val="22"/>
        </w:rPr>
        <w:t>ate with the Police Chiefs Committee to adopt a new five-year</w:t>
      </w:r>
      <w:r>
        <w:rPr>
          <w:sz w:val="22"/>
          <w:szCs w:val="22"/>
        </w:rPr>
        <w:t xml:space="preserve"> strategic plan for</w:t>
      </w:r>
      <w:r w:rsidR="00C01905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C01905">
        <w:rPr>
          <w:sz w:val="22"/>
          <w:szCs w:val="22"/>
        </w:rPr>
        <w:t xml:space="preserve">region’s </w:t>
      </w:r>
      <w:r>
        <w:rPr>
          <w:sz w:val="22"/>
          <w:szCs w:val="22"/>
        </w:rPr>
        <w:t>bomb squads</w:t>
      </w:r>
      <w:r w:rsidR="00C01905">
        <w:rPr>
          <w:sz w:val="22"/>
          <w:szCs w:val="22"/>
        </w:rPr>
        <w:t>.</w:t>
      </w:r>
    </w:p>
    <w:p w14:paraId="7DA68FC1" w14:textId="5BC48F99" w:rsidR="002A1587" w:rsidRDefault="002A1587" w:rsidP="00FE4D9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Continue work on identifying and documenting regional capabilities</w:t>
      </w:r>
      <w:r w:rsidR="00EC2F30">
        <w:rPr>
          <w:sz w:val="22"/>
          <w:szCs w:val="22"/>
        </w:rPr>
        <w:t xml:space="preserve"> </w:t>
      </w:r>
      <w:r>
        <w:rPr>
          <w:sz w:val="22"/>
          <w:szCs w:val="22"/>
        </w:rPr>
        <w:t>in order to better inform strategy for addressing existing gaps</w:t>
      </w:r>
      <w:r w:rsidR="00C01905">
        <w:rPr>
          <w:sz w:val="22"/>
          <w:szCs w:val="22"/>
        </w:rPr>
        <w:t>.</w:t>
      </w:r>
    </w:p>
    <w:p w14:paraId="030D8416" w14:textId="1EC5C79C" w:rsidR="00FC0467" w:rsidRDefault="00FC0467" w:rsidP="00FE4D9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Work with other public safety disciplines to design and implement a more comprehensive regional training program</w:t>
      </w:r>
      <w:r w:rsidR="00C01905">
        <w:rPr>
          <w:sz w:val="22"/>
          <w:szCs w:val="22"/>
        </w:rPr>
        <w:t>.</w:t>
      </w:r>
    </w:p>
    <w:p w14:paraId="5B16CC95" w14:textId="3CB685F0" w:rsidR="00F01ADF" w:rsidRDefault="00F01ADF" w:rsidP="00F01A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69F5290" w14:textId="77777777" w:rsidR="00F01ADF" w:rsidRDefault="00F01ADF" w:rsidP="00F01ADF">
      <w:pPr>
        <w:rPr>
          <w:sz w:val="22"/>
          <w:szCs w:val="22"/>
        </w:rPr>
      </w:pPr>
    </w:p>
    <w:p w14:paraId="102114A7" w14:textId="1555E9A4" w:rsidR="00F01ADF" w:rsidRDefault="00F01ADF" w:rsidP="00F01AD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6F4ADA" w14:textId="25CF23D7" w:rsidR="00CA16E8" w:rsidRPr="00CA16E8" w:rsidRDefault="00AF1AA1" w:rsidP="00AF1A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CA16E8" w:rsidRPr="00CA16E8" w:rsidSect="009575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4ADF" w14:textId="77777777" w:rsidR="001C6180" w:rsidRDefault="001C6180" w:rsidP="00D61078">
      <w:r>
        <w:separator/>
      </w:r>
    </w:p>
  </w:endnote>
  <w:endnote w:type="continuationSeparator" w:id="0">
    <w:p w14:paraId="166F4AE0" w14:textId="77777777" w:rsidR="001C6180" w:rsidRDefault="001C6180" w:rsidP="00D6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7D29F" w14:textId="77777777" w:rsidR="00D93412" w:rsidRDefault="00D934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F4AE3" w14:textId="77777777" w:rsidR="005B4556" w:rsidRPr="005B4556" w:rsidRDefault="005B4556" w:rsidP="005B4556">
    <w:pPr>
      <w:pStyle w:val="Footer"/>
      <w:jc w:val="center"/>
      <w:rPr>
        <w:rFonts w:ascii="Myriad Pro" w:hAnsi="Myriad Pro"/>
      </w:rPr>
    </w:pPr>
    <w:r>
      <w:t xml:space="preserve"> </w:t>
    </w:r>
    <w:r w:rsidRPr="005B4556">
      <w:rPr>
        <w:rFonts w:ascii="Myriad Pro" w:hAnsi="Myriad Pro"/>
      </w:rPr>
      <w:t>777 North Capitol Street, NE, Suite 300 Washington, D.C. 20002</w:t>
    </w:r>
  </w:p>
  <w:p w14:paraId="166F4AE4" w14:textId="77777777" w:rsidR="005B4556" w:rsidRPr="005B4556" w:rsidRDefault="005B4556" w:rsidP="005B4556">
    <w:pPr>
      <w:pStyle w:val="Footer"/>
      <w:jc w:val="center"/>
      <w:rPr>
        <w:rFonts w:ascii="Myriad Pro" w:hAnsi="Myriad Pro"/>
      </w:rPr>
    </w:pPr>
    <w:r w:rsidRPr="005B4556">
      <w:rPr>
        <w:rFonts w:ascii="Myriad Pro" w:hAnsi="Myriad Pro"/>
      </w:rPr>
      <w:t>202.962.3200 (Phone)     202.962.2301 (Fax)     202.962.3213 (TDD)</w:t>
    </w:r>
  </w:p>
  <w:p w14:paraId="166F4AE5" w14:textId="77777777" w:rsidR="005B4556" w:rsidRPr="005B4556" w:rsidRDefault="005B4556" w:rsidP="005B4556">
    <w:pPr>
      <w:pStyle w:val="Footer"/>
      <w:jc w:val="center"/>
      <w:rPr>
        <w:rFonts w:ascii="Myriad Pro" w:hAnsi="Myriad Pro"/>
      </w:rPr>
    </w:pPr>
    <w:r w:rsidRPr="005B4556">
      <w:rPr>
        <w:rFonts w:ascii="Myriad Pro" w:hAnsi="Myriad Pro"/>
      </w:rPr>
      <w:t>mwcog</w:t>
    </w:r>
    <w:r w:rsidR="00885A04">
      <w:rPr>
        <w:rFonts w:ascii="Myriad Pro" w:hAnsi="Myriad Pro"/>
      </w:rPr>
      <w:t>.org</w:t>
    </w:r>
  </w:p>
  <w:p w14:paraId="166F4AE6" w14:textId="77777777" w:rsidR="005B4556" w:rsidRDefault="005B45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813BE" w14:textId="77777777" w:rsidR="00D93412" w:rsidRDefault="00D93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F4ADD" w14:textId="77777777" w:rsidR="001C6180" w:rsidRDefault="001C6180" w:rsidP="00D61078">
      <w:r>
        <w:separator/>
      </w:r>
    </w:p>
  </w:footnote>
  <w:footnote w:type="continuationSeparator" w:id="0">
    <w:p w14:paraId="166F4ADE" w14:textId="77777777" w:rsidR="001C6180" w:rsidRDefault="001C6180" w:rsidP="00D61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DE290" w14:textId="77777777" w:rsidR="00D93412" w:rsidRDefault="00D934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F4AE1" w14:textId="5664BCD9" w:rsidR="00D61078" w:rsidRDefault="00E92F7D" w:rsidP="00E92F7D">
    <w:pPr>
      <w:pStyle w:val="Header"/>
      <w:jc w:val="center"/>
    </w:pPr>
    <w:r>
      <w:rPr>
        <w:noProof/>
      </w:rPr>
      <w:drawing>
        <wp:inline distT="0" distB="0" distL="0" distR="0" wp14:anchorId="166F4AE7" wp14:editId="166F4AE8">
          <wp:extent cx="5407151" cy="1469136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7151" cy="146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F4AE2" w14:textId="77777777" w:rsidR="00D61078" w:rsidRDefault="00D610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7B24" w14:textId="77777777" w:rsidR="00D93412" w:rsidRDefault="00D934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3F74"/>
    <w:multiLevelType w:val="hybridMultilevel"/>
    <w:tmpl w:val="0754A5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99C25DB"/>
    <w:multiLevelType w:val="hybridMultilevel"/>
    <w:tmpl w:val="1E5618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78"/>
    <w:rsid w:val="00017AC5"/>
    <w:rsid w:val="00046A91"/>
    <w:rsid w:val="00051436"/>
    <w:rsid w:val="000A1DA8"/>
    <w:rsid w:val="001C6180"/>
    <w:rsid w:val="002A1587"/>
    <w:rsid w:val="00321A16"/>
    <w:rsid w:val="00335D76"/>
    <w:rsid w:val="00342128"/>
    <w:rsid w:val="003C15EA"/>
    <w:rsid w:val="004255B2"/>
    <w:rsid w:val="00555E87"/>
    <w:rsid w:val="005B4556"/>
    <w:rsid w:val="00634498"/>
    <w:rsid w:val="00684E3F"/>
    <w:rsid w:val="006A160F"/>
    <w:rsid w:val="006F0703"/>
    <w:rsid w:val="00754C90"/>
    <w:rsid w:val="0088300E"/>
    <w:rsid w:val="008839E9"/>
    <w:rsid w:val="00885A04"/>
    <w:rsid w:val="00957592"/>
    <w:rsid w:val="00A33CCB"/>
    <w:rsid w:val="00A85592"/>
    <w:rsid w:val="00AA7B19"/>
    <w:rsid w:val="00AC5ADE"/>
    <w:rsid w:val="00AD63A4"/>
    <w:rsid w:val="00AF1AA1"/>
    <w:rsid w:val="00BA6C80"/>
    <w:rsid w:val="00C01905"/>
    <w:rsid w:val="00C76FB5"/>
    <w:rsid w:val="00CA16E8"/>
    <w:rsid w:val="00CC05BB"/>
    <w:rsid w:val="00D61078"/>
    <w:rsid w:val="00D93412"/>
    <w:rsid w:val="00E60E57"/>
    <w:rsid w:val="00E92F7D"/>
    <w:rsid w:val="00EC2F30"/>
    <w:rsid w:val="00F01ADF"/>
    <w:rsid w:val="00F02B0A"/>
    <w:rsid w:val="00F24986"/>
    <w:rsid w:val="00F670F5"/>
    <w:rsid w:val="00FA35BE"/>
    <w:rsid w:val="00FC0467"/>
    <w:rsid w:val="00FC202A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166F4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1078"/>
  </w:style>
  <w:style w:type="paragraph" w:styleId="Footer">
    <w:name w:val="footer"/>
    <w:basedOn w:val="Normal"/>
    <w:link w:val="Foot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1078"/>
  </w:style>
  <w:style w:type="paragraph" w:styleId="BalloonText">
    <w:name w:val="Balloon Text"/>
    <w:basedOn w:val="Normal"/>
    <w:link w:val="BalloonTextChar"/>
    <w:uiPriority w:val="99"/>
    <w:semiHidden/>
    <w:unhideWhenUsed/>
    <w:rsid w:val="00D6107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78"/>
    <w:rPr>
      <w:rFonts w:ascii="Tahoma" w:hAnsi="Tahoma" w:cs="Tahoma"/>
      <w:sz w:val="16"/>
      <w:szCs w:val="16"/>
    </w:rPr>
  </w:style>
  <w:style w:type="character" w:styleId="Hyperlink">
    <w:name w:val="Hyperlink"/>
    <w:rsid w:val="00957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1078"/>
  </w:style>
  <w:style w:type="paragraph" w:styleId="Footer">
    <w:name w:val="footer"/>
    <w:basedOn w:val="Normal"/>
    <w:link w:val="Foot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1078"/>
  </w:style>
  <w:style w:type="paragraph" w:styleId="BalloonText">
    <w:name w:val="Balloon Text"/>
    <w:basedOn w:val="Normal"/>
    <w:link w:val="BalloonTextChar"/>
    <w:uiPriority w:val="99"/>
    <w:semiHidden/>
    <w:unhideWhenUsed/>
    <w:rsid w:val="00D6107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78"/>
    <w:rPr>
      <w:rFonts w:ascii="Tahoma" w:hAnsi="Tahoma" w:cs="Tahoma"/>
      <w:sz w:val="16"/>
      <w:szCs w:val="16"/>
    </w:rPr>
  </w:style>
  <w:style w:type="character" w:styleId="Hyperlink">
    <w:name w:val="Hyperlink"/>
    <w:rsid w:val="00957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93b7553b-98aa-4b36-8812-f8e31911a9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58B2-4776-45A1-A461-6875146D746C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93b7553b-98aa-4b36-8812-f8e31911a9c5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8C6E56-3FEF-464A-B79B-82512827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52F163D-637B-4197-8074-FBF9C24561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C023D-F06E-4EFA-B943-92990547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Matthew Kroneberger</dc:creator>
  <cp:lastModifiedBy>Timothy Schaible</cp:lastModifiedBy>
  <cp:revision>17</cp:revision>
  <cp:lastPrinted>2015-02-13T18:31:00Z</cp:lastPrinted>
  <dcterms:created xsi:type="dcterms:W3CDTF">2015-02-13T17:22:00Z</dcterms:created>
  <dcterms:modified xsi:type="dcterms:W3CDTF">2015-02-13T18:52:00Z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</Properties>
</file>