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1E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 xml:space="preserve">Slide 1: Presentation Title: </w:t>
      </w:r>
      <w:r>
        <w:rPr>
          <w:rFonts w:ascii="Tahoma" w:hAnsi="Tahoma" w:cs="Tahoma"/>
          <w:sz w:val="24"/>
          <w:szCs w:val="24"/>
        </w:rPr>
        <w:t>Update on Modified “Equity Emphasis Areas”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Pr="009E56EB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 w:rsidRPr="009E56EB">
        <w:rPr>
          <w:rFonts w:ascii="Tahoma" w:hAnsi="Tahoma" w:cs="Tahoma"/>
          <w:sz w:val="24"/>
          <w:szCs w:val="24"/>
        </w:rPr>
        <w:t xml:space="preserve">Subtitle: </w:t>
      </w:r>
      <w:r>
        <w:rPr>
          <w:rFonts w:ascii="Tahoma" w:hAnsi="Tahoma" w:cs="Tahoma"/>
          <w:sz w:val="24"/>
          <w:szCs w:val="24"/>
        </w:rPr>
        <w:t>for TPB’s Title VI/Environmental Justice Analysis</w:t>
      </w:r>
    </w:p>
    <w:p w:rsidR="00FF301E" w:rsidRPr="00883654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ab/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Presenter: Sergio Ritacco, TPB Transportation Planner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Access for All Advisory Committee</w:t>
      </w:r>
    </w:p>
    <w:p w:rsidR="00FF301E" w:rsidRPr="00883654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23, 2017</w:t>
      </w:r>
    </w:p>
    <w:p w:rsidR="00FF301E" w:rsidRPr="00805534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05534">
        <w:rPr>
          <w:rFonts w:ascii="Tahoma" w:hAnsi="Tahoma" w:cs="Tahoma"/>
          <w:sz w:val="24"/>
          <w:szCs w:val="24"/>
        </w:rPr>
        <w:t>Slide 2: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Structure of Presentation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Pr="00FF301E" w:rsidRDefault="00FF301E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Update the AFA since we last met</w:t>
      </w:r>
    </w:p>
    <w:p w:rsidR="00FF301E" w:rsidRPr="00FF301E" w:rsidRDefault="00FF301E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TPB’s action in March on the modified Equity Emphasis Areas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What is Title VI and Environmental Justice (EJ)?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Pr="00FF301E" w:rsidRDefault="00FF301E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EPA defines Environmental Justice as…</w:t>
      </w:r>
      <w:r w:rsidRPr="00FF301E">
        <w:rPr>
          <w:rFonts w:ascii="Franklin Gothic Medium" w:eastAsiaTheme="minorHAnsi" w:hAnsi="Franklin Gothic Medium" w:cs="Franklin Gothic Medium"/>
          <w:color w:val="000000"/>
          <w:sz w:val="40"/>
          <w:szCs w:val="40"/>
        </w:rPr>
        <w:t xml:space="preserve"> </w:t>
      </w:r>
      <w:r w:rsidRPr="00FF301E">
        <w:rPr>
          <w:rFonts w:ascii="Tahoma" w:hAnsi="Tahoma" w:cs="Tahoma"/>
          <w:bCs/>
          <w:sz w:val="24"/>
          <w:szCs w:val="24"/>
        </w:rPr>
        <w:t xml:space="preserve">“the fair treatment and meaningful involvement of all people regardless of race, color, national origin, or income with respect to the development, implementation, and enforcement of </w:t>
      </w:r>
      <w:proofErr w:type="gramStart"/>
      <w:r w:rsidRPr="00FF301E">
        <w:rPr>
          <w:rFonts w:ascii="Tahoma" w:hAnsi="Tahoma" w:cs="Tahoma"/>
          <w:bCs/>
          <w:sz w:val="24"/>
          <w:szCs w:val="24"/>
        </w:rPr>
        <w:t>….laws</w:t>
      </w:r>
      <w:proofErr w:type="gramEnd"/>
      <w:r w:rsidRPr="00FF301E">
        <w:rPr>
          <w:rFonts w:ascii="Tahoma" w:hAnsi="Tahoma" w:cs="Tahoma"/>
          <w:bCs/>
          <w:sz w:val="24"/>
          <w:szCs w:val="24"/>
        </w:rPr>
        <w:t>, regulations, and policies."</w:t>
      </w:r>
      <w:r>
        <w:rPr>
          <w:rFonts w:ascii="Tahoma" w:hAnsi="Tahoma" w:cs="Tahoma"/>
          <w:bCs/>
          <w:sz w:val="24"/>
          <w:szCs w:val="24"/>
        </w:rPr>
        <w:t xml:space="preserve"> Source: </w:t>
      </w:r>
      <w:hyperlink r:id="rId5" w:history="1">
        <w:r w:rsidRPr="00AC0728">
          <w:rPr>
            <w:rStyle w:val="Hyperlink"/>
            <w:rFonts w:ascii="Tahoma" w:hAnsi="Tahoma" w:cs="Tahoma"/>
            <w:sz w:val="24"/>
            <w:szCs w:val="24"/>
          </w:rPr>
          <w:t>http://www.epa.gov/environmentaljustice</w:t>
        </w:r>
      </w:hyperlink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FF301E" w:rsidRPr="00FF301E" w:rsidRDefault="00FF301E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301E">
        <w:rPr>
          <w:rFonts w:ascii="Tahoma" w:hAnsi="Tahoma" w:cs="Tahoma"/>
          <w:sz w:val="24"/>
          <w:szCs w:val="24"/>
        </w:rPr>
        <w:t xml:space="preserve">Title VI Law: Prohibits discrimination based on race and national origin </w:t>
      </w:r>
    </w:p>
    <w:p w:rsidR="00FF301E" w:rsidRDefault="00FF301E" w:rsidP="00FF301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301E">
        <w:rPr>
          <w:rFonts w:ascii="Tahoma" w:hAnsi="Tahoma" w:cs="Tahoma"/>
          <w:sz w:val="24"/>
          <w:szCs w:val="24"/>
        </w:rPr>
        <w:t>Environmental Justice Executive Order: Requires pro-active approach to ensure no disproportionate impact on low-income and minority</w:t>
      </w:r>
      <w:r>
        <w:rPr>
          <w:rFonts w:ascii="Tahoma" w:hAnsi="Tahoma" w:cs="Tahoma"/>
          <w:sz w:val="24"/>
          <w:szCs w:val="24"/>
        </w:rPr>
        <w:t xml:space="preserve"> </w:t>
      </w:r>
      <w:r w:rsidRPr="00FF301E">
        <w:rPr>
          <w:rFonts w:ascii="Tahoma" w:hAnsi="Tahoma" w:cs="Tahoma"/>
          <w:sz w:val="24"/>
          <w:szCs w:val="24"/>
        </w:rPr>
        <w:t>populations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Requirement and Proposed Analysis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Pr="00FF301E" w:rsidRDefault="00FF301E" w:rsidP="00FF301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F301E">
        <w:rPr>
          <w:rFonts w:ascii="Tahoma" w:hAnsi="Tahoma" w:cs="Tahoma"/>
          <w:bCs/>
          <w:sz w:val="24"/>
          <w:szCs w:val="24"/>
        </w:rPr>
        <w:t>Federal Requirement: The TPB must examine the Constrained Long-Range Transportation Plan for any disproportionately high and adverse impacts on low</w:t>
      </w:r>
      <w:r>
        <w:rPr>
          <w:rFonts w:ascii="Tahoma" w:hAnsi="Tahoma" w:cs="Tahoma"/>
          <w:bCs/>
          <w:sz w:val="24"/>
          <w:szCs w:val="24"/>
        </w:rPr>
        <w:t>-income and minority populations</w:t>
      </w:r>
    </w:p>
    <w:p w:rsidR="00FF301E" w:rsidRPr="00FF301E" w:rsidRDefault="00FF301E" w:rsidP="00FF301E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F301E">
        <w:rPr>
          <w:rFonts w:ascii="Tahoma" w:hAnsi="Tahoma" w:cs="Tahoma"/>
          <w:sz w:val="24"/>
          <w:szCs w:val="24"/>
        </w:rPr>
        <w:t>Proposed Enhanced Analysis includes:</w:t>
      </w:r>
    </w:p>
    <w:p w:rsidR="00FF301E" w:rsidRPr="00FF301E" w:rsidRDefault="00FF301E" w:rsidP="00FF301E">
      <w:pPr>
        <w:pStyle w:val="ListParagraph"/>
        <w:numPr>
          <w:ilvl w:val="1"/>
          <w:numId w:val="2"/>
        </w:numPr>
        <w:spacing w:after="0"/>
        <w:rPr>
          <w:rFonts w:ascii="Tahoma" w:hAnsi="Tahoma" w:cs="Tahoma"/>
          <w:sz w:val="24"/>
          <w:szCs w:val="24"/>
        </w:rPr>
      </w:pPr>
      <w:r w:rsidRPr="00FF301E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Pr="00FF301E">
        <w:rPr>
          <w:rFonts w:ascii="Tahoma" w:hAnsi="Tahoma" w:cs="Tahoma"/>
          <w:sz w:val="24"/>
          <w:szCs w:val="24"/>
        </w:rPr>
        <w:t>Identification of concentrations of low-income and minority populations (“Equity Emphasis Areas”, previously “Communities of Concern”)</w:t>
      </w:r>
    </w:p>
    <w:p w:rsidR="00FF301E" w:rsidRPr="00FF301E" w:rsidRDefault="00FF301E" w:rsidP="00FF301E">
      <w:pPr>
        <w:pStyle w:val="ListParagraph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FF301E"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 xml:space="preserve"> </w:t>
      </w:r>
      <w:r w:rsidRPr="00FF301E">
        <w:rPr>
          <w:rFonts w:ascii="Tahoma" w:hAnsi="Tahoma" w:cs="Tahoma"/>
          <w:sz w:val="24"/>
          <w:szCs w:val="24"/>
        </w:rPr>
        <w:t xml:space="preserve">Multiple accessibility and mobility measures </w:t>
      </w:r>
    </w:p>
    <w:p w:rsidR="00FF301E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7AEE">
        <w:rPr>
          <w:rFonts w:ascii="Tahoma" w:hAnsi="Tahoma" w:cs="Tahoma"/>
          <w:bCs/>
          <w:sz w:val="24"/>
          <w:szCs w:val="24"/>
        </w:rPr>
        <w:t>Since October – New Name: “Equity Emphasis Areas”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7AEE" w:rsidRDefault="002C7AEE" w:rsidP="002C7AEE">
      <w:pPr>
        <w:pStyle w:val="ListParagraph"/>
        <w:numPr>
          <w:ilvl w:val="0"/>
          <w:numId w:val="3"/>
        </w:numPr>
        <w:rPr>
          <w:rFonts w:ascii="Tahoma" w:hAnsi="Tahoma" w:cs="Tahoma"/>
          <w:bCs/>
          <w:sz w:val="24"/>
          <w:szCs w:val="24"/>
        </w:rPr>
      </w:pPr>
      <w:r w:rsidRPr="002C7AEE">
        <w:rPr>
          <w:rFonts w:ascii="Tahoma" w:hAnsi="Tahoma" w:cs="Tahoma"/>
          <w:bCs/>
          <w:sz w:val="24"/>
          <w:szCs w:val="24"/>
        </w:rPr>
        <w:t>Feedback from TPB Technical Committee, AFA, and CAC: “Communities of Concern” has a negative connation and does not convey the intent of the analysis.</w:t>
      </w:r>
    </w:p>
    <w:p w:rsidR="002C7AEE" w:rsidRPr="002C7AEE" w:rsidRDefault="002C7AEE" w:rsidP="002C7AEE">
      <w:pPr>
        <w:pStyle w:val="ListParagraph"/>
        <w:numPr>
          <w:ilvl w:val="0"/>
          <w:numId w:val="3"/>
        </w:numPr>
        <w:rPr>
          <w:rFonts w:ascii="Tahoma" w:hAnsi="Tahoma" w:cs="Tahoma"/>
          <w:bCs/>
          <w:sz w:val="24"/>
          <w:szCs w:val="24"/>
        </w:rPr>
      </w:pPr>
      <w:r w:rsidRPr="002C7AEE">
        <w:rPr>
          <w:rFonts w:ascii="Tahoma" w:hAnsi="Tahoma" w:cs="Tahoma"/>
          <w:bCs/>
          <w:sz w:val="24"/>
          <w:szCs w:val="24"/>
        </w:rPr>
        <w:lastRenderedPageBreak/>
        <w:t>Revised to “Equity Emphasis Areas” (EEA): Input from these committees and TPB found this term more inclusive and descriptive of the intent of TPB’s analysis.</w:t>
      </w:r>
    </w:p>
    <w:p w:rsidR="002C7AEE" w:rsidRDefault="002C7AEE" w:rsidP="002C7AEE">
      <w:pPr>
        <w:rPr>
          <w:rFonts w:ascii="Tahoma" w:hAnsi="Tahoma" w:cs="Tahoma"/>
          <w:sz w:val="24"/>
          <w:szCs w:val="24"/>
        </w:rPr>
      </w:pP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4629BF">
        <w:rPr>
          <w:rFonts w:ascii="Tahoma" w:hAnsi="Tahoma" w:cs="Tahoma"/>
          <w:bCs/>
          <w:sz w:val="24"/>
          <w:szCs w:val="24"/>
        </w:rPr>
        <w:t>Since October – Proposed Modification to the Methodology for the Map</w:t>
      </w: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629BF" w:rsidRPr="004629BF" w:rsidRDefault="004629BF" w:rsidP="004629BF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4629BF">
        <w:rPr>
          <w:rFonts w:ascii="Tahoma" w:hAnsi="Tahoma" w:cs="Tahoma"/>
          <w:bCs/>
          <w:sz w:val="24"/>
          <w:szCs w:val="24"/>
        </w:rPr>
        <w:t xml:space="preserve">During the Board’s comment period and at the January TPB meeting an anomaly in the results was identified and </w:t>
      </w:r>
      <w:r>
        <w:rPr>
          <w:rFonts w:ascii="Tahoma" w:hAnsi="Tahoma" w:cs="Tahoma"/>
          <w:bCs/>
          <w:sz w:val="24"/>
          <w:szCs w:val="24"/>
        </w:rPr>
        <w:t>staff worked to re-examine the EEAs.</w:t>
      </w:r>
    </w:p>
    <w:p w:rsidR="002C7AEE" w:rsidRDefault="002C7AEE" w:rsidP="002C7AEE">
      <w:pPr>
        <w:rPr>
          <w:rFonts w:ascii="Tahoma" w:hAnsi="Tahoma" w:cs="Tahoma"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Unintended Anomaly</w:t>
      </w: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A432C" w:rsidRDefault="004A432C" w:rsidP="004A432C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4A432C">
        <w:rPr>
          <w:rFonts w:ascii="Tahoma" w:hAnsi="Tahoma" w:cs="Tahoma"/>
          <w:bCs/>
          <w:sz w:val="24"/>
          <w:szCs w:val="24"/>
        </w:rPr>
        <w:t xml:space="preserve">Census tracts with high concentrations of two minority population groups but with lower than regional average concentrations of low income populations </w:t>
      </w:r>
      <w:proofErr w:type="spellStart"/>
      <w:r w:rsidRPr="004A432C">
        <w:rPr>
          <w:rFonts w:ascii="Tahoma" w:hAnsi="Tahoma" w:cs="Tahoma"/>
          <w:bCs/>
          <w:sz w:val="24"/>
          <w:szCs w:val="24"/>
        </w:rPr>
        <w:t>werebeing</w:t>
      </w:r>
      <w:proofErr w:type="spellEnd"/>
      <w:r w:rsidRPr="004A432C">
        <w:rPr>
          <w:rFonts w:ascii="Tahoma" w:hAnsi="Tahoma" w:cs="Tahoma"/>
          <w:bCs/>
          <w:sz w:val="24"/>
          <w:szCs w:val="24"/>
        </w:rPr>
        <w:t xml:space="preserve"> identified as EEAs; while,</w:t>
      </w:r>
    </w:p>
    <w:p w:rsidR="004A432C" w:rsidRDefault="004A432C" w:rsidP="004A432C">
      <w:pPr>
        <w:pStyle w:val="ListParagraph"/>
        <w:numPr>
          <w:ilvl w:val="0"/>
          <w:numId w:val="4"/>
        </w:numPr>
        <w:rPr>
          <w:rFonts w:ascii="Tahoma" w:hAnsi="Tahoma" w:cs="Tahoma"/>
          <w:bCs/>
          <w:sz w:val="24"/>
          <w:szCs w:val="24"/>
        </w:rPr>
      </w:pPr>
      <w:r w:rsidRPr="004A432C">
        <w:rPr>
          <w:rFonts w:ascii="Tahoma" w:hAnsi="Tahoma" w:cs="Tahoma"/>
          <w:bCs/>
          <w:sz w:val="24"/>
          <w:szCs w:val="24"/>
        </w:rPr>
        <w:t>Tracts with high concentrations of only one of three minority population</w:t>
      </w:r>
      <w:r>
        <w:rPr>
          <w:rFonts w:ascii="Tahoma" w:hAnsi="Tahoma" w:cs="Tahoma"/>
          <w:bCs/>
          <w:sz w:val="24"/>
          <w:szCs w:val="24"/>
        </w:rPr>
        <w:t>s</w:t>
      </w:r>
      <w:r w:rsidRPr="004A432C">
        <w:rPr>
          <w:rFonts w:ascii="Tahoma" w:hAnsi="Tahoma" w:cs="Tahoma"/>
          <w:bCs/>
          <w:sz w:val="24"/>
          <w:szCs w:val="24"/>
        </w:rPr>
        <w:t xml:space="preserve"> with higher than regional average concentrations of low</w:t>
      </w:r>
      <w:r>
        <w:rPr>
          <w:rFonts w:ascii="Tahoma" w:hAnsi="Tahoma" w:cs="Tahoma"/>
          <w:bCs/>
          <w:sz w:val="24"/>
          <w:szCs w:val="24"/>
        </w:rPr>
        <w:t xml:space="preserve">-income population were </w:t>
      </w:r>
      <w:r w:rsidRPr="004A432C">
        <w:rPr>
          <w:rFonts w:ascii="Tahoma" w:hAnsi="Tahoma" w:cs="Tahoma"/>
          <w:bCs/>
          <w:sz w:val="24"/>
          <w:szCs w:val="24"/>
          <w:u w:val="single"/>
        </w:rPr>
        <w:t>not</w:t>
      </w:r>
      <w:r>
        <w:rPr>
          <w:rFonts w:ascii="Tahoma" w:hAnsi="Tahoma" w:cs="Tahoma"/>
          <w:bCs/>
          <w:sz w:val="24"/>
          <w:szCs w:val="24"/>
        </w:rPr>
        <w:t xml:space="preserve"> being identified as EEAs.</w:t>
      </w:r>
    </w:p>
    <w:p w:rsidR="004A432C" w:rsidRDefault="004A432C" w:rsidP="004A432C">
      <w:pPr>
        <w:rPr>
          <w:rFonts w:ascii="Tahoma" w:hAnsi="Tahoma" w:cs="Tahoma"/>
          <w:bCs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F965EB">
        <w:rPr>
          <w:rFonts w:ascii="Tahoma" w:hAnsi="Tahoma" w:cs="Tahoma"/>
          <w:bCs/>
          <w:sz w:val="24"/>
          <w:szCs w:val="24"/>
        </w:rPr>
        <w:t>Proposed Modification to the Methodology for the Map</w:t>
      </w: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965EB" w:rsidRDefault="00F965EB" w:rsidP="00F965EB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F965EB">
        <w:rPr>
          <w:rFonts w:ascii="Tahoma" w:hAnsi="Tahoma" w:cs="Tahoma"/>
          <w:bCs/>
          <w:sz w:val="24"/>
          <w:szCs w:val="24"/>
        </w:rPr>
        <w:t xml:space="preserve">Revise second criteria to </w:t>
      </w:r>
      <w:proofErr w:type="gramStart"/>
      <w:r w:rsidRPr="00F965EB">
        <w:rPr>
          <w:rFonts w:ascii="Tahoma" w:hAnsi="Tahoma" w:cs="Tahoma"/>
          <w:bCs/>
          <w:sz w:val="24"/>
          <w:szCs w:val="24"/>
        </w:rPr>
        <w:t>take into account</w:t>
      </w:r>
      <w:proofErr w:type="gramEnd"/>
      <w:r w:rsidRPr="00F965EB">
        <w:rPr>
          <w:rFonts w:ascii="Tahoma" w:hAnsi="Tahoma" w:cs="Tahoma"/>
          <w:bCs/>
          <w:sz w:val="24"/>
          <w:szCs w:val="24"/>
        </w:rPr>
        <w:t xml:space="preserve"> areas with high concentrations of one or more minority population groups together with low income concentrations at or above the regional average.</w:t>
      </w:r>
    </w:p>
    <w:p w:rsidR="00F965EB" w:rsidRDefault="00F965EB" w:rsidP="00F965EB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F965EB">
        <w:rPr>
          <w:rFonts w:ascii="Tahoma" w:hAnsi="Tahoma" w:cs="Tahoma"/>
          <w:bCs/>
          <w:sz w:val="24"/>
          <w:szCs w:val="24"/>
        </w:rPr>
        <w:t xml:space="preserve">Still considers tracts with high concentrations of two or </w:t>
      </w:r>
      <w:r>
        <w:rPr>
          <w:rFonts w:ascii="Tahoma" w:hAnsi="Tahoma" w:cs="Tahoma"/>
          <w:bCs/>
          <w:sz w:val="24"/>
          <w:szCs w:val="24"/>
        </w:rPr>
        <w:t>more minority populations.</w:t>
      </w:r>
    </w:p>
    <w:p w:rsidR="008923C1" w:rsidRDefault="008923C1" w:rsidP="008923C1">
      <w:pPr>
        <w:rPr>
          <w:rFonts w:ascii="Tahoma" w:hAnsi="Tahoma" w:cs="Tahoma"/>
          <w:bCs/>
          <w:sz w:val="24"/>
          <w:szCs w:val="24"/>
        </w:rPr>
      </w:pP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9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Equity Emphasis Areas Map</w:t>
      </w: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923C1" w:rsidRDefault="008923C1" w:rsidP="008923C1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Online interactive map can be found at </w:t>
      </w:r>
      <w:hyperlink r:id="rId6" w:history="1">
        <w:r w:rsidRPr="00AC0728">
          <w:rPr>
            <w:rStyle w:val="Hyperlink"/>
            <w:rFonts w:ascii="Tahoma" w:hAnsi="Tahoma" w:cs="Tahoma"/>
            <w:sz w:val="24"/>
            <w:szCs w:val="24"/>
          </w:rPr>
          <w:t>https://gis.mwcog.org/webmaps/tpb/clrp/ej/</w:t>
        </w:r>
      </w:hyperlink>
    </w:p>
    <w:p w:rsidR="008923C1" w:rsidRDefault="008923C1" w:rsidP="008923C1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Username is “review” and password (case sensitive) is “</w:t>
      </w:r>
      <w:proofErr w:type="spellStart"/>
      <w:r>
        <w:rPr>
          <w:rFonts w:ascii="Tahoma" w:hAnsi="Tahoma" w:cs="Tahoma"/>
          <w:bCs/>
          <w:sz w:val="24"/>
          <w:szCs w:val="24"/>
        </w:rPr>
        <w:t>draft.map</w:t>
      </w:r>
      <w:proofErr w:type="spellEnd"/>
      <w:r>
        <w:rPr>
          <w:rFonts w:ascii="Tahoma" w:hAnsi="Tahoma" w:cs="Tahoma"/>
          <w:bCs/>
          <w:sz w:val="24"/>
          <w:szCs w:val="24"/>
        </w:rPr>
        <w:t>”</w:t>
      </w:r>
    </w:p>
    <w:p w:rsidR="008923C1" w:rsidRDefault="008923C1" w:rsidP="008923C1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The interactive map will be explored </w:t>
      </w:r>
      <w:proofErr w:type="gramStart"/>
      <w:r>
        <w:rPr>
          <w:rFonts w:ascii="Tahoma" w:hAnsi="Tahoma" w:cs="Tahoma"/>
          <w:bCs/>
          <w:sz w:val="24"/>
          <w:szCs w:val="24"/>
        </w:rPr>
        <w:t>at this time</w:t>
      </w:r>
      <w:proofErr w:type="gramEnd"/>
    </w:p>
    <w:p w:rsidR="008923C1" w:rsidRDefault="008923C1" w:rsidP="008923C1">
      <w:pPr>
        <w:rPr>
          <w:rFonts w:ascii="Tahoma" w:hAnsi="Tahoma" w:cs="Tahoma"/>
          <w:bCs/>
          <w:sz w:val="24"/>
          <w:szCs w:val="24"/>
        </w:rPr>
      </w:pPr>
    </w:p>
    <w:p w:rsidR="00513DDB" w:rsidRDefault="00513DDB" w:rsidP="008923C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13DDB" w:rsidRDefault="00513DDB" w:rsidP="008923C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Slide 10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Next Steps</w:t>
      </w:r>
    </w:p>
    <w:p w:rsidR="008923C1" w:rsidRDefault="008923C1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923C1" w:rsidRPr="008923C1" w:rsidRDefault="008923C1" w:rsidP="008923C1">
      <w:pPr>
        <w:rPr>
          <w:rFonts w:ascii="Tahoma" w:hAnsi="Tahoma" w:cs="Tahoma"/>
          <w:bCs/>
          <w:sz w:val="24"/>
          <w:szCs w:val="24"/>
        </w:rPr>
      </w:pPr>
      <w:r w:rsidRPr="008923C1">
        <w:rPr>
          <w:rFonts w:ascii="Tahoma" w:hAnsi="Tahoma" w:cs="Tahoma"/>
          <w:bCs/>
          <w:sz w:val="24"/>
          <w:szCs w:val="24"/>
        </w:rPr>
        <w:t>After TPB approval endorsing the Equity Emphasis Areas, TPB staff will:</w:t>
      </w:r>
    </w:p>
    <w:p w:rsidR="008923C1" w:rsidRDefault="008923C1" w:rsidP="008923C1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8923C1">
        <w:rPr>
          <w:rFonts w:ascii="Tahoma" w:hAnsi="Tahoma" w:cs="Tahoma"/>
          <w:bCs/>
          <w:sz w:val="24"/>
          <w:szCs w:val="24"/>
        </w:rPr>
        <w:t>Revise Interactive Online Tool with additional data and make widely available (</w:t>
      </w:r>
      <w:r w:rsidR="003C6C4B">
        <w:rPr>
          <w:rFonts w:ascii="Tahoma" w:hAnsi="Tahoma" w:cs="Tahoma"/>
          <w:bCs/>
          <w:sz w:val="24"/>
          <w:szCs w:val="24"/>
        </w:rPr>
        <w:t>late March</w:t>
      </w:r>
      <w:r w:rsidRPr="008923C1">
        <w:rPr>
          <w:rFonts w:ascii="Tahoma" w:hAnsi="Tahoma" w:cs="Tahoma"/>
          <w:bCs/>
          <w:sz w:val="24"/>
          <w:szCs w:val="24"/>
        </w:rPr>
        <w:t>)</w:t>
      </w:r>
    </w:p>
    <w:p w:rsidR="008923C1" w:rsidRDefault="008923C1" w:rsidP="008923C1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8923C1">
        <w:rPr>
          <w:rFonts w:ascii="Tahoma" w:hAnsi="Tahoma" w:cs="Tahoma"/>
          <w:bCs/>
          <w:sz w:val="24"/>
          <w:szCs w:val="24"/>
        </w:rPr>
        <w:t>Conduct the Title VI/EJ analysis of the 2016 CLRP</w:t>
      </w:r>
      <w:r w:rsidR="003C6C4B">
        <w:rPr>
          <w:rFonts w:ascii="Tahoma" w:hAnsi="Tahoma" w:cs="Tahoma"/>
          <w:bCs/>
          <w:sz w:val="24"/>
          <w:szCs w:val="24"/>
        </w:rPr>
        <w:t xml:space="preserve"> (late March-May</w:t>
      </w:r>
      <w:r w:rsidRPr="008923C1">
        <w:rPr>
          <w:rFonts w:ascii="Tahoma" w:hAnsi="Tahoma" w:cs="Tahoma"/>
          <w:bCs/>
          <w:sz w:val="24"/>
          <w:szCs w:val="24"/>
        </w:rPr>
        <w:t>)</w:t>
      </w:r>
    </w:p>
    <w:p w:rsidR="008923C1" w:rsidRDefault="003C6C4B" w:rsidP="008923C1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 and review draft findings</w:t>
      </w:r>
      <w:r w:rsidR="008923C1" w:rsidRPr="008923C1">
        <w:rPr>
          <w:rFonts w:ascii="Tahoma" w:hAnsi="Tahoma" w:cs="Tahoma"/>
          <w:bCs/>
          <w:sz w:val="24"/>
          <w:szCs w:val="24"/>
        </w:rPr>
        <w:t xml:space="preserve"> (</w:t>
      </w:r>
      <w:r>
        <w:rPr>
          <w:rFonts w:ascii="Tahoma" w:hAnsi="Tahoma" w:cs="Tahoma"/>
          <w:bCs/>
          <w:sz w:val="24"/>
          <w:szCs w:val="24"/>
        </w:rPr>
        <w:t>May-June</w:t>
      </w:r>
      <w:r w:rsidR="008923C1" w:rsidRPr="008923C1">
        <w:rPr>
          <w:rFonts w:ascii="Tahoma" w:hAnsi="Tahoma" w:cs="Tahoma"/>
          <w:bCs/>
          <w:sz w:val="24"/>
          <w:szCs w:val="24"/>
        </w:rPr>
        <w:t>)</w:t>
      </w:r>
    </w:p>
    <w:p w:rsidR="008923C1" w:rsidRDefault="008923C1" w:rsidP="008923C1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8923C1">
        <w:rPr>
          <w:rFonts w:ascii="Tahoma" w:hAnsi="Tahoma" w:cs="Tahoma"/>
          <w:bCs/>
          <w:sz w:val="24"/>
          <w:szCs w:val="24"/>
        </w:rPr>
        <w:t>Brief the TPB (</w:t>
      </w:r>
      <w:r w:rsidR="003C6C4B">
        <w:rPr>
          <w:rFonts w:ascii="Tahoma" w:hAnsi="Tahoma" w:cs="Tahoma"/>
          <w:bCs/>
          <w:sz w:val="24"/>
          <w:szCs w:val="24"/>
        </w:rPr>
        <w:t>June-July</w:t>
      </w:r>
      <w:r w:rsidRPr="008923C1">
        <w:rPr>
          <w:rFonts w:ascii="Tahoma" w:hAnsi="Tahoma" w:cs="Tahoma"/>
          <w:bCs/>
          <w:sz w:val="24"/>
          <w:szCs w:val="24"/>
        </w:rPr>
        <w:t>)</w:t>
      </w:r>
    </w:p>
    <w:p w:rsidR="008923C1" w:rsidRPr="008923C1" w:rsidRDefault="008923C1" w:rsidP="008923C1">
      <w:pPr>
        <w:pStyle w:val="ListParagraph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8923C1">
        <w:rPr>
          <w:rFonts w:ascii="Tahoma" w:hAnsi="Tahoma" w:cs="Tahoma"/>
          <w:bCs/>
          <w:sz w:val="24"/>
          <w:szCs w:val="24"/>
        </w:rPr>
        <w:t>Develop a report documenting methodology and findings (</w:t>
      </w:r>
      <w:r w:rsidR="003C6C4B">
        <w:rPr>
          <w:rFonts w:ascii="Tahoma" w:hAnsi="Tahoma" w:cs="Tahoma"/>
          <w:bCs/>
          <w:sz w:val="24"/>
          <w:szCs w:val="24"/>
        </w:rPr>
        <w:t>June-July</w:t>
      </w:r>
      <w:bookmarkStart w:id="0" w:name="_GoBack"/>
      <w:bookmarkEnd w:id="0"/>
      <w:r w:rsidRPr="008923C1">
        <w:rPr>
          <w:rFonts w:ascii="Tahoma" w:hAnsi="Tahoma" w:cs="Tahoma"/>
          <w:bCs/>
          <w:sz w:val="24"/>
          <w:szCs w:val="24"/>
        </w:rPr>
        <w:t>)</w:t>
      </w:r>
    </w:p>
    <w:p w:rsidR="008923C1" w:rsidRDefault="008923C1" w:rsidP="008923C1">
      <w:pPr>
        <w:rPr>
          <w:rFonts w:ascii="Tahoma" w:hAnsi="Tahoma" w:cs="Tahoma"/>
          <w:bCs/>
          <w:sz w:val="24"/>
          <w:szCs w:val="24"/>
        </w:rPr>
      </w:pPr>
    </w:p>
    <w:p w:rsidR="007B7464" w:rsidRPr="008923C1" w:rsidRDefault="007B7464" w:rsidP="008923C1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11: Contact information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000000"/>
          <w:sz w:val="40"/>
          <w:szCs w:val="40"/>
        </w:rPr>
      </w:pPr>
      <w:r w:rsidRPr="007B7464">
        <w:rPr>
          <w:rFonts w:ascii="Franklin Gothic Medium" w:eastAsiaTheme="minorHAnsi" w:hAnsi="Franklin Gothic Medium" w:cs="Franklin Gothic Medium"/>
          <w:color w:val="000000"/>
          <w:sz w:val="40"/>
          <w:szCs w:val="40"/>
        </w:rPr>
        <w:t>Sergio Ritacco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Transportation Planner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(202) 962-3232</w:t>
      </w:r>
    </w:p>
    <w:p w:rsidR="007B7464" w:rsidRDefault="003C6C4B" w:rsidP="007B7464">
      <w:pPr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hyperlink r:id="rId7" w:history="1">
        <w:r w:rsidR="007B7464" w:rsidRPr="00AC0728">
          <w:rPr>
            <w:rStyle w:val="Hyperlink"/>
            <w:rFonts w:ascii="Franklin Gothic Book" w:eastAsiaTheme="minorHAnsi" w:hAnsi="Franklin Gothic Book" w:cs="Franklin Gothic Book"/>
            <w:sz w:val="28"/>
            <w:szCs w:val="28"/>
          </w:rPr>
          <w:t>sritacco@mwcog.org</w:t>
        </w:r>
      </w:hyperlink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5092B5"/>
          <w:sz w:val="56"/>
          <w:szCs w:val="56"/>
        </w:rPr>
      </w:pPr>
      <w:r w:rsidRPr="007B7464">
        <w:rPr>
          <w:rFonts w:ascii="Franklin Gothic Medium" w:eastAsiaTheme="minorHAnsi" w:hAnsi="Franklin Gothic Medium" w:cs="Franklin Gothic Medium"/>
          <w:color w:val="5092B5"/>
          <w:sz w:val="56"/>
          <w:szCs w:val="56"/>
        </w:rPr>
        <w:t>mwcog.org/TPB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Metropolitan Washington Council of Governments</w:t>
      </w:r>
    </w:p>
    <w:p w:rsidR="007B7464" w:rsidRPr="007B7464" w:rsidRDefault="007B7464" w:rsidP="007B7464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8"/>
          <w:szCs w:val="28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777 North Capitol Street NE, Suite 300</w:t>
      </w:r>
    </w:p>
    <w:p w:rsidR="007B7464" w:rsidRDefault="007B7464" w:rsidP="007B7464">
      <w:pPr>
        <w:rPr>
          <w:rFonts w:ascii="Tahoma" w:hAnsi="Tahoma" w:cs="Tahoma"/>
          <w:bCs/>
          <w:sz w:val="24"/>
          <w:szCs w:val="24"/>
        </w:rPr>
      </w:pPr>
      <w:r w:rsidRPr="007B7464">
        <w:rPr>
          <w:rFonts w:ascii="Franklin Gothic Book" w:eastAsiaTheme="minorHAnsi" w:hAnsi="Franklin Gothic Book" w:cs="Franklin Gothic Book"/>
          <w:color w:val="000000"/>
          <w:sz w:val="28"/>
          <w:szCs w:val="28"/>
        </w:rPr>
        <w:t>Washington, DC 20002</w:t>
      </w:r>
    </w:p>
    <w:p w:rsidR="008923C1" w:rsidRPr="008923C1" w:rsidRDefault="008923C1" w:rsidP="008923C1">
      <w:pPr>
        <w:rPr>
          <w:rFonts w:ascii="Tahoma" w:hAnsi="Tahoma" w:cs="Tahoma"/>
          <w:bCs/>
          <w:sz w:val="24"/>
          <w:szCs w:val="24"/>
        </w:rPr>
      </w:pPr>
    </w:p>
    <w:p w:rsidR="004A432C" w:rsidRDefault="004A432C" w:rsidP="004A432C">
      <w:pPr>
        <w:rPr>
          <w:rFonts w:ascii="Tahoma" w:hAnsi="Tahoma" w:cs="Tahoma"/>
          <w:bCs/>
          <w:sz w:val="24"/>
          <w:szCs w:val="24"/>
        </w:rPr>
      </w:pPr>
    </w:p>
    <w:p w:rsidR="004A432C" w:rsidRPr="004A432C" w:rsidRDefault="004A432C" w:rsidP="004A432C">
      <w:pPr>
        <w:rPr>
          <w:rFonts w:ascii="Tahoma" w:hAnsi="Tahoma" w:cs="Tahoma"/>
          <w:bCs/>
          <w:sz w:val="24"/>
          <w:szCs w:val="24"/>
        </w:rPr>
      </w:pPr>
    </w:p>
    <w:p w:rsidR="002C7AEE" w:rsidRPr="002C7AEE" w:rsidRDefault="002C7AEE" w:rsidP="002C7AEE">
      <w:pPr>
        <w:rPr>
          <w:rFonts w:ascii="Tahoma" w:hAnsi="Tahoma" w:cs="Tahoma"/>
          <w:sz w:val="24"/>
          <w:szCs w:val="24"/>
        </w:rPr>
      </w:pPr>
    </w:p>
    <w:p w:rsidR="00FF301E" w:rsidRPr="00FF301E" w:rsidRDefault="00FF301E" w:rsidP="00FF301E">
      <w:pPr>
        <w:rPr>
          <w:rFonts w:ascii="Tahoma" w:hAnsi="Tahoma" w:cs="Tahoma"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D2A8E" w:rsidRDefault="003D2A8E"/>
    <w:sectPr w:rsidR="003D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179F"/>
    <w:multiLevelType w:val="hybridMultilevel"/>
    <w:tmpl w:val="D73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5EA2"/>
    <w:multiLevelType w:val="hybridMultilevel"/>
    <w:tmpl w:val="9276625C"/>
    <w:lvl w:ilvl="0" w:tplc="BDAE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2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67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63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2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C6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0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0C7E9F"/>
    <w:multiLevelType w:val="hybridMultilevel"/>
    <w:tmpl w:val="1660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96694"/>
    <w:multiLevelType w:val="hybridMultilevel"/>
    <w:tmpl w:val="296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909DF"/>
    <w:multiLevelType w:val="hybridMultilevel"/>
    <w:tmpl w:val="BD6A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37CF0"/>
    <w:multiLevelType w:val="hybridMultilevel"/>
    <w:tmpl w:val="CBC8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2C7AEE"/>
    <w:rsid w:val="003C6C4B"/>
    <w:rsid w:val="003D2A8E"/>
    <w:rsid w:val="004629BF"/>
    <w:rsid w:val="004A432C"/>
    <w:rsid w:val="00513DDB"/>
    <w:rsid w:val="007B7464"/>
    <w:rsid w:val="008923C1"/>
    <w:rsid w:val="00900361"/>
    <w:rsid w:val="00F965EB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2BC4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itacco@mw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mwcog.org/webmaps/tpb/clrp/ej/" TargetMode="External"/><Relationship Id="rId5" Type="http://schemas.openxmlformats.org/officeDocument/2006/relationships/hyperlink" Target="http://www.epa.gov/environmentaljust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Lori Zeller</cp:lastModifiedBy>
  <cp:revision>10</cp:revision>
  <dcterms:created xsi:type="dcterms:W3CDTF">2017-02-16T20:25:00Z</dcterms:created>
  <dcterms:modified xsi:type="dcterms:W3CDTF">2017-02-23T14:07:00Z</dcterms:modified>
</cp:coreProperties>
</file>