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4D7" w:rsidRDefault="00DE54D7" w:rsidP="00DE54D7">
      <w:pPr>
        <w:rPr>
          <w:sz w:val="28"/>
          <w:u w:val="single"/>
        </w:rPr>
      </w:pPr>
      <w:r>
        <w:rPr>
          <w:sz w:val="28"/>
          <w:u w:val="single"/>
        </w:rPr>
        <w:t>EPA Climate Showcase Community – MWCOG proposal</w:t>
      </w:r>
      <w:r w:rsidR="008878ED">
        <w:rPr>
          <w:sz w:val="28"/>
          <w:u w:val="single"/>
        </w:rPr>
        <w:t xml:space="preserve"> / energy outreach program and competition</w:t>
      </w:r>
    </w:p>
    <w:p w:rsidR="00DE54D7" w:rsidRDefault="00DE54D7" w:rsidP="00DE54D7">
      <w:pPr>
        <w:rPr>
          <w:sz w:val="28"/>
          <w:u w:val="single"/>
        </w:rPr>
      </w:pPr>
    </w:p>
    <w:p w:rsidR="00DE54D7" w:rsidRDefault="00DE54D7" w:rsidP="00DE54D7">
      <w:r w:rsidRPr="00F75B26">
        <w:t>The Metropolitan Washington Council of Governments (</w:t>
      </w:r>
      <w:r>
        <w:t>MW</w:t>
      </w:r>
      <w:r w:rsidRPr="00F75B26">
        <w:t>COG)</w:t>
      </w:r>
      <w:r>
        <w:t xml:space="preserve"> </w:t>
      </w:r>
      <w:r w:rsidRPr="00410459">
        <w:t xml:space="preserve">is seeking support from EPA </w:t>
      </w:r>
      <w:r>
        <w:t xml:space="preserve">for </w:t>
      </w:r>
      <w:r w:rsidRPr="00410459">
        <w:t xml:space="preserve">a regional energy outreach program to motivate residents to reduce their </w:t>
      </w:r>
      <w:r w:rsidRPr="00B350A5">
        <w:t xml:space="preserve">electricity and gas consumption in the Washington region, using online energy monitoring tools, innovative incentives, </w:t>
      </w:r>
      <w:r>
        <w:t>g</w:t>
      </w:r>
      <w:r w:rsidRPr="00B350A5">
        <w:t>rassroots approach and competition</w:t>
      </w:r>
      <w:r>
        <w:t>.</w:t>
      </w:r>
      <w:r w:rsidRPr="00410459">
        <w:t xml:space="preserve"> </w:t>
      </w:r>
    </w:p>
    <w:p w:rsidR="00C446D2" w:rsidRDefault="00C446D2" w:rsidP="00DE54D7"/>
    <w:p w:rsidR="00072E50" w:rsidRDefault="00072E50" w:rsidP="00072E50">
      <w:r>
        <w:t>The key components of the proposed project are:</w:t>
      </w:r>
    </w:p>
    <w:p w:rsidR="00C446D2" w:rsidRDefault="00C446D2" w:rsidP="00DE54D7"/>
    <w:p w:rsidR="00C446D2" w:rsidRDefault="00C446D2" w:rsidP="00C446D2">
      <w:pPr>
        <w:numPr>
          <w:ilvl w:val="0"/>
          <w:numId w:val="2"/>
        </w:numPr>
      </w:pPr>
      <w:r w:rsidRPr="0094336E">
        <w:rPr>
          <w:b/>
        </w:rPr>
        <w:t>Online energy monitoring platform</w:t>
      </w:r>
      <w:r>
        <w:t xml:space="preserve"> made available to all residential customers in the region. This platform, connected to individual utility accounts from which data will be automatically retrieved, will enable online tracking of energy consumption, month after month. It will be hosted on a web portal providing tips on energy savings and access to MWCOG partners’ programs,</w:t>
      </w:r>
    </w:p>
    <w:p w:rsidR="00C446D2" w:rsidRDefault="00C446D2" w:rsidP="00C446D2">
      <w:pPr>
        <w:numPr>
          <w:ilvl w:val="0"/>
          <w:numId w:val="2"/>
        </w:numPr>
      </w:pPr>
      <w:r w:rsidRPr="0094336E">
        <w:rPr>
          <w:b/>
        </w:rPr>
        <w:t>Outreach activities</w:t>
      </w:r>
      <w:r>
        <w:t xml:space="preserve"> to promote the program, recruit participants and engage communities in energy savings that reduce greenhouse gas emissions,</w:t>
      </w:r>
    </w:p>
    <w:p w:rsidR="00C446D2" w:rsidRDefault="00C446D2" w:rsidP="00C446D2">
      <w:pPr>
        <w:numPr>
          <w:ilvl w:val="0"/>
          <w:numId w:val="2"/>
        </w:numPr>
      </w:pPr>
      <w:r w:rsidRPr="0094336E">
        <w:rPr>
          <w:b/>
        </w:rPr>
        <w:t>Innovative incentives</w:t>
      </w:r>
      <w:r>
        <w:t>:  reward program for individuals in proportion to achieved energy savings compared to the previous year baseline, competition between communities throughout the region for biggest consolidated energy savings.</w:t>
      </w:r>
    </w:p>
    <w:p w:rsidR="00C446D2" w:rsidRDefault="00C446D2" w:rsidP="00DE54D7"/>
    <w:p w:rsidR="00DE54D7" w:rsidRDefault="00DE54D7" w:rsidP="00DE54D7"/>
    <w:p w:rsidR="00DE54D7" w:rsidRPr="008711A7" w:rsidRDefault="00DE54D7" w:rsidP="00DE54D7">
      <w:pPr>
        <w:rPr>
          <w:sz w:val="28"/>
          <w:u w:val="single"/>
        </w:rPr>
      </w:pPr>
      <w:r w:rsidRPr="008711A7">
        <w:rPr>
          <w:sz w:val="28"/>
          <w:u w:val="single"/>
        </w:rPr>
        <w:t>Project Tasks</w:t>
      </w:r>
    </w:p>
    <w:p w:rsidR="00DE54D7" w:rsidRDefault="00DE54D7" w:rsidP="00DE54D7"/>
    <w:p w:rsidR="00DE54D7" w:rsidRDefault="00DE54D7" w:rsidP="00DE54D7">
      <w:pPr>
        <w:rPr>
          <w:b/>
        </w:rPr>
      </w:pPr>
      <w:proofErr w:type="gramStart"/>
      <w:r w:rsidRPr="00816C14">
        <w:rPr>
          <w:b/>
        </w:rPr>
        <w:t>Task 1.</w:t>
      </w:r>
      <w:proofErr w:type="gramEnd"/>
      <w:r>
        <w:t xml:space="preserve"> </w:t>
      </w:r>
      <w:r>
        <w:rPr>
          <w:b/>
        </w:rPr>
        <w:t>Develop</w:t>
      </w:r>
      <w:r w:rsidRPr="006F77D3">
        <w:rPr>
          <w:b/>
        </w:rPr>
        <w:t xml:space="preserve"> technical tools</w:t>
      </w:r>
    </w:p>
    <w:p w:rsidR="00DE54D7" w:rsidRDefault="00DE54D7" w:rsidP="00DE54D7">
      <w:pPr>
        <w:rPr>
          <w:rFonts w:cs="Arial"/>
          <w:bCs/>
        </w:rPr>
      </w:pPr>
      <w:r>
        <w:rPr>
          <w:rFonts w:cs="Arial"/>
          <w:bCs/>
        </w:rPr>
        <w:t>MWCOG proposes to work with a contractor to d</w:t>
      </w:r>
      <w:r w:rsidRPr="006F77D3">
        <w:rPr>
          <w:rFonts w:cs="Arial"/>
          <w:bCs/>
        </w:rPr>
        <w:t>evelop</w:t>
      </w:r>
      <w:r>
        <w:rPr>
          <w:rFonts w:cs="Arial"/>
          <w:bCs/>
        </w:rPr>
        <w:t xml:space="preserve"> </w:t>
      </w:r>
      <w:r w:rsidRPr="006F77D3">
        <w:rPr>
          <w:rFonts w:cs="Arial"/>
          <w:bCs/>
        </w:rPr>
        <w:t>version 2.0 of energy monitoring platform and regional energy and climate portal</w:t>
      </w:r>
      <w:r>
        <w:rPr>
          <w:rFonts w:cs="Arial"/>
          <w:bCs/>
        </w:rPr>
        <w:t xml:space="preserve">. </w:t>
      </w:r>
    </w:p>
    <w:p w:rsidR="00DE54D7" w:rsidRDefault="00DE54D7" w:rsidP="00DE54D7">
      <w:pPr>
        <w:rPr>
          <w:rFonts w:cs="Arial"/>
          <w:bCs/>
        </w:rPr>
      </w:pPr>
      <w:r>
        <w:rPr>
          <w:rFonts w:cs="Arial"/>
          <w:bCs/>
        </w:rPr>
        <w:t>Version 1.0 will be developed for the pilot phase expected to begin on October 2010. For the version 2.0, the contractor selected by COG will be responsible for developing new contents and capabilities</w:t>
      </w:r>
      <w:r w:rsidR="009240F8">
        <w:rPr>
          <w:rFonts w:cs="Arial"/>
          <w:bCs/>
        </w:rPr>
        <w:t xml:space="preserve"> (</w:t>
      </w:r>
      <w:proofErr w:type="spellStart"/>
      <w:r w:rsidR="009240F8">
        <w:rPr>
          <w:rFonts w:cs="Arial"/>
          <w:bCs/>
        </w:rPr>
        <w:t>eg</w:t>
      </w:r>
      <w:proofErr w:type="spellEnd"/>
      <w:r w:rsidR="009240F8">
        <w:rPr>
          <w:rFonts w:cs="Arial"/>
          <w:bCs/>
        </w:rPr>
        <w:t xml:space="preserve">: </w:t>
      </w:r>
      <w:r w:rsidR="00AF0D1B">
        <w:rPr>
          <w:rFonts w:cs="Arial"/>
          <w:bCs/>
        </w:rPr>
        <w:t>video contents</w:t>
      </w:r>
      <w:r w:rsidR="009240F8">
        <w:rPr>
          <w:rFonts w:cs="Arial"/>
          <w:bCs/>
        </w:rPr>
        <w:t>)</w:t>
      </w:r>
      <w:r>
        <w:rPr>
          <w:rFonts w:cs="Arial"/>
          <w:bCs/>
        </w:rPr>
        <w:t xml:space="preserve">. </w:t>
      </w:r>
    </w:p>
    <w:p w:rsidR="00DE54D7" w:rsidRDefault="00DE54D7" w:rsidP="00DE54D7">
      <w:pPr>
        <w:rPr>
          <w:b/>
        </w:rPr>
      </w:pPr>
    </w:p>
    <w:p w:rsidR="00DE54D7" w:rsidRDefault="00DE54D7" w:rsidP="00DE54D7">
      <w:pPr>
        <w:rPr>
          <w:rFonts w:cs="Arial"/>
          <w:b/>
          <w:bCs/>
        </w:rPr>
      </w:pPr>
      <w:proofErr w:type="gramStart"/>
      <w:r w:rsidRPr="00816C14">
        <w:rPr>
          <w:b/>
        </w:rPr>
        <w:t>Task 2.</w:t>
      </w:r>
      <w:proofErr w:type="gramEnd"/>
      <w:r>
        <w:t xml:space="preserve"> </w:t>
      </w:r>
      <w:r>
        <w:rPr>
          <w:b/>
        </w:rPr>
        <w:t>Design</w:t>
      </w:r>
      <w:r w:rsidRPr="0048154F">
        <w:rPr>
          <w:b/>
        </w:rPr>
        <w:t xml:space="preserve"> c</w:t>
      </w:r>
      <w:r w:rsidRPr="006F77D3">
        <w:rPr>
          <w:rFonts w:cs="Arial"/>
          <w:b/>
          <w:bCs/>
        </w:rPr>
        <w:t>hallenge and competition</w:t>
      </w:r>
    </w:p>
    <w:p w:rsidR="00DE54D7" w:rsidRDefault="00DE54D7" w:rsidP="00DE54D7">
      <w:pPr>
        <w:rPr>
          <w:rFonts w:cs="Arial"/>
          <w:bCs/>
        </w:rPr>
      </w:pPr>
      <w:r>
        <w:rPr>
          <w:rFonts w:cs="Arial"/>
          <w:bCs/>
        </w:rPr>
        <w:t>During this phase, MWCOG will work with the program steering committee to design</w:t>
      </w:r>
      <w:r w:rsidRPr="0060711C">
        <w:rPr>
          <w:rFonts w:cs="Arial"/>
          <w:bCs/>
        </w:rPr>
        <w:t xml:space="preserve"> </w:t>
      </w:r>
      <w:r>
        <w:rPr>
          <w:rFonts w:cs="Arial"/>
          <w:bCs/>
        </w:rPr>
        <w:t xml:space="preserve">the </w:t>
      </w:r>
      <w:r w:rsidRPr="0060711C">
        <w:rPr>
          <w:rFonts w:cs="Arial"/>
          <w:bCs/>
        </w:rPr>
        <w:t xml:space="preserve">competition </w:t>
      </w:r>
      <w:r>
        <w:rPr>
          <w:rFonts w:cs="Arial"/>
          <w:bCs/>
        </w:rPr>
        <w:t>part of the program. Competition rules will be established.</w:t>
      </w:r>
    </w:p>
    <w:p w:rsidR="00DE54D7" w:rsidRDefault="00DE54D7" w:rsidP="00DE54D7">
      <w:pPr>
        <w:rPr>
          <w:rFonts w:cs="Arial"/>
          <w:bCs/>
        </w:rPr>
      </w:pPr>
      <w:r>
        <w:rPr>
          <w:rFonts w:cs="Arial"/>
          <w:bCs/>
        </w:rPr>
        <w:t>MWCOG will also hire a contractor for sponsor research to establish a reward program that will reward individuals and teams in proportion to achieved energy savings. Th</w:t>
      </w:r>
      <w:r w:rsidR="009240F8">
        <w:rPr>
          <w:rFonts w:cs="Arial"/>
          <w:bCs/>
        </w:rPr>
        <w:t>is</w:t>
      </w:r>
      <w:r>
        <w:rPr>
          <w:rFonts w:cs="Arial"/>
          <w:bCs/>
        </w:rPr>
        <w:t xml:space="preserve"> contractor will establish a sponsorship strategy, research sponsors and negotiate their participation in the program. MWCOG objective will be to establish a reward program that is primarily geared toward energy-efficient products, in order to create a “virtuous circle” for energy savings.</w:t>
      </w:r>
    </w:p>
    <w:p w:rsidR="00DE54D7" w:rsidRDefault="00DE54D7" w:rsidP="00DE54D7">
      <w:pPr>
        <w:rPr>
          <w:rFonts w:cs="Arial"/>
          <w:b/>
          <w:bCs/>
        </w:rPr>
      </w:pPr>
    </w:p>
    <w:p w:rsidR="00DE54D7" w:rsidRDefault="00DE54D7" w:rsidP="00DE54D7">
      <w:pPr>
        <w:rPr>
          <w:rFonts w:cs="Arial"/>
          <w:b/>
          <w:bCs/>
        </w:rPr>
      </w:pPr>
      <w:proofErr w:type="gramStart"/>
      <w:r w:rsidRPr="00816C14">
        <w:rPr>
          <w:b/>
        </w:rPr>
        <w:t>Task 3.</w:t>
      </w:r>
      <w:proofErr w:type="gramEnd"/>
      <w:r>
        <w:t xml:space="preserve"> </w:t>
      </w:r>
      <w:r>
        <w:rPr>
          <w:b/>
        </w:rPr>
        <w:t>Develop</w:t>
      </w:r>
      <w:r w:rsidRPr="0048154F">
        <w:rPr>
          <w:b/>
        </w:rPr>
        <w:t xml:space="preserve"> </w:t>
      </w:r>
      <w:r w:rsidRPr="006F77D3">
        <w:rPr>
          <w:b/>
        </w:rPr>
        <w:t>marketing</w:t>
      </w:r>
      <w:r>
        <w:rPr>
          <w:b/>
        </w:rPr>
        <w:t xml:space="preserve"> and outreach strategy</w:t>
      </w:r>
    </w:p>
    <w:p w:rsidR="00DE54D7" w:rsidRDefault="00DE54D7" w:rsidP="00DE54D7">
      <w:pPr>
        <w:rPr>
          <w:rFonts w:cs="Arial"/>
          <w:bCs/>
        </w:rPr>
      </w:pPr>
      <w:r>
        <w:rPr>
          <w:rFonts w:cs="Arial"/>
          <w:bCs/>
        </w:rPr>
        <w:t xml:space="preserve">For task 3, MWCOG will work with a public relation and communication professional to develop a marketing plan. The overarching goal of the plan will be to foster the program’s potential to become “viral”. </w:t>
      </w:r>
      <w:r w:rsidRPr="00ED35CF">
        <w:rPr>
          <w:rFonts w:cs="Arial"/>
          <w:bCs/>
        </w:rPr>
        <w:t xml:space="preserve">The plan shall identify target audiences, draw on existing </w:t>
      </w:r>
      <w:r>
        <w:rPr>
          <w:rFonts w:cs="Arial"/>
          <w:bCs/>
        </w:rPr>
        <w:t xml:space="preserve">market </w:t>
      </w:r>
      <w:r w:rsidRPr="00ED35CF">
        <w:rPr>
          <w:rFonts w:cs="Arial"/>
          <w:bCs/>
        </w:rPr>
        <w:t>research, define marketing objectives, recommend marketing strategies and recommend detailed action plans to achieve the stated objectives.</w:t>
      </w:r>
    </w:p>
    <w:p w:rsidR="00DE54D7" w:rsidRDefault="00DE54D7" w:rsidP="00DE54D7">
      <w:pPr>
        <w:rPr>
          <w:rFonts w:cs="Arial"/>
          <w:bCs/>
        </w:rPr>
      </w:pPr>
    </w:p>
    <w:p w:rsidR="00DE54D7" w:rsidRDefault="00DE54D7" w:rsidP="00DE54D7">
      <w:pPr>
        <w:rPr>
          <w:b/>
        </w:rPr>
      </w:pPr>
      <w:proofErr w:type="gramStart"/>
      <w:r w:rsidRPr="00816C14">
        <w:rPr>
          <w:b/>
        </w:rPr>
        <w:lastRenderedPageBreak/>
        <w:t>Task 4.</w:t>
      </w:r>
      <w:proofErr w:type="gramEnd"/>
      <w:r>
        <w:t xml:space="preserve"> </w:t>
      </w:r>
      <w:r w:rsidRPr="0077642B">
        <w:rPr>
          <w:b/>
        </w:rPr>
        <w:t>Prepare g</w:t>
      </w:r>
      <w:r w:rsidRPr="00D32EA1">
        <w:rPr>
          <w:b/>
        </w:rPr>
        <w:t>rassroots campaign</w:t>
      </w:r>
      <w:r>
        <w:rPr>
          <w:b/>
        </w:rPr>
        <w:t xml:space="preserve"> and Energy Leaders program</w:t>
      </w:r>
    </w:p>
    <w:p w:rsidR="00DE54D7" w:rsidRDefault="00DE54D7" w:rsidP="00DE54D7">
      <w:pPr>
        <w:rPr>
          <w:rFonts w:cs="Arial"/>
        </w:rPr>
      </w:pPr>
      <w:r>
        <w:rPr>
          <w:rFonts w:cs="Arial"/>
        </w:rPr>
        <w:t xml:space="preserve">For this part, MWCOG will </w:t>
      </w:r>
      <w:r w:rsidR="00AF0D1B">
        <w:rPr>
          <w:rFonts w:cs="Arial"/>
        </w:rPr>
        <w:t>work</w:t>
      </w:r>
      <w:r>
        <w:rPr>
          <w:rFonts w:cs="Arial"/>
        </w:rPr>
        <w:t xml:space="preserve"> a grassroots coordinator</w:t>
      </w:r>
      <w:r w:rsidR="00AF0D1B">
        <w:rPr>
          <w:rFonts w:cs="Arial"/>
        </w:rPr>
        <w:t xml:space="preserve"> or partner with </w:t>
      </w:r>
      <w:r w:rsidR="00873B9F">
        <w:rPr>
          <w:rFonts w:cs="Arial"/>
        </w:rPr>
        <w:t>a couple of organizations that already have field organizing experience in energy performance</w:t>
      </w:r>
      <w:r w:rsidR="00103657">
        <w:rPr>
          <w:rFonts w:cs="Arial"/>
        </w:rPr>
        <w:t xml:space="preserve"> (</w:t>
      </w:r>
      <w:proofErr w:type="spellStart"/>
      <w:r w:rsidR="00103657">
        <w:rPr>
          <w:rFonts w:cs="Arial"/>
        </w:rPr>
        <w:t>eg</w:t>
      </w:r>
      <w:proofErr w:type="spellEnd"/>
      <w:r w:rsidR="00103657">
        <w:rPr>
          <w:rFonts w:cs="Arial"/>
        </w:rPr>
        <w:t>: weatherization providers, green jobs training centers, Home Performance with energy star partners)</w:t>
      </w:r>
      <w:r w:rsidR="00873B9F">
        <w:rPr>
          <w:rFonts w:cs="Arial"/>
        </w:rPr>
        <w:t>. Their mission</w:t>
      </w:r>
      <w:r>
        <w:rPr>
          <w:rFonts w:cs="Arial"/>
        </w:rPr>
        <w:t xml:space="preserve"> will be to:</w:t>
      </w:r>
    </w:p>
    <w:p w:rsidR="00DE54D7" w:rsidRDefault="00DE54D7" w:rsidP="00DE54D7">
      <w:pPr>
        <w:numPr>
          <w:ilvl w:val="0"/>
          <w:numId w:val="2"/>
        </w:numPr>
        <w:rPr>
          <w:rFonts w:cs="Arial"/>
        </w:rPr>
      </w:pPr>
      <w:r>
        <w:rPr>
          <w:rFonts w:cs="Arial"/>
        </w:rPr>
        <w:t xml:space="preserve">Identify local community groups that can support and publicize the regional program, </w:t>
      </w:r>
    </w:p>
    <w:p w:rsidR="00DE54D7" w:rsidRDefault="00DE54D7" w:rsidP="00DE54D7">
      <w:pPr>
        <w:numPr>
          <w:ilvl w:val="0"/>
          <w:numId w:val="2"/>
        </w:numPr>
        <w:rPr>
          <w:rFonts w:cs="Arial"/>
        </w:rPr>
      </w:pPr>
      <w:r>
        <w:rPr>
          <w:rFonts w:cs="Arial"/>
        </w:rPr>
        <w:t>reach out to them, secure their engagement in the program, provide them on-going support,</w:t>
      </w:r>
    </w:p>
    <w:p w:rsidR="00DE54D7" w:rsidRDefault="00DE54D7" w:rsidP="00DE54D7">
      <w:pPr>
        <w:numPr>
          <w:ilvl w:val="0"/>
          <w:numId w:val="2"/>
        </w:numPr>
        <w:rPr>
          <w:rFonts w:cs="Arial"/>
        </w:rPr>
      </w:pPr>
      <w:r>
        <w:rPr>
          <w:rFonts w:cs="Arial"/>
        </w:rPr>
        <w:t>Coordinate grassroots activities, track and document initiatives taken by these groups to promote participation in MWCOG program.</w:t>
      </w:r>
    </w:p>
    <w:p w:rsidR="00DE54D7" w:rsidRDefault="00DE54D7" w:rsidP="00DE54D7">
      <w:pPr>
        <w:rPr>
          <w:rFonts w:cs="Arial"/>
        </w:rPr>
      </w:pPr>
    </w:p>
    <w:p w:rsidR="00DE54D7" w:rsidRDefault="00DE54D7" w:rsidP="00DE54D7">
      <w:pPr>
        <w:rPr>
          <w:rFonts w:cs="Arial"/>
        </w:rPr>
      </w:pPr>
      <w:r>
        <w:rPr>
          <w:rFonts w:cs="Arial"/>
        </w:rPr>
        <w:t xml:space="preserve">In addition of creating and sustaining this broad network of community organizations supportive of the program, MWCOG also proposes to develop an innovative approach to community engagement, by setting up a “community Energy Leaders” program.  These individuals will be trained by MWCOG and will be required to commit to a certain amount of time for the program. </w:t>
      </w:r>
      <w:r w:rsidR="00873B9F">
        <w:rPr>
          <w:rFonts w:cs="Arial"/>
        </w:rPr>
        <w:t xml:space="preserve">COG is studying an incentive </w:t>
      </w:r>
      <w:r w:rsidR="007E334D">
        <w:rPr>
          <w:rFonts w:cs="Arial"/>
        </w:rPr>
        <w:t xml:space="preserve">plan </w:t>
      </w:r>
      <w:r w:rsidR="00873B9F">
        <w:rPr>
          <w:rFonts w:cs="Arial"/>
        </w:rPr>
        <w:t>that could motivate people to apply</w:t>
      </w:r>
      <w:r>
        <w:rPr>
          <w:rFonts w:cs="Arial"/>
        </w:rPr>
        <w:t>.</w:t>
      </w:r>
    </w:p>
    <w:p w:rsidR="00DE54D7" w:rsidRDefault="00DE54D7" w:rsidP="00DE54D7">
      <w:pPr>
        <w:rPr>
          <w:rFonts w:cs="Arial"/>
        </w:rPr>
      </w:pPr>
    </w:p>
    <w:p w:rsidR="00DE54D7" w:rsidRDefault="00DE54D7" w:rsidP="00DE54D7">
      <w:pPr>
        <w:rPr>
          <w:rFonts w:cs="Arial"/>
        </w:rPr>
      </w:pPr>
      <w:r>
        <w:rPr>
          <w:rFonts w:cs="Arial"/>
        </w:rPr>
        <w:t>The steps to create the Community Energy Leader Program are the following:</w:t>
      </w:r>
    </w:p>
    <w:p w:rsidR="00DE54D7" w:rsidRDefault="00DE54D7" w:rsidP="00DE54D7">
      <w:pPr>
        <w:numPr>
          <w:ilvl w:val="0"/>
          <w:numId w:val="2"/>
        </w:numPr>
        <w:rPr>
          <w:rFonts w:cs="Arial"/>
        </w:rPr>
      </w:pPr>
      <w:r>
        <w:rPr>
          <w:rFonts w:cs="Arial"/>
        </w:rPr>
        <w:t>Develop training curriculum for Energy Leaders, on home energy conservation and outreach techniques.</w:t>
      </w:r>
    </w:p>
    <w:p w:rsidR="00DE54D7" w:rsidRDefault="00DE54D7" w:rsidP="00DE54D7">
      <w:pPr>
        <w:numPr>
          <w:ilvl w:val="0"/>
          <w:numId w:val="2"/>
        </w:numPr>
        <w:rPr>
          <w:rFonts w:cs="Arial"/>
        </w:rPr>
      </w:pPr>
      <w:r>
        <w:rPr>
          <w:rFonts w:cs="Arial"/>
        </w:rPr>
        <w:t xml:space="preserve">Develop an “energy leader toolkit” (print, energy leaders blogs), </w:t>
      </w:r>
    </w:p>
    <w:p w:rsidR="00DE54D7" w:rsidRDefault="00DE54D7" w:rsidP="00DE54D7">
      <w:pPr>
        <w:numPr>
          <w:ilvl w:val="0"/>
          <w:numId w:val="2"/>
        </w:numPr>
        <w:rPr>
          <w:rFonts w:cs="Arial"/>
        </w:rPr>
      </w:pPr>
      <w:r>
        <w:rPr>
          <w:rFonts w:cs="Arial"/>
        </w:rPr>
        <w:t>Recruit approximately 30 Energy Leaders for Season 1, train them and coordinate the Community Energy Leaders network and activities.</w:t>
      </w:r>
    </w:p>
    <w:p w:rsidR="00DE54D7" w:rsidRDefault="00DE54D7" w:rsidP="00DE54D7">
      <w:pPr>
        <w:rPr>
          <w:rFonts w:cs="Arial"/>
        </w:rPr>
      </w:pPr>
      <w:r>
        <w:rPr>
          <w:rFonts w:cs="Arial"/>
        </w:rPr>
        <w:t xml:space="preserve"> </w:t>
      </w:r>
    </w:p>
    <w:p w:rsidR="00DE54D7" w:rsidRDefault="00DE54D7" w:rsidP="00DE54D7">
      <w:pPr>
        <w:rPr>
          <w:rFonts w:cs="Arial"/>
        </w:rPr>
      </w:pPr>
      <w:r>
        <w:rPr>
          <w:rFonts w:cs="Arial"/>
        </w:rPr>
        <w:t>MWCOG Community Energy Leader program will build on a similar program that will be tested in one of COG member jurisdiction (Montgomery County) in the coming months.</w:t>
      </w:r>
    </w:p>
    <w:p w:rsidR="00DE54D7" w:rsidRDefault="00DE54D7" w:rsidP="00DE54D7">
      <w:pPr>
        <w:rPr>
          <w:b/>
        </w:rPr>
      </w:pPr>
    </w:p>
    <w:p w:rsidR="00DE54D7" w:rsidRDefault="00DE54D7" w:rsidP="00DE54D7">
      <w:pPr>
        <w:rPr>
          <w:b/>
        </w:rPr>
      </w:pPr>
      <w:r w:rsidRPr="00816C14">
        <w:rPr>
          <w:b/>
        </w:rPr>
        <w:t>Task 5</w:t>
      </w:r>
      <w:r>
        <w:rPr>
          <w:b/>
        </w:rPr>
        <w:t xml:space="preserve"> - Launch and implement “season 1” of the program</w:t>
      </w:r>
    </w:p>
    <w:p w:rsidR="00DE54D7" w:rsidRDefault="00DE54D7" w:rsidP="00DE54D7">
      <w:pPr>
        <w:rPr>
          <w:rFonts w:cs="Arial"/>
        </w:rPr>
      </w:pPr>
      <w:r>
        <w:rPr>
          <w:rFonts w:cs="Arial"/>
        </w:rPr>
        <w:t>This phase will begin with the official launch of the program’s “SEASON 1” (6 months, during winter).</w:t>
      </w:r>
    </w:p>
    <w:p w:rsidR="00DE54D7" w:rsidRDefault="00DE54D7" w:rsidP="00DE54D7">
      <w:pPr>
        <w:rPr>
          <w:rFonts w:cs="Arial"/>
        </w:rPr>
      </w:pPr>
      <w:r>
        <w:rPr>
          <w:rFonts w:cs="Arial"/>
        </w:rPr>
        <w:t>Recruitment of new participants will be on-going through implementation of the marketing campaign</w:t>
      </w:r>
      <w:r w:rsidR="00D167E7">
        <w:rPr>
          <w:rFonts w:cs="Arial"/>
        </w:rPr>
        <w:t xml:space="preserve"> and </w:t>
      </w:r>
      <w:r>
        <w:rPr>
          <w:rFonts w:cs="Arial"/>
        </w:rPr>
        <w:t xml:space="preserve">grassroots activities. </w:t>
      </w:r>
    </w:p>
    <w:p w:rsidR="009240F8" w:rsidRDefault="009240F8" w:rsidP="00DE54D7">
      <w:pPr>
        <w:rPr>
          <w:rFonts w:cs="Arial"/>
        </w:rPr>
      </w:pPr>
    </w:p>
    <w:p w:rsidR="00DE54D7" w:rsidRDefault="00DE54D7" w:rsidP="00DE54D7">
      <w:pPr>
        <w:rPr>
          <w:rFonts w:cs="Arial"/>
          <w:bCs/>
        </w:rPr>
      </w:pPr>
      <w:r w:rsidRPr="00ED35CF">
        <w:rPr>
          <w:rFonts w:cs="Arial"/>
        </w:rPr>
        <w:t xml:space="preserve">The </w:t>
      </w:r>
      <w:r>
        <w:rPr>
          <w:rFonts w:cs="Arial"/>
        </w:rPr>
        <w:t xml:space="preserve">content of the </w:t>
      </w:r>
      <w:r w:rsidRPr="00ED35CF">
        <w:rPr>
          <w:rFonts w:cs="Arial"/>
        </w:rPr>
        <w:t xml:space="preserve">marketing campaign will </w:t>
      </w:r>
      <w:r>
        <w:rPr>
          <w:rFonts w:cs="Arial"/>
        </w:rPr>
        <w:t>depend of the</w:t>
      </w:r>
      <w:r w:rsidRPr="00ED35CF">
        <w:rPr>
          <w:rFonts w:cs="Arial"/>
        </w:rPr>
        <w:t xml:space="preserve"> strategy</w:t>
      </w:r>
      <w:r>
        <w:rPr>
          <w:rFonts w:cs="Arial"/>
        </w:rPr>
        <w:t xml:space="preserve"> recommended in task 4. </w:t>
      </w:r>
      <w:r>
        <w:rPr>
          <w:rFonts w:cs="Arial"/>
          <w:bCs/>
        </w:rPr>
        <w:t>Given the nature of the proposed program, preliminary research let us think that the campaign should focus on targeted web advertisement and a strong presence on social media and blogs.</w:t>
      </w:r>
    </w:p>
    <w:p w:rsidR="00DE54D7" w:rsidRDefault="00DE54D7" w:rsidP="00DE54D7">
      <w:pPr>
        <w:rPr>
          <w:rFonts w:cs="Arial"/>
        </w:rPr>
      </w:pPr>
    </w:p>
    <w:p w:rsidR="00DE54D7" w:rsidRDefault="00DE54D7" w:rsidP="00DE54D7">
      <w:pPr>
        <w:rPr>
          <w:rFonts w:cs="Arial"/>
        </w:rPr>
      </w:pPr>
      <w:r>
        <w:rPr>
          <w:rFonts w:cs="Arial"/>
        </w:rPr>
        <w:t>The grassroots activities will include implementation of the Community Energy Leaders program, kick-off meetings, local “home energy forums”, energy workshops, participation in local events with schools, churches, community centers and other community groups. This part will be overseen by the grassroots coordinator (or contractor?) hired by MWCOG.</w:t>
      </w:r>
    </w:p>
    <w:p w:rsidR="00DE54D7" w:rsidRDefault="00DE54D7" w:rsidP="00DE54D7">
      <w:pPr>
        <w:rPr>
          <w:rFonts w:cs="Arial"/>
        </w:rPr>
      </w:pPr>
    </w:p>
    <w:p w:rsidR="00DE54D7" w:rsidRDefault="00DE54D7" w:rsidP="00DE54D7">
      <w:pPr>
        <w:rPr>
          <w:rFonts w:cs="Arial"/>
        </w:rPr>
      </w:pPr>
      <w:r>
        <w:rPr>
          <w:rFonts w:cs="Arial"/>
        </w:rPr>
        <w:t>Progress in participation rate per jurisdiction and per state, energy savings achieved by participants will be tracked monthly during season 1 and reporting to the program steering committee as well as to EPA.</w:t>
      </w:r>
    </w:p>
    <w:p w:rsidR="00DE54D7" w:rsidRDefault="00DE54D7" w:rsidP="00DE54D7">
      <w:pPr>
        <w:rPr>
          <w:rFonts w:cs="Arial"/>
        </w:rPr>
      </w:pPr>
      <w:r>
        <w:rPr>
          <w:rFonts w:cs="Arial"/>
        </w:rPr>
        <w:t>Based on monthly reporting, MWCOG will adjust the program if needed.</w:t>
      </w:r>
    </w:p>
    <w:p w:rsidR="00DE54D7" w:rsidRDefault="00DE54D7" w:rsidP="00DE54D7">
      <w:pPr>
        <w:rPr>
          <w:rFonts w:cs="Arial"/>
        </w:rPr>
      </w:pPr>
    </w:p>
    <w:p w:rsidR="00DE54D7" w:rsidRDefault="00DE54D7" w:rsidP="00DE54D7">
      <w:pPr>
        <w:rPr>
          <w:rFonts w:cs="Arial"/>
        </w:rPr>
      </w:pPr>
      <w:r>
        <w:rPr>
          <w:rFonts w:cs="Arial"/>
        </w:rPr>
        <w:t>Season 1 will end with the publication of the final results and an award ceremony for best performing teams, communities and/or jurisdictions.</w:t>
      </w:r>
    </w:p>
    <w:p w:rsidR="00DE54D7" w:rsidRDefault="00DE54D7" w:rsidP="00DE54D7">
      <w:pPr>
        <w:rPr>
          <w:b/>
        </w:rPr>
      </w:pPr>
    </w:p>
    <w:p w:rsidR="00C446D2" w:rsidRDefault="00C446D2" w:rsidP="00DE54D7">
      <w:pPr>
        <w:rPr>
          <w:b/>
        </w:rPr>
      </w:pPr>
    </w:p>
    <w:p w:rsidR="00C446D2" w:rsidRDefault="00C446D2" w:rsidP="00DE54D7">
      <w:pPr>
        <w:rPr>
          <w:b/>
        </w:rPr>
      </w:pPr>
    </w:p>
    <w:p w:rsidR="00DE54D7" w:rsidRDefault="00DE54D7" w:rsidP="00DE54D7">
      <w:pPr>
        <w:rPr>
          <w:b/>
        </w:rPr>
      </w:pPr>
      <w:proofErr w:type="gramStart"/>
      <w:r w:rsidRPr="00816C14">
        <w:rPr>
          <w:b/>
        </w:rPr>
        <w:lastRenderedPageBreak/>
        <w:t>Task 6.</w:t>
      </w:r>
      <w:proofErr w:type="gramEnd"/>
      <w:r w:rsidRPr="00631849">
        <w:t xml:space="preserve"> </w:t>
      </w:r>
      <w:r w:rsidRPr="0048154F">
        <w:rPr>
          <w:b/>
        </w:rPr>
        <w:t>Evaluate</w:t>
      </w:r>
      <w:r>
        <w:t xml:space="preserve"> </w:t>
      </w:r>
      <w:r w:rsidRPr="007C4152">
        <w:rPr>
          <w:b/>
        </w:rPr>
        <w:t>Season 1</w:t>
      </w:r>
    </w:p>
    <w:p w:rsidR="00DE54D7" w:rsidRDefault="00DE54D7" w:rsidP="00DE54D7">
      <w:pPr>
        <w:rPr>
          <w:rFonts w:cs="Arial"/>
          <w:bCs/>
        </w:rPr>
      </w:pPr>
      <w:r>
        <w:rPr>
          <w:rFonts w:cs="Arial"/>
          <w:bCs/>
        </w:rPr>
        <w:t>In this phase, the outcomes of Season 1’s outcomes will be consolidated by MWCOG in a final report. This report will also identify the lessons learned for Season 2 and the adjustments that need to be made to the program.</w:t>
      </w:r>
    </w:p>
    <w:p w:rsidR="00DE54D7" w:rsidRDefault="00DE54D7" w:rsidP="00DE54D7">
      <w:pPr>
        <w:rPr>
          <w:b/>
        </w:rPr>
      </w:pPr>
    </w:p>
    <w:p w:rsidR="00DE54D7" w:rsidRDefault="00DE54D7" w:rsidP="00DE54D7">
      <w:pPr>
        <w:rPr>
          <w:b/>
        </w:rPr>
      </w:pPr>
      <w:proofErr w:type="gramStart"/>
      <w:r w:rsidRPr="00816C14">
        <w:rPr>
          <w:b/>
        </w:rPr>
        <w:t>Task 7</w:t>
      </w:r>
      <w:r w:rsidRPr="00631849">
        <w:t>.</w:t>
      </w:r>
      <w:proofErr w:type="gramEnd"/>
      <w:r>
        <w:t xml:space="preserve"> </w:t>
      </w:r>
      <w:r w:rsidRPr="0048154F">
        <w:rPr>
          <w:b/>
        </w:rPr>
        <w:t>Implement</w:t>
      </w:r>
      <w:r>
        <w:t xml:space="preserve"> </w:t>
      </w:r>
      <w:r w:rsidRPr="007C4152">
        <w:rPr>
          <w:b/>
        </w:rPr>
        <w:t>Season 2</w:t>
      </w:r>
    </w:p>
    <w:p w:rsidR="00DE54D7" w:rsidRDefault="00DE54D7" w:rsidP="00DE54D7">
      <w:r>
        <w:t>Season 2 will follow basically the same scheme as season 1, but will happen during spring / summer. This will enables to test new messages fitted to the season.</w:t>
      </w:r>
    </w:p>
    <w:p w:rsidR="00DE54D7" w:rsidRPr="005C6AAF" w:rsidRDefault="00DE54D7" w:rsidP="00DE54D7">
      <w:r>
        <w:t>MWCOG will work with the same contractors as for Season 1.</w:t>
      </w:r>
    </w:p>
    <w:p w:rsidR="00DE54D7" w:rsidRDefault="00DE54D7" w:rsidP="00DE54D7">
      <w:pPr>
        <w:rPr>
          <w:b/>
        </w:rPr>
      </w:pPr>
    </w:p>
    <w:p w:rsidR="00DE54D7" w:rsidRDefault="00DE54D7" w:rsidP="00DE54D7">
      <w:pPr>
        <w:rPr>
          <w:rFonts w:cs="Arial"/>
          <w:b/>
          <w:bCs/>
        </w:rPr>
      </w:pPr>
      <w:proofErr w:type="gramStart"/>
      <w:r w:rsidRPr="00816C14">
        <w:rPr>
          <w:b/>
        </w:rPr>
        <w:t>Task 8.</w:t>
      </w:r>
      <w:proofErr w:type="gramEnd"/>
      <w:r>
        <w:t xml:space="preserve"> </w:t>
      </w:r>
      <w:r w:rsidRPr="006A71FF">
        <w:rPr>
          <w:b/>
        </w:rPr>
        <w:t xml:space="preserve">Conduct final evaluation, </w:t>
      </w:r>
      <w:r>
        <w:rPr>
          <w:b/>
        </w:rPr>
        <w:t>d</w:t>
      </w:r>
      <w:r w:rsidRPr="006A71FF">
        <w:rPr>
          <w:b/>
        </w:rPr>
        <w:t>esign strategy for program continuation and replication in other communities</w:t>
      </w:r>
    </w:p>
    <w:p w:rsidR="00DE54D7" w:rsidRDefault="00DE54D7" w:rsidP="00DE54D7">
      <w:r>
        <w:t>This final task is a “wrap-up” phase for the entire program. MWCOG will produce a final evaluation report that will include a strategy for program continuation in the Washington region as well as guidelines for other regions / cities that would like to replicate a similar program in their communities.</w:t>
      </w:r>
    </w:p>
    <w:p w:rsidR="00DE54D7" w:rsidRDefault="00DE54D7" w:rsidP="00DE54D7"/>
    <w:p w:rsidR="00DE54D7" w:rsidRDefault="00DE54D7" w:rsidP="00DE54D7"/>
    <w:p w:rsidR="00DE54D7" w:rsidRPr="00DE54D7" w:rsidRDefault="00DE54D7" w:rsidP="00DE54D7">
      <w:pPr>
        <w:rPr>
          <w:sz w:val="28"/>
          <w:u w:val="single"/>
        </w:rPr>
      </w:pPr>
      <w:r>
        <w:rPr>
          <w:sz w:val="28"/>
          <w:u w:val="single"/>
        </w:rPr>
        <w:t>Deliverables</w:t>
      </w:r>
    </w:p>
    <w:p w:rsidR="00DE54D7" w:rsidRPr="00B069C1" w:rsidRDefault="00DE54D7" w:rsidP="00DE54D7"/>
    <w:tbl>
      <w:tblPr>
        <w:tblStyle w:val="TableGrid"/>
        <w:tblW w:w="9828" w:type="dxa"/>
        <w:tblLook w:val="0000"/>
      </w:tblPr>
      <w:tblGrid>
        <w:gridCol w:w="4698"/>
        <w:gridCol w:w="5130"/>
      </w:tblGrid>
      <w:tr w:rsidR="00DE54D7" w:rsidRPr="00DE54D7" w:rsidTr="00AF0D1B">
        <w:trPr>
          <w:trHeight w:val="156"/>
        </w:trPr>
        <w:tc>
          <w:tcPr>
            <w:tcW w:w="4698" w:type="dxa"/>
            <w:noWrap/>
          </w:tcPr>
          <w:p w:rsidR="00DE54D7" w:rsidRPr="00DE54D7" w:rsidRDefault="00DE54D7" w:rsidP="00AF0D1B">
            <w:pPr>
              <w:rPr>
                <w:b/>
                <w:sz w:val="22"/>
              </w:rPr>
            </w:pPr>
            <w:r w:rsidRPr="00DE54D7">
              <w:rPr>
                <w:b/>
                <w:sz w:val="22"/>
              </w:rPr>
              <w:t xml:space="preserve">Tasks </w:t>
            </w:r>
          </w:p>
        </w:tc>
        <w:tc>
          <w:tcPr>
            <w:tcW w:w="5130" w:type="dxa"/>
          </w:tcPr>
          <w:p w:rsidR="00DE54D7" w:rsidRPr="00DE54D7" w:rsidRDefault="009240F8" w:rsidP="00AF0D1B">
            <w:pPr>
              <w:rPr>
                <w:b/>
                <w:sz w:val="22"/>
              </w:rPr>
            </w:pPr>
            <w:r>
              <w:rPr>
                <w:b/>
                <w:sz w:val="22"/>
              </w:rPr>
              <w:t>Deliverables</w:t>
            </w:r>
          </w:p>
        </w:tc>
      </w:tr>
      <w:tr w:rsidR="00DE54D7" w:rsidRPr="00DE54D7" w:rsidTr="00AF0D1B">
        <w:trPr>
          <w:trHeight w:val="156"/>
        </w:trPr>
        <w:tc>
          <w:tcPr>
            <w:tcW w:w="4698" w:type="dxa"/>
          </w:tcPr>
          <w:p w:rsidR="00DE54D7" w:rsidRPr="00DE54D7" w:rsidRDefault="00DE54D7" w:rsidP="00AF0D1B">
            <w:pPr>
              <w:rPr>
                <w:sz w:val="22"/>
              </w:rPr>
            </w:pPr>
            <w:r w:rsidRPr="00DE54D7">
              <w:rPr>
                <w:sz w:val="22"/>
              </w:rPr>
              <w:t>Task 1. Develop technical tools</w:t>
            </w:r>
          </w:p>
        </w:tc>
        <w:tc>
          <w:tcPr>
            <w:tcW w:w="5130" w:type="dxa"/>
          </w:tcPr>
          <w:p w:rsidR="00DE54D7" w:rsidRPr="00DE54D7" w:rsidRDefault="00DE54D7" w:rsidP="00AF0D1B">
            <w:pPr>
              <w:rPr>
                <w:sz w:val="22"/>
              </w:rPr>
            </w:pPr>
            <w:r w:rsidRPr="00DE54D7">
              <w:rPr>
                <w:sz w:val="22"/>
              </w:rPr>
              <w:t>Energy monitoring tool and regional energy and climate web portal version 2.0</w:t>
            </w:r>
          </w:p>
        </w:tc>
      </w:tr>
      <w:tr w:rsidR="00DE54D7" w:rsidRPr="00DE54D7" w:rsidTr="00AF0D1B">
        <w:trPr>
          <w:trHeight w:val="176"/>
        </w:trPr>
        <w:tc>
          <w:tcPr>
            <w:tcW w:w="4698" w:type="dxa"/>
          </w:tcPr>
          <w:p w:rsidR="00DE54D7" w:rsidRPr="00DE54D7" w:rsidRDefault="00DE54D7" w:rsidP="00AF0D1B">
            <w:pPr>
              <w:rPr>
                <w:sz w:val="22"/>
              </w:rPr>
            </w:pPr>
            <w:r w:rsidRPr="00DE54D7">
              <w:rPr>
                <w:sz w:val="22"/>
              </w:rPr>
              <w:t>Task 2. Design c</w:t>
            </w:r>
            <w:r w:rsidRPr="00DE54D7">
              <w:rPr>
                <w:rFonts w:cs="Arial"/>
                <w:bCs/>
                <w:sz w:val="22"/>
              </w:rPr>
              <w:t>hallenge and competition</w:t>
            </w:r>
          </w:p>
        </w:tc>
        <w:tc>
          <w:tcPr>
            <w:tcW w:w="5130" w:type="dxa"/>
          </w:tcPr>
          <w:p w:rsidR="00DE54D7" w:rsidRPr="00DE54D7" w:rsidRDefault="00DE54D7" w:rsidP="00AF0D1B">
            <w:pPr>
              <w:rPr>
                <w:rFonts w:cs="Arial"/>
                <w:bCs/>
                <w:sz w:val="22"/>
              </w:rPr>
            </w:pPr>
            <w:r w:rsidRPr="00DE54D7">
              <w:rPr>
                <w:rFonts w:cs="Arial"/>
                <w:bCs/>
                <w:sz w:val="22"/>
              </w:rPr>
              <w:t>Competition rules</w:t>
            </w:r>
          </w:p>
          <w:p w:rsidR="00DE54D7" w:rsidRPr="00DE54D7" w:rsidRDefault="00DE54D7" w:rsidP="00AF0D1B">
            <w:pPr>
              <w:rPr>
                <w:sz w:val="22"/>
              </w:rPr>
            </w:pPr>
            <w:r w:rsidRPr="00DE54D7">
              <w:rPr>
                <w:rFonts w:cs="Arial"/>
                <w:bCs/>
                <w:sz w:val="22"/>
              </w:rPr>
              <w:t>Reward program</w:t>
            </w:r>
          </w:p>
        </w:tc>
      </w:tr>
      <w:tr w:rsidR="00DE54D7" w:rsidRPr="00DE54D7" w:rsidTr="00AF0D1B">
        <w:trPr>
          <w:trHeight w:val="156"/>
        </w:trPr>
        <w:tc>
          <w:tcPr>
            <w:tcW w:w="4698" w:type="dxa"/>
          </w:tcPr>
          <w:p w:rsidR="00DE54D7" w:rsidRPr="00DE54D7" w:rsidRDefault="00DE54D7" w:rsidP="00AF0D1B">
            <w:pPr>
              <w:rPr>
                <w:rFonts w:cs="Arial"/>
                <w:bCs/>
                <w:sz w:val="22"/>
              </w:rPr>
            </w:pPr>
            <w:r w:rsidRPr="00DE54D7">
              <w:rPr>
                <w:sz w:val="22"/>
              </w:rPr>
              <w:t>Task 3. Develop marketing and outreach strategy</w:t>
            </w:r>
          </w:p>
        </w:tc>
        <w:tc>
          <w:tcPr>
            <w:tcW w:w="5130" w:type="dxa"/>
          </w:tcPr>
          <w:p w:rsidR="00DE54D7" w:rsidRPr="00DE54D7" w:rsidRDefault="00DE54D7" w:rsidP="00AF0D1B">
            <w:pPr>
              <w:rPr>
                <w:rFonts w:cs="Arial"/>
                <w:bCs/>
                <w:sz w:val="22"/>
              </w:rPr>
            </w:pPr>
            <w:r w:rsidRPr="00DE54D7">
              <w:rPr>
                <w:rFonts w:cs="Arial"/>
                <w:bCs/>
                <w:sz w:val="22"/>
              </w:rPr>
              <w:t>Marketing and outreach plan</w:t>
            </w:r>
          </w:p>
          <w:p w:rsidR="00DE54D7" w:rsidRPr="00DE54D7" w:rsidRDefault="00DE54D7" w:rsidP="00AF0D1B">
            <w:pPr>
              <w:rPr>
                <w:rFonts w:cs="Arial"/>
                <w:bCs/>
                <w:sz w:val="22"/>
              </w:rPr>
            </w:pPr>
          </w:p>
        </w:tc>
      </w:tr>
      <w:tr w:rsidR="00DE54D7" w:rsidRPr="00DE54D7" w:rsidTr="00AF0D1B">
        <w:trPr>
          <w:trHeight w:val="156"/>
        </w:trPr>
        <w:tc>
          <w:tcPr>
            <w:tcW w:w="4698" w:type="dxa"/>
          </w:tcPr>
          <w:p w:rsidR="00DE54D7" w:rsidRPr="00DE54D7" w:rsidRDefault="00DE54D7" w:rsidP="00AF0D1B">
            <w:pPr>
              <w:rPr>
                <w:sz w:val="22"/>
              </w:rPr>
            </w:pPr>
            <w:r w:rsidRPr="00DE54D7">
              <w:rPr>
                <w:sz w:val="22"/>
              </w:rPr>
              <w:t>Task 4. Prepare grassroots campaign</w:t>
            </w:r>
          </w:p>
        </w:tc>
        <w:tc>
          <w:tcPr>
            <w:tcW w:w="5130" w:type="dxa"/>
          </w:tcPr>
          <w:p w:rsidR="00DE54D7" w:rsidRPr="00DE54D7" w:rsidRDefault="00DE54D7" w:rsidP="00AF0D1B">
            <w:pPr>
              <w:rPr>
                <w:rFonts w:cs="Arial"/>
                <w:sz w:val="22"/>
              </w:rPr>
            </w:pPr>
            <w:r w:rsidRPr="00DE54D7">
              <w:rPr>
                <w:rFonts w:cs="Arial"/>
                <w:sz w:val="22"/>
              </w:rPr>
              <w:t>Outreach strategy  and plan</w:t>
            </w:r>
          </w:p>
          <w:p w:rsidR="00DE54D7" w:rsidRPr="00DE54D7" w:rsidRDefault="00DE54D7" w:rsidP="00AF0D1B">
            <w:pPr>
              <w:rPr>
                <w:rFonts w:cs="Arial"/>
                <w:sz w:val="22"/>
              </w:rPr>
            </w:pPr>
            <w:r w:rsidRPr="00DE54D7">
              <w:rPr>
                <w:rFonts w:cs="Arial"/>
                <w:sz w:val="22"/>
              </w:rPr>
              <w:t>Community Energy Leader Training Program</w:t>
            </w:r>
          </w:p>
          <w:p w:rsidR="00DE54D7" w:rsidRPr="00DE54D7" w:rsidRDefault="00DE54D7" w:rsidP="00AF0D1B">
            <w:pPr>
              <w:rPr>
                <w:sz w:val="22"/>
              </w:rPr>
            </w:pPr>
            <w:r w:rsidRPr="00DE54D7">
              <w:rPr>
                <w:rFonts w:cs="Arial"/>
                <w:sz w:val="22"/>
              </w:rPr>
              <w:t>Toolkit for Energy Leaders</w:t>
            </w:r>
          </w:p>
        </w:tc>
      </w:tr>
      <w:tr w:rsidR="00DE54D7" w:rsidRPr="00DE54D7" w:rsidTr="00AF0D1B">
        <w:trPr>
          <w:trHeight w:val="156"/>
        </w:trPr>
        <w:tc>
          <w:tcPr>
            <w:tcW w:w="4698" w:type="dxa"/>
          </w:tcPr>
          <w:p w:rsidR="00DE54D7" w:rsidRPr="00DE54D7" w:rsidRDefault="00DE54D7" w:rsidP="00AF0D1B">
            <w:pPr>
              <w:rPr>
                <w:sz w:val="22"/>
              </w:rPr>
            </w:pPr>
            <w:r w:rsidRPr="00DE54D7">
              <w:rPr>
                <w:sz w:val="22"/>
              </w:rPr>
              <w:t>Task 5 - Launch and implement  “season 1” of the program</w:t>
            </w:r>
          </w:p>
        </w:tc>
        <w:tc>
          <w:tcPr>
            <w:tcW w:w="5130" w:type="dxa"/>
          </w:tcPr>
          <w:p w:rsidR="00DE54D7" w:rsidRPr="00DE54D7" w:rsidRDefault="00DE54D7" w:rsidP="00AF0D1B">
            <w:pPr>
              <w:rPr>
                <w:sz w:val="22"/>
              </w:rPr>
            </w:pPr>
            <w:r w:rsidRPr="00DE54D7">
              <w:rPr>
                <w:sz w:val="22"/>
              </w:rPr>
              <w:t>Monthly progress reports</w:t>
            </w:r>
          </w:p>
        </w:tc>
      </w:tr>
      <w:tr w:rsidR="00DE54D7" w:rsidRPr="00DE54D7" w:rsidTr="00AF0D1B">
        <w:trPr>
          <w:trHeight w:val="156"/>
        </w:trPr>
        <w:tc>
          <w:tcPr>
            <w:tcW w:w="4698" w:type="dxa"/>
          </w:tcPr>
          <w:p w:rsidR="00DE54D7" w:rsidRPr="00DE54D7" w:rsidRDefault="00DE54D7" w:rsidP="00AF0D1B">
            <w:pPr>
              <w:rPr>
                <w:sz w:val="22"/>
              </w:rPr>
            </w:pPr>
            <w:r w:rsidRPr="00DE54D7">
              <w:rPr>
                <w:sz w:val="22"/>
              </w:rPr>
              <w:t xml:space="preserve">Task 6. Evaluate Season 1 </w:t>
            </w:r>
          </w:p>
        </w:tc>
        <w:tc>
          <w:tcPr>
            <w:tcW w:w="5130" w:type="dxa"/>
          </w:tcPr>
          <w:p w:rsidR="00DE54D7" w:rsidRPr="00DE54D7" w:rsidRDefault="00DE54D7" w:rsidP="00AF0D1B">
            <w:pPr>
              <w:rPr>
                <w:sz w:val="22"/>
              </w:rPr>
            </w:pPr>
            <w:r w:rsidRPr="00DE54D7">
              <w:rPr>
                <w:sz w:val="22"/>
              </w:rPr>
              <w:t>Evaluation report on Season 1</w:t>
            </w:r>
          </w:p>
        </w:tc>
      </w:tr>
      <w:tr w:rsidR="00DE54D7" w:rsidRPr="00DE54D7" w:rsidTr="00AF0D1B">
        <w:trPr>
          <w:trHeight w:val="156"/>
        </w:trPr>
        <w:tc>
          <w:tcPr>
            <w:tcW w:w="4698" w:type="dxa"/>
          </w:tcPr>
          <w:p w:rsidR="00DE54D7" w:rsidRPr="00DE54D7" w:rsidRDefault="00DE54D7" w:rsidP="00AF0D1B">
            <w:pPr>
              <w:rPr>
                <w:sz w:val="22"/>
              </w:rPr>
            </w:pPr>
            <w:r w:rsidRPr="00DE54D7">
              <w:rPr>
                <w:sz w:val="22"/>
              </w:rPr>
              <w:t>Task 7. Implement Season 2</w:t>
            </w:r>
          </w:p>
        </w:tc>
        <w:tc>
          <w:tcPr>
            <w:tcW w:w="5130" w:type="dxa"/>
          </w:tcPr>
          <w:p w:rsidR="00DE54D7" w:rsidRPr="00DE54D7" w:rsidRDefault="00DE54D7" w:rsidP="00AF0D1B">
            <w:pPr>
              <w:rPr>
                <w:sz w:val="22"/>
              </w:rPr>
            </w:pPr>
            <w:r w:rsidRPr="00DE54D7">
              <w:rPr>
                <w:sz w:val="22"/>
              </w:rPr>
              <w:t>Monthly progress reports</w:t>
            </w:r>
          </w:p>
        </w:tc>
      </w:tr>
      <w:tr w:rsidR="00DE54D7" w:rsidRPr="00DE54D7" w:rsidTr="00AF0D1B">
        <w:tblPrEx>
          <w:tblLook w:val="04A0"/>
        </w:tblPrEx>
        <w:trPr>
          <w:trHeight w:val="156"/>
        </w:trPr>
        <w:tc>
          <w:tcPr>
            <w:tcW w:w="4698" w:type="dxa"/>
          </w:tcPr>
          <w:p w:rsidR="00DE54D7" w:rsidRPr="00DE54D7" w:rsidRDefault="00DE54D7" w:rsidP="00AF0D1B">
            <w:pPr>
              <w:rPr>
                <w:sz w:val="22"/>
              </w:rPr>
            </w:pPr>
            <w:r w:rsidRPr="00DE54D7">
              <w:rPr>
                <w:sz w:val="22"/>
              </w:rPr>
              <w:t xml:space="preserve">Task 8. Conduct final evaluation, Design strategy for program continuation and replication in other communities </w:t>
            </w:r>
          </w:p>
        </w:tc>
        <w:tc>
          <w:tcPr>
            <w:tcW w:w="5130" w:type="dxa"/>
          </w:tcPr>
          <w:p w:rsidR="00DE54D7" w:rsidRPr="00DE54D7" w:rsidRDefault="00DE54D7" w:rsidP="00AF0D1B">
            <w:pPr>
              <w:rPr>
                <w:sz w:val="22"/>
              </w:rPr>
            </w:pPr>
            <w:r w:rsidRPr="00DE54D7">
              <w:rPr>
                <w:sz w:val="22"/>
              </w:rPr>
              <w:t xml:space="preserve">Final evaluation report and guideline for program replication </w:t>
            </w:r>
          </w:p>
        </w:tc>
      </w:tr>
    </w:tbl>
    <w:p w:rsidR="00DE54D7" w:rsidRPr="00B069C1" w:rsidRDefault="00DE54D7" w:rsidP="00DE54D7"/>
    <w:p w:rsidR="00DE54D7" w:rsidRPr="00B069C1" w:rsidRDefault="00DE54D7" w:rsidP="00DE54D7"/>
    <w:p w:rsidR="00FA2775" w:rsidRDefault="00FA2775">
      <w:pPr>
        <w:spacing w:after="200" w:line="276" w:lineRule="auto"/>
        <w:rPr>
          <w:sz w:val="28"/>
          <w:u w:val="single"/>
        </w:rPr>
      </w:pPr>
      <w:r>
        <w:rPr>
          <w:sz w:val="28"/>
          <w:u w:val="single"/>
        </w:rPr>
        <w:br w:type="page"/>
      </w:r>
    </w:p>
    <w:p w:rsidR="00DE54D7" w:rsidRPr="008711A7" w:rsidRDefault="00DE54D7" w:rsidP="00DE54D7">
      <w:pPr>
        <w:rPr>
          <w:sz w:val="28"/>
          <w:u w:val="single"/>
        </w:rPr>
      </w:pPr>
      <w:r w:rsidRPr="008711A7">
        <w:rPr>
          <w:sz w:val="28"/>
          <w:u w:val="single"/>
        </w:rPr>
        <w:lastRenderedPageBreak/>
        <w:t>Project Time line</w:t>
      </w:r>
    </w:p>
    <w:p w:rsidR="00DE54D7" w:rsidRPr="00B069C1" w:rsidRDefault="00DE54D7" w:rsidP="00DE54D7"/>
    <w:tbl>
      <w:tblPr>
        <w:tblStyle w:val="TableGrid"/>
        <w:tblW w:w="9828" w:type="dxa"/>
        <w:tblLook w:val="0000"/>
      </w:tblPr>
      <w:tblGrid>
        <w:gridCol w:w="5328"/>
        <w:gridCol w:w="1170"/>
        <w:gridCol w:w="1350"/>
        <w:gridCol w:w="1980"/>
      </w:tblGrid>
      <w:tr w:rsidR="00DE54D7" w:rsidRPr="00713B43" w:rsidTr="00AF0D1B">
        <w:trPr>
          <w:trHeight w:val="156"/>
        </w:trPr>
        <w:tc>
          <w:tcPr>
            <w:tcW w:w="5328" w:type="dxa"/>
            <w:noWrap/>
          </w:tcPr>
          <w:p w:rsidR="00DE54D7" w:rsidRPr="00FA2775" w:rsidRDefault="00DE54D7" w:rsidP="00AF0D1B">
            <w:pPr>
              <w:rPr>
                <w:b/>
                <w:sz w:val="22"/>
                <w:szCs w:val="22"/>
              </w:rPr>
            </w:pPr>
            <w:bookmarkStart w:id="0" w:name="OLE_LINK9"/>
            <w:bookmarkStart w:id="1" w:name="OLE_LINK10"/>
            <w:r w:rsidRPr="00FA2775">
              <w:rPr>
                <w:b/>
                <w:sz w:val="22"/>
                <w:szCs w:val="22"/>
              </w:rPr>
              <w:t>Tasks and activities</w:t>
            </w:r>
          </w:p>
        </w:tc>
        <w:tc>
          <w:tcPr>
            <w:tcW w:w="1170" w:type="dxa"/>
            <w:noWrap/>
          </w:tcPr>
          <w:p w:rsidR="00DE54D7" w:rsidRPr="00FA2775" w:rsidRDefault="00DE54D7" w:rsidP="00AF0D1B">
            <w:pPr>
              <w:jc w:val="center"/>
              <w:rPr>
                <w:b/>
                <w:sz w:val="22"/>
                <w:szCs w:val="22"/>
              </w:rPr>
            </w:pPr>
            <w:r w:rsidRPr="00FA2775">
              <w:rPr>
                <w:b/>
                <w:sz w:val="22"/>
                <w:szCs w:val="22"/>
              </w:rPr>
              <w:t>Time</w:t>
            </w:r>
          </w:p>
        </w:tc>
        <w:tc>
          <w:tcPr>
            <w:tcW w:w="1350" w:type="dxa"/>
            <w:shd w:val="clear" w:color="auto" w:fill="DDD9C3" w:themeFill="background2" w:themeFillShade="E6"/>
            <w:noWrap/>
          </w:tcPr>
          <w:p w:rsidR="00DE54D7" w:rsidRPr="00FA2775" w:rsidRDefault="00DE54D7" w:rsidP="00AF0D1B">
            <w:pPr>
              <w:jc w:val="center"/>
              <w:rPr>
                <w:b/>
                <w:sz w:val="22"/>
                <w:szCs w:val="22"/>
              </w:rPr>
            </w:pPr>
            <w:r w:rsidRPr="00FA2775">
              <w:rPr>
                <w:b/>
                <w:sz w:val="22"/>
                <w:szCs w:val="22"/>
              </w:rPr>
              <w:t>24-Month Project Date</w:t>
            </w:r>
          </w:p>
        </w:tc>
        <w:tc>
          <w:tcPr>
            <w:tcW w:w="1980" w:type="dxa"/>
          </w:tcPr>
          <w:p w:rsidR="00DE54D7" w:rsidRPr="00FA2775" w:rsidRDefault="00DE54D7" w:rsidP="00AF0D1B">
            <w:pPr>
              <w:rPr>
                <w:b/>
                <w:sz w:val="22"/>
                <w:szCs w:val="22"/>
              </w:rPr>
            </w:pPr>
            <w:r w:rsidRPr="00FA2775">
              <w:rPr>
                <w:b/>
                <w:sz w:val="22"/>
                <w:szCs w:val="22"/>
              </w:rPr>
              <w:t>Responsible party</w:t>
            </w:r>
          </w:p>
        </w:tc>
      </w:tr>
      <w:tr w:rsidR="00DE54D7" w:rsidRPr="00631849" w:rsidTr="00AF0D1B">
        <w:trPr>
          <w:trHeight w:val="156"/>
        </w:trPr>
        <w:tc>
          <w:tcPr>
            <w:tcW w:w="5328" w:type="dxa"/>
            <w:shd w:val="clear" w:color="auto" w:fill="DDD9C3" w:themeFill="background2" w:themeFillShade="E6"/>
          </w:tcPr>
          <w:p w:rsidR="00DE54D7" w:rsidRPr="00FA2775" w:rsidRDefault="00DE54D7" w:rsidP="00AF0D1B">
            <w:pPr>
              <w:rPr>
                <w:sz w:val="22"/>
                <w:szCs w:val="22"/>
              </w:rPr>
            </w:pPr>
            <w:r w:rsidRPr="00FA2775">
              <w:rPr>
                <w:b/>
                <w:sz w:val="22"/>
                <w:szCs w:val="22"/>
              </w:rPr>
              <w:t>Task 1.</w:t>
            </w:r>
            <w:r w:rsidRPr="00FA2775">
              <w:rPr>
                <w:sz w:val="22"/>
                <w:szCs w:val="22"/>
              </w:rPr>
              <w:t xml:space="preserve"> </w:t>
            </w:r>
            <w:r w:rsidRPr="00FA2775">
              <w:rPr>
                <w:b/>
                <w:sz w:val="22"/>
                <w:szCs w:val="22"/>
              </w:rPr>
              <w:t>Develop technical tools</w:t>
            </w:r>
          </w:p>
        </w:tc>
        <w:tc>
          <w:tcPr>
            <w:tcW w:w="1170" w:type="dxa"/>
            <w:shd w:val="clear" w:color="auto" w:fill="DDD9C3" w:themeFill="background2" w:themeFillShade="E6"/>
            <w:noWrap/>
          </w:tcPr>
          <w:p w:rsidR="00DE54D7" w:rsidRPr="00FA2775" w:rsidRDefault="00DE54D7" w:rsidP="00AF0D1B">
            <w:pPr>
              <w:jc w:val="center"/>
              <w:rPr>
                <w:rFonts w:cs="Arial"/>
                <w:sz w:val="22"/>
                <w:szCs w:val="22"/>
              </w:rPr>
            </w:pPr>
          </w:p>
        </w:tc>
        <w:tc>
          <w:tcPr>
            <w:tcW w:w="1350" w:type="dxa"/>
            <w:shd w:val="clear" w:color="auto" w:fill="DDD9C3" w:themeFill="background2" w:themeFillShade="E6"/>
            <w:noWrap/>
          </w:tcPr>
          <w:p w:rsidR="00DE54D7" w:rsidRPr="00FA2775" w:rsidRDefault="00DE54D7" w:rsidP="00AF0D1B">
            <w:pPr>
              <w:jc w:val="center"/>
              <w:rPr>
                <w:rFonts w:cs="Arial"/>
                <w:sz w:val="22"/>
                <w:szCs w:val="22"/>
              </w:rPr>
            </w:pPr>
          </w:p>
        </w:tc>
        <w:tc>
          <w:tcPr>
            <w:tcW w:w="1980" w:type="dxa"/>
            <w:shd w:val="clear" w:color="auto" w:fill="DDD9C3" w:themeFill="background2" w:themeFillShade="E6"/>
          </w:tcPr>
          <w:p w:rsidR="00DE54D7" w:rsidRPr="00FA2775" w:rsidRDefault="00DE54D7" w:rsidP="00AF0D1B">
            <w:pPr>
              <w:jc w:val="center"/>
              <w:rPr>
                <w:rFonts w:cs="Arial"/>
                <w:sz w:val="22"/>
                <w:szCs w:val="22"/>
              </w:rPr>
            </w:pPr>
          </w:p>
        </w:tc>
      </w:tr>
      <w:tr w:rsidR="00DE54D7" w:rsidRPr="00631849" w:rsidTr="00AF0D1B">
        <w:trPr>
          <w:trHeight w:val="156"/>
        </w:trPr>
        <w:tc>
          <w:tcPr>
            <w:tcW w:w="5328" w:type="dxa"/>
          </w:tcPr>
          <w:p w:rsidR="00DE54D7" w:rsidRPr="00FA2775" w:rsidRDefault="00DE54D7" w:rsidP="00AF0D1B">
            <w:pPr>
              <w:rPr>
                <w:rFonts w:cs="Arial"/>
                <w:bCs/>
                <w:sz w:val="22"/>
                <w:szCs w:val="22"/>
              </w:rPr>
            </w:pPr>
            <w:r w:rsidRPr="00FA2775">
              <w:rPr>
                <w:rFonts w:cs="Arial"/>
                <w:bCs/>
                <w:sz w:val="22"/>
                <w:szCs w:val="22"/>
              </w:rPr>
              <w:t>Develop version 2.0 of energy monitoring platform and regional energy and climate portal</w:t>
            </w:r>
          </w:p>
        </w:tc>
        <w:tc>
          <w:tcPr>
            <w:tcW w:w="1170" w:type="dxa"/>
            <w:noWrap/>
          </w:tcPr>
          <w:p w:rsidR="00DE54D7" w:rsidRPr="00FA2775" w:rsidRDefault="00DE54D7" w:rsidP="00AF0D1B">
            <w:pPr>
              <w:jc w:val="center"/>
              <w:rPr>
                <w:sz w:val="22"/>
                <w:szCs w:val="22"/>
              </w:rPr>
            </w:pPr>
            <w:r w:rsidRPr="00FA2775">
              <w:rPr>
                <w:sz w:val="22"/>
                <w:szCs w:val="22"/>
              </w:rPr>
              <w:t>2 months</w:t>
            </w:r>
          </w:p>
        </w:tc>
        <w:tc>
          <w:tcPr>
            <w:tcW w:w="1350" w:type="dxa"/>
            <w:shd w:val="clear" w:color="auto" w:fill="DDD9C3" w:themeFill="background2" w:themeFillShade="E6"/>
            <w:noWrap/>
          </w:tcPr>
          <w:p w:rsidR="00DE54D7" w:rsidRPr="00FA2775" w:rsidRDefault="00DE54D7" w:rsidP="00AF0D1B">
            <w:pPr>
              <w:jc w:val="center"/>
              <w:rPr>
                <w:sz w:val="22"/>
                <w:szCs w:val="22"/>
              </w:rPr>
            </w:pPr>
            <w:r w:rsidRPr="00FA2775">
              <w:rPr>
                <w:sz w:val="22"/>
                <w:szCs w:val="22"/>
              </w:rPr>
              <w:t>Feb- April</w:t>
            </w:r>
          </w:p>
          <w:p w:rsidR="00DE54D7" w:rsidRPr="00FA2775" w:rsidRDefault="00DE54D7" w:rsidP="00AF0D1B">
            <w:pPr>
              <w:jc w:val="center"/>
              <w:rPr>
                <w:sz w:val="22"/>
                <w:szCs w:val="22"/>
              </w:rPr>
            </w:pPr>
            <w:r w:rsidRPr="00FA2775">
              <w:rPr>
                <w:sz w:val="22"/>
                <w:szCs w:val="22"/>
              </w:rPr>
              <w:t>2011</w:t>
            </w:r>
          </w:p>
        </w:tc>
        <w:tc>
          <w:tcPr>
            <w:tcW w:w="1980" w:type="dxa"/>
          </w:tcPr>
          <w:p w:rsidR="00DE54D7" w:rsidRPr="00FA2775" w:rsidRDefault="00DE54D7" w:rsidP="00AF0D1B">
            <w:pPr>
              <w:rPr>
                <w:sz w:val="22"/>
                <w:szCs w:val="22"/>
              </w:rPr>
            </w:pPr>
            <w:r w:rsidRPr="00FA2775">
              <w:rPr>
                <w:sz w:val="22"/>
                <w:szCs w:val="22"/>
              </w:rPr>
              <w:t>MWCOG + Web/ IT contractor</w:t>
            </w:r>
          </w:p>
        </w:tc>
      </w:tr>
      <w:tr w:rsidR="00DE54D7" w:rsidRPr="00631849" w:rsidTr="00AF0D1B">
        <w:trPr>
          <w:trHeight w:val="176"/>
        </w:trPr>
        <w:tc>
          <w:tcPr>
            <w:tcW w:w="5328" w:type="dxa"/>
            <w:shd w:val="clear" w:color="auto" w:fill="DDD9C3" w:themeFill="background2" w:themeFillShade="E6"/>
          </w:tcPr>
          <w:p w:rsidR="00DE54D7" w:rsidRPr="00FA2775" w:rsidRDefault="00DE54D7" w:rsidP="00AF0D1B">
            <w:pPr>
              <w:rPr>
                <w:sz w:val="22"/>
                <w:szCs w:val="22"/>
              </w:rPr>
            </w:pPr>
            <w:r w:rsidRPr="00FA2775">
              <w:rPr>
                <w:b/>
                <w:sz w:val="22"/>
                <w:szCs w:val="22"/>
              </w:rPr>
              <w:t>Task 2.</w:t>
            </w:r>
            <w:r w:rsidRPr="00FA2775">
              <w:rPr>
                <w:sz w:val="22"/>
                <w:szCs w:val="22"/>
              </w:rPr>
              <w:t xml:space="preserve"> </w:t>
            </w:r>
            <w:r w:rsidRPr="00FA2775">
              <w:rPr>
                <w:b/>
                <w:sz w:val="22"/>
                <w:szCs w:val="22"/>
              </w:rPr>
              <w:t>Design c</w:t>
            </w:r>
            <w:r w:rsidRPr="00FA2775">
              <w:rPr>
                <w:rFonts w:cs="Arial"/>
                <w:b/>
                <w:bCs/>
                <w:sz w:val="22"/>
                <w:szCs w:val="22"/>
              </w:rPr>
              <w:t>hallenge and competition</w:t>
            </w:r>
          </w:p>
        </w:tc>
        <w:tc>
          <w:tcPr>
            <w:tcW w:w="1170" w:type="dxa"/>
            <w:shd w:val="clear" w:color="auto" w:fill="DDD9C3" w:themeFill="background2" w:themeFillShade="E6"/>
            <w:noWrap/>
          </w:tcPr>
          <w:p w:rsidR="00DE54D7" w:rsidRPr="00FA2775" w:rsidRDefault="00DE54D7" w:rsidP="00AF0D1B">
            <w:pPr>
              <w:jc w:val="center"/>
              <w:rPr>
                <w:rFonts w:cs="Arial"/>
                <w:sz w:val="22"/>
                <w:szCs w:val="22"/>
              </w:rPr>
            </w:pPr>
          </w:p>
        </w:tc>
        <w:tc>
          <w:tcPr>
            <w:tcW w:w="1350" w:type="dxa"/>
            <w:shd w:val="clear" w:color="auto" w:fill="DDD9C3" w:themeFill="background2" w:themeFillShade="E6"/>
            <w:noWrap/>
          </w:tcPr>
          <w:p w:rsidR="00DE54D7" w:rsidRPr="00FA2775" w:rsidRDefault="00DE54D7" w:rsidP="00AF0D1B">
            <w:pPr>
              <w:jc w:val="center"/>
              <w:rPr>
                <w:rFonts w:cs="Arial"/>
                <w:sz w:val="22"/>
                <w:szCs w:val="22"/>
              </w:rPr>
            </w:pPr>
          </w:p>
        </w:tc>
        <w:tc>
          <w:tcPr>
            <w:tcW w:w="1980" w:type="dxa"/>
            <w:shd w:val="clear" w:color="auto" w:fill="DDD9C3" w:themeFill="background2" w:themeFillShade="E6"/>
          </w:tcPr>
          <w:p w:rsidR="00DE54D7" w:rsidRPr="00FA2775" w:rsidRDefault="00DE54D7" w:rsidP="00AF0D1B">
            <w:pPr>
              <w:jc w:val="center"/>
              <w:rPr>
                <w:rFonts w:cs="Arial"/>
                <w:sz w:val="22"/>
                <w:szCs w:val="22"/>
              </w:rPr>
            </w:pPr>
          </w:p>
        </w:tc>
      </w:tr>
      <w:tr w:rsidR="00DE54D7" w:rsidRPr="00631849" w:rsidTr="00AF0D1B">
        <w:trPr>
          <w:trHeight w:val="156"/>
        </w:trPr>
        <w:tc>
          <w:tcPr>
            <w:tcW w:w="5328" w:type="dxa"/>
          </w:tcPr>
          <w:p w:rsidR="00DE54D7" w:rsidRPr="00FA2775" w:rsidRDefault="00DE54D7" w:rsidP="00AF0D1B">
            <w:pPr>
              <w:rPr>
                <w:rFonts w:cs="Arial"/>
                <w:bCs/>
                <w:sz w:val="22"/>
                <w:szCs w:val="22"/>
              </w:rPr>
            </w:pPr>
            <w:r w:rsidRPr="00FA2775">
              <w:rPr>
                <w:rFonts w:cs="Arial"/>
                <w:bCs/>
                <w:sz w:val="22"/>
                <w:szCs w:val="22"/>
              </w:rPr>
              <w:t xml:space="preserve">Design competition rules </w:t>
            </w:r>
          </w:p>
          <w:p w:rsidR="00DE54D7" w:rsidRPr="00FA2775" w:rsidRDefault="00DE54D7" w:rsidP="00AF0D1B">
            <w:pPr>
              <w:rPr>
                <w:rFonts w:cs="Arial"/>
                <w:bCs/>
                <w:sz w:val="22"/>
                <w:szCs w:val="22"/>
              </w:rPr>
            </w:pPr>
            <w:r w:rsidRPr="00FA2775">
              <w:rPr>
                <w:rFonts w:cs="Arial"/>
                <w:bCs/>
                <w:sz w:val="22"/>
                <w:szCs w:val="22"/>
              </w:rPr>
              <w:t>Hire PR/marketing firm</w:t>
            </w:r>
          </w:p>
          <w:p w:rsidR="00DE54D7" w:rsidRPr="00FA2775" w:rsidRDefault="00DE54D7" w:rsidP="00AF0D1B">
            <w:pPr>
              <w:rPr>
                <w:rFonts w:cs="Arial"/>
                <w:bCs/>
                <w:sz w:val="22"/>
                <w:szCs w:val="22"/>
              </w:rPr>
            </w:pPr>
            <w:r w:rsidRPr="00FA2775">
              <w:rPr>
                <w:rFonts w:cs="Arial"/>
                <w:bCs/>
                <w:sz w:val="22"/>
                <w:szCs w:val="22"/>
              </w:rPr>
              <w:t xml:space="preserve">Research sponsors for reward program </w:t>
            </w:r>
          </w:p>
        </w:tc>
        <w:tc>
          <w:tcPr>
            <w:tcW w:w="1170" w:type="dxa"/>
            <w:noWrap/>
          </w:tcPr>
          <w:p w:rsidR="00DE54D7" w:rsidRPr="00FA2775" w:rsidDel="005718B5" w:rsidRDefault="00DE54D7" w:rsidP="00AF0D1B">
            <w:pPr>
              <w:jc w:val="center"/>
              <w:rPr>
                <w:sz w:val="22"/>
                <w:szCs w:val="22"/>
              </w:rPr>
            </w:pPr>
            <w:r w:rsidRPr="00FA2775">
              <w:rPr>
                <w:sz w:val="22"/>
                <w:szCs w:val="22"/>
              </w:rPr>
              <w:t>2 months</w:t>
            </w:r>
          </w:p>
        </w:tc>
        <w:tc>
          <w:tcPr>
            <w:tcW w:w="1350" w:type="dxa"/>
            <w:shd w:val="clear" w:color="auto" w:fill="DDD9C3" w:themeFill="background2" w:themeFillShade="E6"/>
            <w:noWrap/>
          </w:tcPr>
          <w:p w:rsidR="00DE54D7" w:rsidRPr="00FA2775" w:rsidRDefault="00DE54D7" w:rsidP="00AF0D1B">
            <w:pPr>
              <w:jc w:val="center"/>
              <w:rPr>
                <w:sz w:val="22"/>
                <w:szCs w:val="22"/>
              </w:rPr>
            </w:pPr>
            <w:r w:rsidRPr="00FA2775">
              <w:rPr>
                <w:sz w:val="22"/>
                <w:szCs w:val="22"/>
              </w:rPr>
              <w:t>Feb - April</w:t>
            </w:r>
          </w:p>
          <w:p w:rsidR="00DE54D7" w:rsidRPr="00FA2775" w:rsidDel="005718B5" w:rsidRDefault="00DE54D7" w:rsidP="00AF0D1B">
            <w:pPr>
              <w:jc w:val="center"/>
              <w:rPr>
                <w:sz w:val="22"/>
                <w:szCs w:val="22"/>
              </w:rPr>
            </w:pPr>
            <w:r w:rsidRPr="00FA2775">
              <w:rPr>
                <w:sz w:val="22"/>
                <w:szCs w:val="22"/>
              </w:rPr>
              <w:t>2011</w:t>
            </w:r>
          </w:p>
        </w:tc>
        <w:tc>
          <w:tcPr>
            <w:tcW w:w="1980" w:type="dxa"/>
          </w:tcPr>
          <w:p w:rsidR="00DE54D7" w:rsidRPr="00FA2775" w:rsidRDefault="00DE54D7" w:rsidP="00AF0D1B">
            <w:pPr>
              <w:rPr>
                <w:sz w:val="22"/>
                <w:szCs w:val="22"/>
              </w:rPr>
            </w:pPr>
            <w:r w:rsidRPr="00FA2775">
              <w:rPr>
                <w:sz w:val="22"/>
                <w:szCs w:val="22"/>
              </w:rPr>
              <w:t>MWCOG</w:t>
            </w:r>
            <w:r w:rsidRPr="00FA2775">
              <w:rPr>
                <w:rFonts w:cs="Arial"/>
                <w:bCs/>
                <w:sz w:val="22"/>
                <w:szCs w:val="22"/>
              </w:rPr>
              <w:t xml:space="preserve"> + partners</w:t>
            </w:r>
            <w:r w:rsidRPr="00FA2775">
              <w:rPr>
                <w:rFonts w:cs="Arial"/>
                <w:bCs/>
                <w:sz w:val="22"/>
                <w:szCs w:val="22"/>
                <w:vertAlign w:val="superscript"/>
              </w:rPr>
              <w:t>(*)</w:t>
            </w:r>
            <w:r w:rsidRPr="00FA2775">
              <w:rPr>
                <w:rFonts w:cs="Arial"/>
                <w:bCs/>
                <w:sz w:val="22"/>
                <w:szCs w:val="22"/>
              </w:rPr>
              <w:t>+ PR/ marketing firm</w:t>
            </w:r>
          </w:p>
        </w:tc>
      </w:tr>
      <w:tr w:rsidR="00DE54D7" w:rsidRPr="00631849" w:rsidTr="00AF0D1B">
        <w:trPr>
          <w:trHeight w:val="156"/>
        </w:trPr>
        <w:tc>
          <w:tcPr>
            <w:tcW w:w="5328" w:type="dxa"/>
            <w:shd w:val="clear" w:color="auto" w:fill="DDD9C3" w:themeFill="background2" w:themeFillShade="E6"/>
          </w:tcPr>
          <w:p w:rsidR="00DE54D7" w:rsidRPr="00FA2775" w:rsidRDefault="00DE54D7" w:rsidP="00AF0D1B">
            <w:pPr>
              <w:rPr>
                <w:rFonts w:cs="Arial"/>
                <w:bCs/>
                <w:sz w:val="22"/>
                <w:szCs w:val="22"/>
              </w:rPr>
            </w:pPr>
            <w:r w:rsidRPr="00FA2775">
              <w:rPr>
                <w:b/>
                <w:sz w:val="22"/>
                <w:szCs w:val="22"/>
              </w:rPr>
              <w:t>Task 3.</w:t>
            </w:r>
            <w:r w:rsidRPr="00FA2775">
              <w:rPr>
                <w:sz w:val="22"/>
                <w:szCs w:val="22"/>
              </w:rPr>
              <w:t xml:space="preserve"> </w:t>
            </w:r>
            <w:r w:rsidRPr="00FA2775">
              <w:rPr>
                <w:b/>
                <w:sz w:val="22"/>
                <w:szCs w:val="22"/>
              </w:rPr>
              <w:t>Develop marketing and outreach strategy</w:t>
            </w:r>
          </w:p>
        </w:tc>
        <w:tc>
          <w:tcPr>
            <w:tcW w:w="1170" w:type="dxa"/>
            <w:shd w:val="clear" w:color="auto" w:fill="DDD9C3" w:themeFill="background2" w:themeFillShade="E6"/>
            <w:noWrap/>
          </w:tcPr>
          <w:p w:rsidR="00DE54D7" w:rsidRPr="00FA2775" w:rsidDel="005718B5" w:rsidRDefault="00DE54D7" w:rsidP="00AF0D1B">
            <w:pPr>
              <w:jc w:val="center"/>
              <w:rPr>
                <w:rFonts w:cs="Arial"/>
                <w:sz w:val="22"/>
                <w:szCs w:val="22"/>
              </w:rPr>
            </w:pPr>
          </w:p>
        </w:tc>
        <w:tc>
          <w:tcPr>
            <w:tcW w:w="1350" w:type="dxa"/>
            <w:shd w:val="clear" w:color="auto" w:fill="DDD9C3" w:themeFill="background2" w:themeFillShade="E6"/>
            <w:noWrap/>
          </w:tcPr>
          <w:p w:rsidR="00DE54D7" w:rsidRPr="00FA2775" w:rsidDel="005718B5" w:rsidRDefault="00DE54D7" w:rsidP="00AF0D1B">
            <w:pPr>
              <w:jc w:val="center"/>
              <w:rPr>
                <w:rFonts w:cs="Arial"/>
                <w:sz w:val="22"/>
                <w:szCs w:val="22"/>
              </w:rPr>
            </w:pPr>
          </w:p>
        </w:tc>
        <w:tc>
          <w:tcPr>
            <w:tcW w:w="1980" w:type="dxa"/>
            <w:shd w:val="clear" w:color="auto" w:fill="DDD9C3" w:themeFill="background2" w:themeFillShade="E6"/>
          </w:tcPr>
          <w:p w:rsidR="00DE54D7" w:rsidRPr="00FA2775" w:rsidDel="005718B5" w:rsidRDefault="00DE54D7" w:rsidP="00AF0D1B">
            <w:pPr>
              <w:jc w:val="center"/>
              <w:rPr>
                <w:rFonts w:cs="Arial"/>
                <w:sz w:val="22"/>
                <w:szCs w:val="22"/>
              </w:rPr>
            </w:pPr>
          </w:p>
        </w:tc>
      </w:tr>
      <w:tr w:rsidR="00DE54D7" w:rsidRPr="00631849" w:rsidTr="00AF0D1B">
        <w:trPr>
          <w:trHeight w:val="156"/>
        </w:trPr>
        <w:tc>
          <w:tcPr>
            <w:tcW w:w="5328" w:type="dxa"/>
          </w:tcPr>
          <w:p w:rsidR="00DE54D7" w:rsidRPr="00FA2775" w:rsidRDefault="00DE54D7" w:rsidP="00AF0D1B">
            <w:pPr>
              <w:rPr>
                <w:rFonts w:cs="Arial"/>
                <w:bCs/>
                <w:sz w:val="22"/>
                <w:szCs w:val="22"/>
              </w:rPr>
            </w:pPr>
            <w:r w:rsidRPr="00FA2775">
              <w:rPr>
                <w:rFonts w:cs="Arial"/>
                <w:bCs/>
                <w:sz w:val="22"/>
                <w:szCs w:val="22"/>
              </w:rPr>
              <w:t>Develop marketing strategy</w:t>
            </w:r>
          </w:p>
          <w:p w:rsidR="00DE54D7" w:rsidRPr="00FA2775" w:rsidRDefault="00DE54D7" w:rsidP="00AF0D1B">
            <w:pPr>
              <w:rPr>
                <w:rFonts w:cs="Arial"/>
                <w:bCs/>
                <w:sz w:val="22"/>
                <w:szCs w:val="22"/>
              </w:rPr>
            </w:pPr>
            <w:r w:rsidRPr="00FA2775">
              <w:rPr>
                <w:rFonts w:cs="Arial"/>
                <w:bCs/>
                <w:sz w:val="22"/>
                <w:szCs w:val="22"/>
              </w:rPr>
              <w:t xml:space="preserve">Media buy, research sponsors for media  campaign </w:t>
            </w:r>
          </w:p>
        </w:tc>
        <w:tc>
          <w:tcPr>
            <w:tcW w:w="1170" w:type="dxa"/>
            <w:noWrap/>
          </w:tcPr>
          <w:p w:rsidR="00DE54D7" w:rsidRPr="00FA2775" w:rsidDel="005718B5" w:rsidRDefault="00DE54D7" w:rsidP="00AF0D1B">
            <w:pPr>
              <w:jc w:val="center"/>
              <w:rPr>
                <w:sz w:val="22"/>
                <w:szCs w:val="22"/>
              </w:rPr>
            </w:pPr>
            <w:r w:rsidRPr="00FA2775">
              <w:rPr>
                <w:sz w:val="22"/>
                <w:szCs w:val="22"/>
              </w:rPr>
              <w:t>4 months</w:t>
            </w:r>
          </w:p>
        </w:tc>
        <w:tc>
          <w:tcPr>
            <w:tcW w:w="1350" w:type="dxa"/>
            <w:shd w:val="clear" w:color="auto" w:fill="DDD9C3" w:themeFill="background2" w:themeFillShade="E6"/>
            <w:noWrap/>
          </w:tcPr>
          <w:p w:rsidR="00DE54D7" w:rsidRPr="00FA2775" w:rsidDel="005718B5" w:rsidRDefault="00DE54D7" w:rsidP="00AF0D1B">
            <w:pPr>
              <w:jc w:val="center"/>
              <w:rPr>
                <w:sz w:val="22"/>
                <w:szCs w:val="22"/>
              </w:rPr>
            </w:pPr>
            <w:r w:rsidRPr="00FA2775">
              <w:rPr>
                <w:sz w:val="22"/>
                <w:szCs w:val="22"/>
              </w:rPr>
              <w:t>Feb – May 2011</w:t>
            </w:r>
          </w:p>
        </w:tc>
        <w:tc>
          <w:tcPr>
            <w:tcW w:w="1980" w:type="dxa"/>
          </w:tcPr>
          <w:p w:rsidR="00DE54D7" w:rsidRPr="00FA2775" w:rsidRDefault="00DE54D7" w:rsidP="00DE54D7">
            <w:pPr>
              <w:rPr>
                <w:sz w:val="22"/>
                <w:szCs w:val="22"/>
              </w:rPr>
            </w:pPr>
            <w:r w:rsidRPr="00FA2775">
              <w:rPr>
                <w:sz w:val="22"/>
                <w:szCs w:val="22"/>
              </w:rPr>
              <w:t>MWCOG</w:t>
            </w:r>
            <w:r w:rsidRPr="00FA2775">
              <w:rPr>
                <w:rFonts w:cs="Arial"/>
                <w:bCs/>
                <w:sz w:val="22"/>
                <w:szCs w:val="22"/>
              </w:rPr>
              <w:t xml:space="preserve"> + partners</w:t>
            </w:r>
            <w:r w:rsidRPr="00FA2775">
              <w:rPr>
                <w:rFonts w:cs="Arial"/>
                <w:bCs/>
                <w:sz w:val="22"/>
                <w:szCs w:val="22"/>
                <w:vertAlign w:val="superscript"/>
              </w:rPr>
              <w:t>(*)</w:t>
            </w:r>
            <w:r w:rsidRPr="00FA2775">
              <w:rPr>
                <w:rFonts w:cs="Arial"/>
                <w:bCs/>
                <w:sz w:val="22"/>
                <w:szCs w:val="22"/>
              </w:rPr>
              <w:t>+ PR/ marketing firm</w:t>
            </w:r>
          </w:p>
        </w:tc>
      </w:tr>
      <w:tr w:rsidR="00DE54D7" w:rsidRPr="00631849" w:rsidTr="00AF0D1B">
        <w:trPr>
          <w:trHeight w:val="156"/>
        </w:trPr>
        <w:tc>
          <w:tcPr>
            <w:tcW w:w="5328" w:type="dxa"/>
            <w:shd w:val="clear" w:color="auto" w:fill="DDD9C3" w:themeFill="background2" w:themeFillShade="E6"/>
          </w:tcPr>
          <w:p w:rsidR="00DE54D7" w:rsidRPr="00FA2775" w:rsidRDefault="00DE54D7" w:rsidP="00AF0D1B">
            <w:pPr>
              <w:rPr>
                <w:sz w:val="22"/>
                <w:szCs w:val="22"/>
              </w:rPr>
            </w:pPr>
            <w:r w:rsidRPr="00FA2775">
              <w:rPr>
                <w:b/>
                <w:sz w:val="22"/>
                <w:szCs w:val="22"/>
              </w:rPr>
              <w:t>Task 4.</w:t>
            </w:r>
            <w:r w:rsidRPr="00FA2775">
              <w:rPr>
                <w:sz w:val="22"/>
                <w:szCs w:val="22"/>
              </w:rPr>
              <w:t xml:space="preserve"> </w:t>
            </w:r>
            <w:r w:rsidRPr="00FA2775">
              <w:rPr>
                <w:b/>
                <w:sz w:val="22"/>
                <w:szCs w:val="22"/>
              </w:rPr>
              <w:t>Prepare</w:t>
            </w:r>
            <w:r w:rsidRPr="00FA2775">
              <w:rPr>
                <w:sz w:val="22"/>
                <w:szCs w:val="22"/>
              </w:rPr>
              <w:t xml:space="preserve"> g</w:t>
            </w:r>
            <w:r w:rsidRPr="00FA2775">
              <w:rPr>
                <w:b/>
                <w:sz w:val="22"/>
                <w:szCs w:val="22"/>
              </w:rPr>
              <w:t>rassroots campaign</w:t>
            </w:r>
          </w:p>
        </w:tc>
        <w:tc>
          <w:tcPr>
            <w:tcW w:w="1170" w:type="dxa"/>
            <w:shd w:val="clear" w:color="auto" w:fill="DDD9C3" w:themeFill="background2" w:themeFillShade="E6"/>
            <w:noWrap/>
          </w:tcPr>
          <w:p w:rsidR="00DE54D7" w:rsidRPr="00FA2775" w:rsidDel="005718B5" w:rsidRDefault="00DE54D7" w:rsidP="00AF0D1B">
            <w:pPr>
              <w:jc w:val="center"/>
              <w:rPr>
                <w:rFonts w:cs="Arial"/>
                <w:sz w:val="22"/>
                <w:szCs w:val="22"/>
              </w:rPr>
            </w:pPr>
          </w:p>
        </w:tc>
        <w:tc>
          <w:tcPr>
            <w:tcW w:w="1350" w:type="dxa"/>
            <w:shd w:val="clear" w:color="auto" w:fill="DDD9C3" w:themeFill="background2" w:themeFillShade="E6"/>
            <w:noWrap/>
          </w:tcPr>
          <w:p w:rsidR="00DE54D7" w:rsidRPr="00FA2775" w:rsidDel="005718B5" w:rsidRDefault="00DE54D7" w:rsidP="00AF0D1B">
            <w:pPr>
              <w:jc w:val="center"/>
              <w:rPr>
                <w:rFonts w:cs="Arial"/>
                <w:sz w:val="22"/>
                <w:szCs w:val="22"/>
              </w:rPr>
            </w:pPr>
          </w:p>
        </w:tc>
        <w:tc>
          <w:tcPr>
            <w:tcW w:w="1980" w:type="dxa"/>
            <w:shd w:val="clear" w:color="auto" w:fill="DDD9C3" w:themeFill="background2" w:themeFillShade="E6"/>
          </w:tcPr>
          <w:p w:rsidR="00DE54D7" w:rsidRPr="00FA2775" w:rsidDel="005718B5" w:rsidRDefault="00DE54D7" w:rsidP="00AF0D1B">
            <w:pPr>
              <w:jc w:val="center"/>
              <w:rPr>
                <w:rFonts w:cs="Arial"/>
                <w:sz w:val="22"/>
                <w:szCs w:val="22"/>
              </w:rPr>
            </w:pPr>
          </w:p>
        </w:tc>
      </w:tr>
      <w:tr w:rsidR="00DE54D7" w:rsidRPr="00631849" w:rsidTr="00AF0D1B">
        <w:trPr>
          <w:trHeight w:val="156"/>
        </w:trPr>
        <w:tc>
          <w:tcPr>
            <w:tcW w:w="5328" w:type="dxa"/>
          </w:tcPr>
          <w:p w:rsidR="00DE54D7" w:rsidRPr="00FA2775" w:rsidRDefault="00DE54D7" w:rsidP="00AF0D1B">
            <w:pPr>
              <w:rPr>
                <w:rFonts w:cs="Arial"/>
                <w:sz w:val="22"/>
                <w:szCs w:val="22"/>
              </w:rPr>
            </w:pPr>
            <w:r w:rsidRPr="00FA2775">
              <w:rPr>
                <w:rFonts w:cs="Arial"/>
                <w:sz w:val="22"/>
                <w:szCs w:val="22"/>
              </w:rPr>
              <w:t>Hire grassroots coordinator + 2 interns</w:t>
            </w:r>
          </w:p>
          <w:p w:rsidR="00DE54D7" w:rsidRPr="00FA2775" w:rsidRDefault="00DE54D7" w:rsidP="00AF0D1B">
            <w:pPr>
              <w:rPr>
                <w:rFonts w:cs="Arial"/>
                <w:sz w:val="22"/>
                <w:szCs w:val="22"/>
              </w:rPr>
            </w:pPr>
            <w:r w:rsidRPr="00FA2775">
              <w:rPr>
                <w:rFonts w:cs="Arial"/>
                <w:sz w:val="22"/>
                <w:szCs w:val="22"/>
              </w:rPr>
              <w:t>Hire consultant for Community Leaders program (curriculum development, training)</w:t>
            </w:r>
          </w:p>
          <w:p w:rsidR="00DE54D7" w:rsidRPr="00FA2775" w:rsidRDefault="00DE54D7" w:rsidP="00AF0D1B">
            <w:pPr>
              <w:rPr>
                <w:rFonts w:cs="Arial"/>
                <w:sz w:val="22"/>
                <w:szCs w:val="22"/>
              </w:rPr>
            </w:pPr>
            <w:r w:rsidRPr="00FA2775">
              <w:rPr>
                <w:rFonts w:cs="Arial"/>
                <w:sz w:val="22"/>
                <w:szCs w:val="22"/>
              </w:rPr>
              <w:t>Develop Community Energy Leaders program</w:t>
            </w:r>
          </w:p>
          <w:p w:rsidR="00DE54D7" w:rsidRPr="00FA2775" w:rsidRDefault="00DE54D7" w:rsidP="00AF0D1B">
            <w:pPr>
              <w:rPr>
                <w:rFonts w:cs="Arial"/>
                <w:sz w:val="22"/>
                <w:szCs w:val="22"/>
              </w:rPr>
            </w:pPr>
            <w:r w:rsidRPr="00FA2775">
              <w:rPr>
                <w:rFonts w:cs="Arial"/>
                <w:sz w:val="22"/>
                <w:szCs w:val="22"/>
              </w:rPr>
              <w:t xml:space="preserve"> Prepare program launch with community groups</w:t>
            </w:r>
          </w:p>
        </w:tc>
        <w:tc>
          <w:tcPr>
            <w:tcW w:w="1170" w:type="dxa"/>
            <w:noWrap/>
          </w:tcPr>
          <w:p w:rsidR="00DE54D7" w:rsidRPr="00FA2775" w:rsidRDefault="00DE54D7" w:rsidP="00AF0D1B">
            <w:pPr>
              <w:jc w:val="center"/>
              <w:rPr>
                <w:sz w:val="22"/>
                <w:szCs w:val="22"/>
              </w:rPr>
            </w:pPr>
            <w:r w:rsidRPr="00FA2775">
              <w:rPr>
                <w:sz w:val="22"/>
                <w:szCs w:val="22"/>
              </w:rPr>
              <w:t>4 months</w:t>
            </w:r>
          </w:p>
        </w:tc>
        <w:tc>
          <w:tcPr>
            <w:tcW w:w="1350" w:type="dxa"/>
            <w:shd w:val="clear" w:color="auto" w:fill="DDD9C3" w:themeFill="background2" w:themeFillShade="E6"/>
            <w:noWrap/>
          </w:tcPr>
          <w:p w:rsidR="00DE54D7" w:rsidRPr="00FA2775" w:rsidRDefault="00DE54D7" w:rsidP="00AF0D1B">
            <w:pPr>
              <w:jc w:val="center"/>
              <w:rPr>
                <w:sz w:val="22"/>
                <w:szCs w:val="22"/>
              </w:rPr>
            </w:pPr>
            <w:r w:rsidRPr="00FA2775">
              <w:rPr>
                <w:sz w:val="22"/>
                <w:szCs w:val="22"/>
              </w:rPr>
              <w:t>Feb 2011</w:t>
            </w:r>
          </w:p>
          <w:p w:rsidR="00DE54D7" w:rsidRPr="00FA2775" w:rsidRDefault="00DE54D7" w:rsidP="00AF0D1B">
            <w:pPr>
              <w:jc w:val="center"/>
              <w:rPr>
                <w:sz w:val="22"/>
                <w:szCs w:val="22"/>
              </w:rPr>
            </w:pPr>
          </w:p>
          <w:p w:rsidR="00DE54D7" w:rsidRPr="00FA2775" w:rsidRDefault="00DE54D7" w:rsidP="00AF0D1B">
            <w:pPr>
              <w:jc w:val="center"/>
              <w:rPr>
                <w:sz w:val="22"/>
                <w:szCs w:val="22"/>
              </w:rPr>
            </w:pPr>
            <w:r w:rsidRPr="00FA2775">
              <w:rPr>
                <w:sz w:val="22"/>
                <w:szCs w:val="22"/>
              </w:rPr>
              <w:t>March – July 2011</w:t>
            </w:r>
          </w:p>
        </w:tc>
        <w:tc>
          <w:tcPr>
            <w:tcW w:w="1980" w:type="dxa"/>
          </w:tcPr>
          <w:p w:rsidR="00DE54D7" w:rsidRPr="00FA2775" w:rsidRDefault="00DE54D7" w:rsidP="00AF0D1B">
            <w:pPr>
              <w:rPr>
                <w:sz w:val="22"/>
                <w:szCs w:val="22"/>
              </w:rPr>
            </w:pPr>
            <w:r w:rsidRPr="00FA2775">
              <w:rPr>
                <w:sz w:val="22"/>
                <w:szCs w:val="22"/>
              </w:rPr>
              <w:t>MWCOG</w:t>
            </w:r>
          </w:p>
          <w:p w:rsidR="00DE54D7" w:rsidRPr="00FA2775" w:rsidRDefault="00DE54D7" w:rsidP="00AF0D1B">
            <w:pPr>
              <w:rPr>
                <w:sz w:val="22"/>
                <w:szCs w:val="22"/>
              </w:rPr>
            </w:pPr>
            <w:r w:rsidRPr="00FA2775">
              <w:rPr>
                <w:sz w:val="22"/>
                <w:szCs w:val="22"/>
              </w:rPr>
              <w:t>MWCOG</w:t>
            </w:r>
            <w:r w:rsidRPr="00FA2775">
              <w:rPr>
                <w:sz w:val="22"/>
                <w:szCs w:val="22"/>
              </w:rPr>
              <w:br/>
            </w:r>
          </w:p>
          <w:p w:rsidR="00DE54D7" w:rsidRPr="00FA2775" w:rsidRDefault="00DE54D7" w:rsidP="00AF0D1B">
            <w:pPr>
              <w:rPr>
                <w:sz w:val="22"/>
                <w:szCs w:val="22"/>
              </w:rPr>
            </w:pPr>
            <w:r w:rsidRPr="00FA2775">
              <w:rPr>
                <w:sz w:val="22"/>
                <w:szCs w:val="22"/>
              </w:rPr>
              <w:t>MWCOG</w:t>
            </w:r>
          </w:p>
          <w:p w:rsidR="00DE54D7" w:rsidRPr="00FA2775" w:rsidRDefault="00DE54D7" w:rsidP="00AF0D1B">
            <w:pPr>
              <w:rPr>
                <w:sz w:val="22"/>
                <w:szCs w:val="22"/>
              </w:rPr>
            </w:pPr>
            <w:r w:rsidRPr="00FA2775">
              <w:rPr>
                <w:sz w:val="22"/>
                <w:szCs w:val="22"/>
              </w:rPr>
              <w:t>MWCOG</w:t>
            </w:r>
          </w:p>
        </w:tc>
      </w:tr>
      <w:tr w:rsidR="00DE54D7" w:rsidRPr="00631849" w:rsidTr="00AF0D1B">
        <w:trPr>
          <w:trHeight w:val="156"/>
        </w:trPr>
        <w:tc>
          <w:tcPr>
            <w:tcW w:w="5328" w:type="dxa"/>
            <w:shd w:val="clear" w:color="auto" w:fill="DDD9C3" w:themeFill="background2" w:themeFillShade="E6"/>
          </w:tcPr>
          <w:p w:rsidR="00DE54D7" w:rsidRPr="00FA2775" w:rsidRDefault="00DE54D7" w:rsidP="00AF0D1B">
            <w:pPr>
              <w:rPr>
                <w:sz w:val="22"/>
                <w:szCs w:val="22"/>
              </w:rPr>
            </w:pPr>
            <w:r w:rsidRPr="00FA2775">
              <w:rPr>
                <w:b/>
                <w:sz w:val="22"/>
                <w:szCs w:val="22"/>
              </w:rPr>
              <w:t>Task 5 - Launch and implement  “season 1” of the program</w:t>
            </w:r>
          </w:p>
        </w:tc>
        <w:tc>
          <w:tcPr>
            <w:tcW w:w="1170" w:type="dxa"/>
            <w:shd w:val="clear" w:color="auto" w:fill="DDD9C3" w:themeFill="background2" w:themeFillShade="E6"/>
            <w:noWrap/>
          </w:tcPr>
          <w:p w:rsidR="00DE54D7" w:rsidRPr="00FA2775" w:rsidRDefault="00DE54D7" w:rsidP="00AF0D1B">
            <w:pPr>
              <w:jc w:val="center"/>
              <w:rPr>
                <w:rFonts w:cs="Arial"/>
                <w:sz w:val="22"/>
                <w:szCs w:val="22"/>
              </w:rPr>
            </w:pPr>
          </w:p>
        </w:tc>
        <w:tc>
          <w:tcPr>
            <w:tcW w:w="1350" w:type="dxa"/>
            <w:shd w:val="clear" w:color="auto" w:fill="DDD9C3" w:themeFill="background2" w:themeFillShade="E6"/>
            <w:noWrap/>
          </w:tcPr>
          <w:p w:rsidR="00DE54D7" w:rsidRPr="00FA2775" w:rsidRDefault="00DE54D7" w:rsidP="00AF0D1B">
            <w:pPr>
              <w:jc w:val="center"/>
              <w:rPr>
                <w:rFonts w:cs="Arial"/>
                <w:sz w:val="22"/>
                <w:szCs w:val="22"/>
              </w:rPr>
            </w:pPr>
          </w:p>
        </w:tc>
        <w:tc>
          <w:tcPr>
            <w:tcW w:w="1980" w:type="dxa"/>
            <w:shd w:val="clear" w:color="auto" w:fill="DDD9C3" w:themeFill="background2" w:themeFillShade="E6"/>
          </w:tcPr>
          <w:p w:rsidR="00DE54D7" w:rsidRPr="00FA2775" w:rsidRDefault="00DE54D7" w:rsidP="00AF0D1B">
            <w:pPr>
              <w:rPr>
                <w:rFonts w:cs="Arial"/>
                <w:sz w:val="22"/>
                <w:szCs w:val="22"/>
              </w:rPr>
            </w:pPr>
          </w:p>
        </w:tc>
      </w:tr>
      <w:tr w:rsidR="00DE54D7" w:rsidRPr="00631849" w:rsidTr="00AF0D1B">
        <w:trPr>
          <w:trHeight w:val="156"/>
        </w:trPr>
        <w:tc>
          <w:tcPr>
            <w:tcW w:w="5328" w:type="dxa"/>
          </w:tcPr>
          <w:p w:rsidR="00DE54D7" w:rsidRPr="00FA2775" w:rsidRDefault="00DE54D7" w:rsidP="00AF0D1B">
            <w:pPr>
              <w:rPr>
                <w:rFonts w:cs="Arial"/>
                <w:sz w:val="22"/>
                <w:szCs w:val="22"/>
              </w:rPr>
            </w:pPr>
            <w:r w:rsidRPr="00FA2775">
              <w:rPr>
                <w:rFonts w:cs="Arial"/>
                <w:sz w:val="22"/>
                <w:szCs w:val="22"/>
              </w:rPr>
              <w:t>Implement marketing campaign and grassroots activities, including Community Energy Leaders program</w:t>
            </w:r>
          </w:p>
          <w:p w:rsidR="00DE54D7" w:rsidRPr="00FA2775" w:rsidRDefault="00DE54D7" w:rsidP="00AF0D1B">
            <w:pPr>
              <w:rPr>
                <w:rFonts w:cs="Arial"/>
                <w:sz w:val="22"/>
                <w:szCs w:val="22"/>
              </w:rPr>
            </w:pPr>
            <w:r w:rsidRPr="00FA2775">
              <w:rPr>
                <w:rFonts w:cs="Arial"/>
                <w:sz w:val="22"/>
                <w:szCs w:val="22"/>
              </w:rPr>
              <w:t xml:space="preserve">Recruit participants and track progress </w:t>
            </w:r>
          </w:p>
        </w:tc>
        <w:tc>
          <w:tcPr>
            <w:tcW w:w="1170" w:type="dxa"/>
            <w:noWrap/>
          </w:tcPr>
          <w:p w:rsidR="00DE54D7" w:rsidRPr="00FA2775" w:rsidRDefault="00DE54D7" w:rsidP="00AF0D1B">
            <w:pPr>
              <w:jc w:val="center"/>
              <w:rPr>
                <w:sz w:val="22"/>
                <w:szCs w:val="22"/>
              </w:rPr>
            </w:pPr>
            <w:r w:rsidRPr="00FA2775">
              <w:rPr>
                <w:sz w:val="22"/>
                <w:szCs w:val="22"/>
              </w:rPr>
              <w:t>6 months</w:t>
            </w:r>
          </w:p>
        </w:tc>
        <w:tc>
          <w:tcPr>
            <w:tcW w:w="1350" w:type="dxa"/>
            <w:shd w:val="clear" w:color="auto" w:fill="DDD9C3" w:themeFill="background2" w:themeFillShade="E6"/>
            <w:noWrap/>
          </w:tcPr>
          <w:p w:rsidR="00DE54D7" w:rsidRPr="00FA2775" w:rsidRDefault="00DE54D7" w:rsidP="00AF0D1B">
            <w:pPr>
              <w:jc w:val="center"/>
              <w:rPr>
                <w:sz w:val="22"/>
                <w:szCs w:val="22"/>
              </w:rPr>
            </w:pPr>
            <w:r w:rsidRPr="00FA2775">
              <w:rPr>
                <w:sz w:val="22"/>
                <w:szCs w:val="22"/>
              </w:rPr>
              <w:t>Sept - Feb 2011</w:t>
            </w:r>
          </w:p>
          <w:p w:rsidR="00DE54D7" w:rsidRPr="00FA2775" w:rsidRDefault="00DE54D7" w:rsidP="00AF0D1B">
            <w:pPr>
              <w:jc w:val="center"/>
              <w:rPr>
                <w:sz w:val="22"/>
                <w:szCs w:val="22"/>
              </w:rPr>
            </w:pPr>
          </w:p>
        </w:tc>
        <w:tc>
          <w:tcPr>
            <w:tcW w:w="1980" w:type="dxa"/>
          </w:tcPr>
          <w:p w:rsidR="00DE54D7" w:rsidRPr="00FA2775" w:rsidRDefault="00DE54D7" w:rsidP="00AF0D1B">
            <w:pPr>
              <w:rPr>
                <w:sz w:val="22"/>
                <w:szCs w:val="22"/>
              </w:rPr>
            </w:pPr>
            <w:r w:rsidRPr="00FA2775">
              <w:rPr>
                <w:sz w:val="22"/>
                <w:szCs w:val="22"/>
              </w:rPr>
              <w:t>MWCOG and partners</w:t>
            </w:r>
            <w:r w:rsidRPr="00FA2775">
              <w:rPr>
                <w:rFonts w:cs="Arial"/>
                <w:bCs/>
                <w:sz w:val="22"/>
                <w:szCs w:val="22"/>
                <w:vertAlign w:val="superscript"/>
              </w:rPr>
              <w:t>(*)</w:t>
            </w:r>
            <w:r w:rsidRPr="00FA2775">
              <w:rPr>
                <w:sz w:val="22"/>
                <w:szCs w:val="22"/>
              </w:rPr>
              <w:t xml:space="preserve"> </w:t>
            </w:r>
          </w:p>
        </w:tc>
      </w:tr>
      <w:tr w:rsidR="00DE54D7" w:rsidRPr="00631849" w:rsidTr="00AF0D1B">
        <w:trPr>
          <w:trHeight w:val="156"/>
        </w:trPr>
        <w:tc>
          <w:tcPr>
            <w:tcW w:w="5328" w:type="dxa"/>
            <w:shd w:val="clear" w:color="auto" w:fill="DDD9C3" w:themeFill="background2" w:themeFillShade="E6"/>
          </w:tcPr>
          <w:p w:rsidR="00DE54D7" w:rsidRPr="00FA2775" w:rsidRDefault="00DE54D7" w:rsidP="00AF0D1B">
            <w:pPr>
              <w:rPr>
                <w:sz w:val="22"/>
                <w:szCs w:val="22"/>
              </w:rPr>
            </w:pPr>
            <w:r w:rsidRPr="00FA2775">
              <w:rPr>
                <w:b/>
                <w:sz w:val="22"/>
                <w:szCs w:val="22"/>
              </w:rPr>
              <w:t>Task 6.</w:t>
            </w:r>
            <w:r w:rsidRPr="00FA2775">
              <w:rPr>
                <w:sz w:val="22"/>
                <w:szCs w:val="22"/>
              </w:rPr>
              <w:t xml:space="preserve"> </w:t>
            </w:r>
            <w:r w:rsidRPr="00FA2775">
              <w:rPr>
                <w:b/>
                <w:sz w:val="22"/>
                <w:szCs w:val="22"/>
              </w:rPr>
              <w:t>Evaluate</w:t>
            </w:r>
            <w:r w:rsidRPr="00FA2775">
              <w:rPr>
                <w:sz w:val="22"/>
                <w:szCs w:val="22"/>
              </w:rPr>
              <w:t xml:space="preserve"> </w:t>
            </w:r>
            <w:r w:rsidRPr="00FA2775">
              <w:rPr>
                <w:b/>
                <w:sz w:val="22"/>
                <w:szCs w:val="22"/>
              </w:rPr>
              <w:t xml:space="preserve">Season 1 </w:t>
            </w:r>
          </w:p>
        </w:tc>
        <w:tc>
          <w:tcPr>
            <w:tcW w:w="1170" w:type="dxa"/>
            <w:shd w:val="clear" w:color="auto" w:fill="DDD9C3" w:themeFill="background2" w:themeFillShade="E6"/>
            <w:noWrap/>
          </w:tcPr>
          <w:p w:rsidR="00DE54D7" w:rsidRPr="00FA2775" w:rsidRDefault="00DE54D7" w:rsidP="00AF0D1B">
            <w:pPr>
              <w:jc w:val="center"/>
              <w:rPr>
                <w:rFonts w:cs="Arial"/>
                <w:sz w:val="22"/>
                <w:szCs w:val="22"/>
              </w:rPr>
            </w:pPr>
          </w:p>
        </w:tc>
        <w:tc>
          <w:tcPr>
            <w:tcW w:w="1350" w:type="dxa"/>
            <w:shd w:val="clear" w:color="auto" w:fill="DDD9C3" w:themeFill="background2" w:themeFillShade="E6"/>
            <w:noWrap/>
          </w:tcPr>
          <w:p w:rsidR="00DE54D7" w:rsidRPr="00FA2775" w:rsidRDefault="00DE54D7" w:rsidP="00AF0D1B">
            <w:pPr>
              <w:jc w:val="center"/>
              <w:rPr>
                <w:rFonts w:cs="Arial"/>
                <w:sz w:val="22"/>
                <w:szCs w:val="22"/>
              </w:rPr>
            </w:pPr>
          </w:p>
        </w:tc>
        <w:tc>
          <w:tcPr>
            <w:tcW w:w="1980" w:type="dxa"/>
            <w:shd w:val="clear" w:color="auto" w:fill="DDD9C3" w:themeFill="background2" w:themeFillShade="E6"/>
          </w:tcPr>
          <w:p w:rsidR="00DE54D7" w:rsidRPr="00FA2775" w:rsidRDefault="00DE54D7" w:rsidP="00AF0D1B">
            <w:pPr>
              <w:rPr>
                <w:rFonts w:cs="Arial"/>
                <w:sz w:val="22"/>
                <w:szCs w:val="22"/>
              </w:rPr>
            </w:pPr>
          </w:p>
        </w:tc>
      </w:tr>
      <w:tr w:rsidR="00DE54D7" w:rsidRPr="00631849" w:rsidTr="00AF0D1B">
        <w:trPr>
          <w:trHeight w:val="156"/>
        </w:trPr>
        <w:tc>
          <w:tcPr>
            <w:tcW w:w="5328" w:type="dxa"/>
          </w:tcPr>
          <w:p w:rsidR="00DE54D7" w:rsidRPr="00FA2775" w:rsidRDefault="00DE54D7" w:rsidP="00AF0D1B">
            <w:pPr>
              <w:rPr>
                <w:rFonts w:cs="Arial"/>
                <w:bCs/>
                <w:sz w:val="22"/>
                <w:szCs w:val="22"/>
              </w:rPr>
            </w:pPr>
            <w:r w:rsidRPr="00FA2775">
              <w:rPr>
                <w:rFonts w:cs="Arial"/>
                <w:bCs/>
                <w:sz w:val="22"/>
                <w:szCs w:val="22"/>
              </w:rPr>
              <w:t>Consolidate Season 1’s outcomes</w:t>
            </w:r>
          </w:p>
          <w:p w:rsidR="00DE54D7" w:rsidRPr="00FA2775" w:rsidRDefault="00DE54D7" w:rsidP="00AF0D1B">
            <w:pPr>
              <w:rPr>
                <w:rFonts w:cs="Arial"/>
                <w:bCs/>
                <w:sz w:val="22"/>
                <w:szCs w:val="22"/>
              </w:rPr>
            </w:pPr>
            <w:r w:rsidRPr="00FA2775">
              <w:rPr>
                <w:rFonts w:cs="Arial"/>
                <w:bCs/>
                <w:sz w:val="22"/>
                <w:szCs w:val="22"/>
              </w:rPr>
              <w:t>Identify adjustments for season 2</w:t>
            </w:r>
          </w:p>
        </w:tc>
        <w:tc>
          <w:tcPr>
            <w:tcW w:w="1170" w:type="dxa"/>
            <w:noWrap/>
          </w:tcPr>
          <w:p w:rsidR="00DE54D7" w:rsidRPr="00FA2775" w:rsidRDefault="00DE54D7" w:rsidP="00AF0D1B">
            <w:pPr>
              <w:jc w:val="center"/>
              <w:rPr>
                <w:sz w:val="22"/>
                <w:szCs w:val="22"/>
              </w:rPr>
            </w:pPr>
            <w:r w:rsidRPr="00FA2775">
              <w:rPr>
                <w:sz w:val="22"/>
                <w:szCs w:val="22"/>
              </w:rPr>
              <w:t>2 months</w:t>
            </w:r>
          </w:p>
        </w:tc>
        <w:tc>
          <w:tcPr>
            <w:tcW w:w="1350" w:type="dxa"/>
            <w:shd w:val="clear" w:color="auto" w:fill="DDD9C3" w:themeFill="background2" w:themeFillShade="E6"/>
            <w:noWrap/>
          </w:tcPr>
          <w:p w:rsidR="00DE54D7" w:rsidRPr="00FA2775" w:rsidRDefault="00DE54D7" w:rsidP="00AF0D1B">
            <w:pPr>
              <w:jc w:val="center"/>
              <w:rPr>
                <w:sz w:val="22"/>
                <w:szCs w:val="22"/>
              </w:rPr>
            </w:pPr>
            <w:r w:rsidRPr="00FA2775">
              <w:rPr>
                <w:sz w:val="22"/>
                <w:szCs w:val="22"/>
              </w:rPr>
              <w:t>March- April 2012</w:t>
            </w:r>
          </w:p>
        </w:tc>
        <w:tc>
          <w:tcPr>
            <w:tcW w:w="1980" w:type="dxa"/>
          </w:tcPr>
          <w:p w:rsidR="00DE54D7" w:rsidRPr="00FA2775" w:rsidRDefault="00DE54D7" w:rsidP="00AF0D1B">
            <w:pPr>
              <w:rPr>
                <w:sz w:val="22"/>
                <w:szCs w:val="22"/>
              </w:rPr>
            </w:pPr>
            <w:r w:rsidRPr="00FA2775">
              <w:rPr>
                <w:sz w:val="22"/>
                <w:szCs w:val="22"/>
              </w:rPr>
              <w:t xml:space="preserve">MWCOG </w:t>
            </w:r>
          </w:p>
        </w:tc>
      </w:tr>
      <w:tr w:rsidR="00DE54D7" w:rsidRPr="00631849" w:rsidTr="00AF0D1B">
        <w:trPr>
          <w:trHeight w:val="156"/>
        </w:trPr>
        <w:tc>
          <w:tcPr>
            <w:tcW w:w="5328" w:type="dxa"/>
            <w:shd w:val="clear" w:color="auto" w:fill="DDD9C3" w:themeFill="background2" w:themeFillShade="E6"/>
          </w:tcPr>
          <w:p w:rsidR="00DE54D7" w:rsidRPr="00FA2775" w:rsidRDefault="00DE54D7" w:rsidP="00AF0D1B">
            <w:pPr>
              <w:rPr>
                <w:sz w:val="22"/>
                <w:szCs w:val="22"/>
              </w:rPr>
            </w:pPr>
            <w:r w:rsidRPr="00FA2775">
              <w:rPr>
                <w:b/>
                <w:sz w:val="22"/>
                <w:szCs w:val="22"/>
              </w:rPr>
              <w:t>Task 7</w:t>
            </w:r>
            <w:r w:rsidRPr="00FA2775">
              <w:rPr>
                <w:sz w:val="22"/>
                <w:szCs w:val="22"/>
              </w:rPr>
              <w:t xml:space="preserve">. </w:t>
            </w:r>
            <w:r w:rsidRPr="00FA2775">
              <w:rPr>
                <w:b/>
                <w:sz w:val="22"/>
                <w:szCs w:val="22"/>
              </w:rPr>
              <w:t>Implement</w:t>
            </w:r>
            <w:r w:rsidRPr="00FA2775">
              <w:rPr>
                <w:sz w:val="22"/>
                <w:szCs w:val="22"/>
              </w:rPr>
              <w:t xml:space="preserve"> </w:t>
            </w:r>
            <w:r w:rsidRPr="00FA2775">
              <w:rPr>
                <w:b/>
                <w:sz w:val="22"/>
                <w:szCs w:val="22"/>
              </w:rPr>
              <w:t>Season 2</w:t>
            </w:r>
          </w:p>
        </w:tc>
        <w:tc>
          <w:tcPr>
            <w:tcW w:w="1170" w:type="dxa"/>
            <w:shd w:val="clear" w:color="auto" w:fill="DDD9C3" w:themeFill="background2" w:themeFillShade="E6"/>
            <w:noWrap/>
          </w:tcPr>
          <w:p w:rsidR="00DE54D7" w:rsidRPr="00FA2775" w:rsidRDefault="00DE54D7" w:rsidP="00AF0D1B">
            <w:pPr>
              <w:jc w:val="center"/>
              <w:rPr>
                <w:rFonts w:cs="Arial"/>
                <w:sz w:val="22"/>
                <w:szCs w:val="22"/>
              </w:rPr>
            </w:pPr>
            <w:r w:rsidRPr="00FA2775">
              <w:rPr>
                <w:rFonts w:cs="Arial"/>
                <w:sz w:val="22"/>
                <w:szCs w:val="22"/>
              </w:rPr>
              <w:t>6 months</w:t>
            </w:r>
          </w:p>
        </w:tc>
        <w:tc>
          <w:tcPr>
            <w:tcW w:w="1350" w:type="dxa"/>
            <w:shd w:val="clear" w:color="auto" w:fill="DDD9C3" w:themeFill="background2" w:themeFillShade="E6"/>
            <w:noWrap/>
          </w:tcPr>
          <w:p w:rsidR="00DE54D7" w:rsidRPr="00FA2775" w:rsidRDefault="00DE54D7" w:rsidP="00AF0D1B">
            <w:pPr>
              <w:jc w:val="center"/>
              <w:rPr>
                <w:rFonts w:cs="Arial"/>
                <w:sz w:val="22"/>
                <w:szCs w:val="22"/>
              </w:rPr>
            </w:pPr>
            <w:r w:rsidRPr="00FA2775">
              <w:rPr>
                <w:rFonts w:cs="Arial"/>
                <w:sz w:val="22"/>
                <w:szCs w:val="22"/>
              </w:rPr>
              <w:t>May – Oct 2012</w:t>
            </w:r>
          </w:p>
        </w:tc>
        <w:tc>
          <w:tcPr>
            <w:tcW w:w="1980" w:type="dxa"/>
            <w:shd w:val="clear" w:color="auto" w:fill="DDD9C3" w:themeFill="background2" w:themeFillShade="E6"/>
          </w:tcPr>
          <w:p w:rsidR="00DE54D7" w:rsidRPr="00FA2775" w:rsidRDefault="00DE54D7" w:rsidP="00AF0D1B">
            <w:pPr>
              <w:rPr>
                <w:rFonts w:cs="Arial"/>
                <w:sz w:val="22"/>
                <w:szCs w:val="22"/>
              </w:rPr>
            </w:pPr>
            <w:r w:rsidRPr="00FA2775">
              <w:rPr>
                <w:sz w:val="22"/>
                <w:szCs w:val="22"/>
              </w:rPr>
              <w:t>MWCOG and partners</w:t>
            </w:r>
            <w:r w:rsidRPr="00FA2775">
              <w:rPr>
                <w:rFonts w:cs="Arial"/>
                <w:bCs/>
                <w:sz w:val="22"/>
                <w:szCs w:val="22"/>
                <w:vertAlign w:val="superscript"/>
              </w:rPr>
              <w:t>(*)</w:t>
            </w:r>
          </w:p>
        </w:tc>
      </w:tr>
      <w:bookmarkEnd w:id="0"/>
      <w:bookmarkEnd w:id="1"/>
      <w:tr w:rsidR="00DE54D7" w:rsidRPr="00631849" w:rsidTr="00AF0D1B">
        <w:tblPrEx>
          <w:tblLook w:val="04A0"/>
        </w:tblPrEx>
        <w:trPr>
          <w:trHeight w:val="156"/>
        </w:trPr>
        <w:tc>
          <w:tcPr>
            <w:tcW w:w="5328" w:type="dxa"/>
            <w:shd w:val="clear" w:color="auto" w:fill="DDD9C3" w:themeFill="background2" w:themeFillShade="E6"/>
          </w:tcPr>
          <w:p w:rsidR="00DE54D7" w:rsidRPr="00FA2775" w:rsidRDefault="00DE54D7" w:rsidP="00AF0D1B">
            <w:pPr>
              <w:rPr>
                <w:sz w:val="22"/>
                <w:szCs w:val="22"/>
              </w:rPr>
            </w:pPr>
            <w:r w:rsidRPr="00FA2775">
              <w:rPr>
                <w:b/>
                <w:sz w:val="22"/>
                <w:szCs w:val="22"/>
              </w:rPr>
              <w:t>Task 8.</w:t>
            </w:r>
            <w:r w:rsidRPr="00FA2775">
              <w:rPr>
                <w:sz w:val="22"/>
                <w:szCs w:val="22"/>
              </w:rPr>
              <w:t xml:space="preserve"> </w:t>
            </w:r>
            <w:r w:rsidRPr="00FA2775">
              <w:rPr>
                <w:b/>
                <w:sz w:val="22"/>
                <w:szCs w:val="22"/>
              </w:rPr>
              <w:t>Conduct final evaluation, Design strategy for program continuation and replication in other communities</w:t>
            </w:r>
          </w:p>
        </w:tc>
        <w:tc>
          <w:tcPr>
            <w:tcW w:w="1170" w:type="dxa"/>
            <w:shd w:val="clear" w:color="auto" w:fill="DDD9C3" w:themeFill="background2" w:themeFillShade="E6"/>
            <w:noWrap/>
          </w:tcPr>
          <w:p w:rsidR="00DE54D7" w:rsidRPr="00FA2775" w:rsidRDefault="00DE54D7" w:rsidP="00AF0D1B">
            <w:pPr>
              <w:jc w:val="center"/>
              <w:rPr>
                <w:rFonts w:cs="Arial"/>
                <w:sz w:val="22"/>
                <w:szCs w:val="22"/>
              </w:rPr>
            </w:pPr>
            <w:r w:rsidRPr="00FA2775">
              <w:rPr>
                <w:rFonts w:cs="Arial"/>
                <w:sz w:val="22"/>
                <w:szCs w:val="22"/>
              </w:rPr>
              <w:t>2 months</w:t>
            </w:r>
          </w:p>
        </w:tc>
        <w:tc>
          <w:tcPr>
            <w:tcW w:w="1350" w:type="dxa"/>
            <w:shd w:val="clear" w:color="auto" w:fill="DDD9C3" w:themeFill="background2" w:themeFillShade="E6"/>
            <w:noWrap/>
          </w:tcPr>
          <w:p w:rsidR="00DE54D7" w:rsidRPr="00FA2775" w:rsidRDefault="00DE54D7" w:rsidP="00AF0D1B">
            <w:pPr>
              <w:jc w:val="center"/>
              <w:rPr>
                <w:rFonts w:cs="Arial"/>
                <w:sz w:val="22"/>
                <w:szCs w:val="22"/>
              </w:rPr>
            </w:pPr>
            <w:r w:rsidRPr="00FA2775">
              <w:rPr>
                <w:rFonts w:cs="Arial"/>
                <w:sz w:val="22"/>
                <w:szCs w:val="22"/>
              </w:rPr>
              <w:t>Nov –Dec 2012</w:t>
            </w:r>
          </w:p>
        </w:tc>
        <w:tc>
          <w:tcPr>
            <w:tcW w:w="1980" w:type="dxa"/>
            <w:shd w:val="clear" w:color="auto" w:fill="DDD9C3" w:themeFill="background2" w:themeFillShade="E6"/>
          </w:tcPr>
          <w:p w:rsidR="00DE54D7" w:rsidRPr="00FA2775" w:rsidRDefault="00DE54D7" w:rsidP="00AF0D1B">
            <w:pPr>
              <w:rPr>
                <w:rFonts w:cs="Arial"/>
                <w:sz w:val="22"/>
                <w:szCs w:val="22"/>
              </w:rPr>
            </w:pPr>
            <w:r w:rsidRPr="00FA2775">
              <w:rPr>
                <w:rFonts w:cs="Arial"/>
                <w:sz w:val="22"/>
                <w:szCs w:val="22"/>
              </w:rPr>
              <w:t>MWCOG</w:t>
            </w:r>
          </w:p>
        </w:tc>
      </w:tr>
    </w:tbl>
    <w:p w:rsidR="00DE54D7" w:rsidRPr="00993902" w:rsidRDefault="00DE54D7" w:rsidP="00DE54D7">
      <w:pPr>
        <w:rPr>
          <w:rFonts w:cs="Arial"/>
          <w:bCs/>
          <w:i/>
        </w:rPr>
      </w:pPr>
      <w:r w:rsidRPr="00993902">
        <w:rPr>
          <w:rFonts w:cs="Arial"/>
          <w:bCs/>
          <w:i/>
          <w:vertAlign w:val="superscript"/>
        </w:rPr>
        <w:t xml:space="preserve">(*) </w:t>
      </w:r>
      <w:r w:rsidRPr="00993902">
        <w:rPr>
          <w:rFonts w:cs="Arial"/>
          <w:bCs/>
          <w:i/>
        </w:rPr>
        <w:t>utilities, local jurisdictions, state energy agencies</w:t>
      </w:r>
    </w:p>
    <w:p w:rsidR="00DE54D7" w:rsidRPr="004405D3" w:rsidRDefault="00DE54D7" w:rsidP="00DE54D7">
      <w:pPr>
        <w:rPr>
          <w:u w:val="single"/>
        </w:rPr>
      </w:pPr>
    </w:p>
    <w:p w:rsidR="00DE54D7" w:rsidRDefault="00DE54D7" w:rsidP="00DE54D7">
      <w:pPr>
        <w:rPr>
          <w:u w:val="single"/>
        </w:rPr>
      </w:pPr>
    </w:p>
    <w:p w:rsidR="00CA567A" w:rsidRDefault="00CA567A"/>
    <w:sectPr w:rsidR="00CA567A" w:rsidSect="00CA567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D1B" w:rsidRDefault="00AF0D1B" w:rsidP="00DE54D7">
      <w:r>
        <w:separator/>
      </w:r>
    </w:p>
  </w:endnote>
  <w:endnote w:type="continuationSeparator" w:id="0">
    <w:p w:rsidR="00AF0D1B" w:rsidRDefault="00AF0D1B" w:rsidP="00DE54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95966"/>
      <w:docPartObj>
        <w:docPartGallery w:val="Page Numbers (Bottom of Page)"/>
        <w:docPartUnique/>
      </w:docPartObj>
    </w:sdtPr>
    <w:sdtContent>
      <w:p w:rsidR="00AF0D1B" w:rsidRDefault="00AF0D1B">
        <w:pPr>
          <w:pStyle w:val="Footer"/>
        </w:pPr>
        <w:r>
          <w:t xml:space="preserve">Page | </w:t>
        </w:r>
        <w:fldSimple w:instr=" PAGE   \* MERGEFORMAT ">
          <w:r w:rsidR="00072E50">
            <w:rPr>
              <w:noProof/>
            </w:rPr>
            <w:t>1</w:t>
          </w:r>
        </w:fldSimple>
      </w:p>
    </w:sdtContent>
  </w:sdt>
  <w:p w:rsidR="00AF0D1B" w:rsidRDefault="00AF0D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D1B" w:rsidRDefault="00AF0D1B" w:rsidP="00DE54D7">
      <w:r>
        <w:separator/>
      </w:r>
    </w:p>
  </w:footnote>
  <w:footnote w:type="continuationSeparator" w:id="0">
    <w:p w:rsidR="00AF0D1B" w:rsidRDefault="00AF0D1B" w:rsidP="00DE54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B2214"/>
    <w:multiLevelType w:val="hybridMultilevel"/>
    <w:tmpl w:val="31EA4584"/>
    <w:lvl w:ilvl="0" w:tplc="C2CA50D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48665E"/>
    <w:multiLevelType w:val="hybridMultilevel"/>
    <w:tmpl w:val="E9F029A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E54D7"/>
    <w:rsid w:val="00072E50"/>
    <w:rsid w:val="00103657"/>
    <w:rsid w:val="00231B14"/>
    <w:rsid w:val="007C4D07"/>
    <w:rsid w:val="007E334D"/>
    <w:rsid w:val="00831792"/>
    <w:rsid w:val="00873B9F"/>
    <w:rsid w:val="008878ED"/>
    <w:rsid w:val="009240F8"/>
    <w:rsid w:val="00AF0D1B"/>
    <w:rsid w:val="00C446D2"/>
    <w:rsid w:val="00CA567A"/>
    <w:rsid w:val="00D167E7"/>
    <w:rsid w:val="00DE54D7"/>
    <w:rsid w:val="00F30825"/>
    <w:rsid w:val="00FA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D7"/>
    <w:pPr>
      <w:spacing w:after="0" w:line="240" w:lineRule="auto"/>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54D7"/>
    <w:rPr>
      <w:color w:val="0000FF"/>
      <w:u w:val="single"/>
    </w:rPr>
  </w:style>
  <w:style w:type="paragraph" w:styleId="FootnoteText">
    <w:name w:val="footnote text"/>
    <w:basedOn w:val="Normal"/>
    <w:link w:val="FootnoteTextChar"/>
    <w:semiHidden/>
    <w:rsid w:val="00DE54D7"/>
    <w:rPr>
      <w:sz w:val="20"/>
      <w:szCs w:val="20"/>
    </w:rPr>
  </w:style>
  <w:style w:type="character" w:customStyle="1" w:styleId="FootnoteTextChar">
    <w:name w:val="Footnote Text Char"/>
    <w:basedOn w:val="DefaultParagraphFont"/>
    <w:link w:val="FootnoteText"/>
    <w:semiHidden/>
    <w:rsid w:val="00DE54D7"/>
    <w:rPr>
      <w:rFonts w:ascii="Calibri" w:eastAsia="Times New Roman" w:hAnsi="Calibri" w:cs="Times New Roman"/>
      <w:sz w:val="20"/>
      <w:szCs w:val="20"/>
    </w:rPr>
  </w:style>
  <w:style w:type="character" w:styleId="FootnoteReference">
    <w:name w:val="footnote reference"/>
    <w:basedOn w:val="DefaultParagraphFont"/>
    <w:semiHidden/>
    <w:rsid w:val="00DE54D7"/>
    <w:rPr>
      <w:vertAlign w:val="superscript"/>
    </w:rPr>
  </w:style>
  <w:style w:type="table" w:styleId="TableGrid">
    <w:name w:val="Table Grid"/>
    <w:basedOn w:val="TableNormal"/>
    <w:uiPriority w:val="59"/>
    <w:rsid w:val="00DE54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E54D7"/>
    <w:pPr>
      <w:tabs>
        <w:tab w:val="center" w:pos="4680"/>
        <w:tab w:val="right" w:pos="9360"/>
      </w:tabs>
    </w:pPr>
  </w:style>
  <w:style w:type="character" w:customStyle="1" w:styleId="HeaderChar">
    <w:name w:val="Header Char"/>
    <w:basedOn w:val="DefaultParagraphFont"/>
    <w:link w:val="Header"/>
    <w:uiPriority w:val="99"/>
    <w:semiHidden/>
    <w:rsid w:val="00DE54D7"/>
    <w:rPr>
      <w:rFonts w:ascii="Calibri" w:eastAsia="Times New Roman" w:hAnsi="Calibri" w:cs="Times New Roman"/>
      <w:szCs w:val="24"/>
    </w:rPr>
  </w:style>
  <w:style w:type="paragraph" w:styleId="Footer">
    <w:name w:val="footer"/>
    <w:basedOn w:val="Normal"/>
    <w:link w:val="FooterChar"/>
    <w:uiPriority w:val="99"/>
    <w:unhideWhenUsed/>
    <w:rsid w:val="00DE54D7"/>
    <w:pPr>
      <w:tabs>
        <w:tab w:val="center" w:pos="4680"/>
        <w:tab w:val="right" w:pos="9360"/>
      </w:tabs>
    </w:pPr>
  </w:style>
  <w:style w:type="character" w:customStyle="1" w:styleId="FooterChar">
    <w:name w:val="Footer Char"/>
    <w:basedOn w:val="DefaultParagraphFont"/>
    <w:link w:val="Footer"/>
    <w:uiPriority w:val="99"/>
    <w:rsid w:val="00DE54D7"/>
    <w:rPr>
      <w:rFonts w:ascii="Calibri" w:eastAsia="Times New Roman"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amariani</dc:creator>
  <cp:lastModifiedBy>amariani</cp:lastModifiedBy>
  <cp:revision>12</cp:revision>
  <cp:lastPrinted>2010-07-09T15:25:00Z</cp:lastPrinted>
  <dcterms:created xsi:type="dcterms:W3CDTF">2010-07-09T15:05:00Z</dcterms:created>
  <dcterms:modified xsi:type="dcterms:W3CDTF">2010-07-13T14:12:00Z</dcterms:modified>
</cp:coreProperties>
</file>