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D5DE8" w14:textId="0C3F933C" w:rsidR="000324E9" w:rsidRPr="005E58E2" w:rsidRDefault="000324E9" w:rsidP="000324E9">
      <w:pPr>
        <w:pStyle w:val="CoverTitle-COG"/>
      </w:pPr>
      <w:r>
        <w:t xml:space="preserve">metropolitan washington 2030 climate and energy action plan </w:t>
      </w:r>
      <w:r w:rsidRPr="00DD772D">
        <w:rPr>
          <w:color w:val="F15B5B"/>
        </w:rPr>
        <w:t>- Draft</w:t>
      </w:r>
    </w:p>
    <w:p w14:paraId="5BBE23EE" w14:textId="31447076" w:rsidR="00FB43F5" w:rsidRPr="004A11B4" w:rsidRDefault="000324E9" w:rsidP="00FB43F5">
      <w:pPr>
        <w:pStyle w:val="CoverSubtitle-COG"/>
      </w:pPr>
      <w:r>
        <w:t xml:space="preserve">Appendices </w:t>
      </w:r>
    </w:p>
    <w:p w14:paraId="28753DA0" w14:textId="49F01597" w:rsidR="00FB43F5" w:rsidRPr="000047E8" w:rsidRDefault="000324E9" w:rsidP="00FB43F5">
      <w:pPr>
        <w:pStyle w:val="CoverText-COG"/>
      </w:pPr>
      <w:r>
        <w:t xml:space="preserve">This document is a compilation of Appendices </w:t>
      </w:r>
      <w:r w:rsidR="00064651">
        <w:t>prepared</w:t>
      </w:r>
      <w:r>
        <w:t xml:space="preserve"> </w:t>
      </w:r>
      <w:r w:rsidR="00FB43F5" w:rsidRPr="001A4299">
        <w:t>f</w:t>
      </w:r>
      <w:r>
        <w:t xml:space="preserve">or the Metropolitan Washington </w:t>
      </w:r>
      <w:r w:rsidR="00830FA3">
        <w:t xml:space="preserve">2030 </w:t>
      </w:r>
      <w:r>
        <w:t xml:space="preserve">Climate and Energy Action Plan. </w:t>
      </w:r>
      <w:r w:rsidR="00FB43F5" w:rsidRPr="001A4299">
        <w:t xml:space="preserve"> </w:t>
      </w:r>
    </w:p>
    <w:p w14:paraId="34C9E6A3" w14:textId="23B2CE17" w:rsidR="00FB43F5" w:rsidRDefault="000324E9" w:rsidP="00FB43F5">
      <w:pPr>
        <w:pStyle w:val="CoverDate-COG"/>
      </w:pPr>
      <w:r>
        <w:t xml:space="preserve">September 2020 </w:t>
      </w:r>
    </w:p>
    <w:p w14:paraId="40A1C7F1" w14:textId="77777777" w:rsidR="00FB43F5" w:rsidRDefault="00FB43F5">
      <w:pPr>
        <w:rPr>
          <w:caps/>
          <w:sz w:val="20"/>
          <w:szCs w:val="20"/>
        </w:rPr>
      </w:pPr>
      <w:r>
        <w:br w:type="page"/>
      </w:r>
    </w:p>
    <w:p w14:paraId="3FE40E06" w14:textId="77777777" w:rsidR="00614691" w:rsidRPr="00614691" w:rsidRDefault="006223C5" w:rsidP="00027DBF">
      <w:pPr>
        <w:pStyle w:val="TableofContentsTitle-COG"/>
        <w:rPr>
          <w:noProof/>
          <w:color w:val="auto"/>
        </w:rPr>
      </w:pPr>
      <w:bookmarkStart w:id="0" w:name="_Toc536785524"/>
      <w:bookmarkStart w:id="1" w:name="_Toc536785620"/>
      <w:bookmarkStart w:id="2" w:name="_Toc536786858"/>
      <w:r w:rsidRPr="00027DBF">
        <w:lastRenderedPageBreak/>
        <w:t>TABLE OF CONTENTS</w:t>
      </w:r>
      <w:bookmarkEnd w:id="0"/>
      <w:bookmarkEnd w:id="1"/>
      <w:bookmarkEnd w:id="2"/>
      <w:r w:rsidR="00027DBF" w:rsidRPr="00614691">
        <w:rPr>
          <w:color w:val="auto"/>
        </w:rPr>
        <w:fldChar w:fldCharType="begin"/>
      </w:r>
      <w:r w:rsidR="00027DBF" w:rsidRPr="00614691">
        <w:rPr>
          <w:color w:val="auto"/>
        </w:rPr>
        <w:instrText xml:space="preserve"> TOC \t "Level 1 Head - COG,1,Level 2 Head - COG,2,Level 3 Head - COG,3" </w:instrText>
      </w:r>
      <w:r w:rsidR="00027DBF" w:rsidRPr="00614691">
        <w:rPr>
          <w:color w:val="auto"/>
        </w:rPr>
        <w:fldChar w:fldCharType="separate"/>
      </w:r>
    </w:p>
    <w:p w14:paraId="2AFADF9C" w14:textId="330157E9" w:rsidR="00614691" w:rsidRPr="00614691" w:rsidRDefault="00614691">
      <w:pPr>
        <w:pStyle w:val="TOC1"/>
        <w:rPr>
          <w:rFonts w:asciiTheme="minorHAnsi" w:hAnsiTheme="minorHAnsi"/>
          <w:caps w:val="0"/>
          <w:noProof/>
          <w:color w:val="auto"/>
        </w:rPr>
      </w:pPr>
      <w:r w:rsidRPr="00614691">
        <w:rPr>
          <w:noProof/>
          <w:color w:val="auto"/>
        </w:rPr>
        <w:t>Appendix a: Strategies summary table</w:t>
      </w:r>
      <w:r>
        <w:rPr>
          <w:noProof/>
          <w:color w:val="auto"/>
        </w:rPr>
        <w:t>s</w:t>
      </w:r>
      <w:r w:rsidRPr="00614691">
        <w:rPr>
          <w:noProof/>
          <w:color w:val="auto"/>
        </w:rPr>
        <w:tab/>
      </w:r>
      <w:r w:rsidRPr="00614691">
        <w:rPr>
          <w:noProof/>
          <w:color w:val="auto"/>
        </w:rPr>
        <w:fldChar w:fldCharType="begin"/>
      </w:r>
      <w:r w:rsidRPr="00614691">
        <w:rPr>
          <w:noProof/>
          <w:color w:val="auto"/>
        </w:rPr>
        <w:instrText xml:space="preserve"> PAGEREF _Toc51077676 \h </w:instrText>
      </w:r>
      <w:r w:rsidRPr="00614691">
        <w:rPr>
          <w:noProof/>
          <w:color w:val="auto"/>
        </w:rPr>
      </w:r>
      <w:r w:rsidRPr="00614691">
        <w:rPr>
          <w:noProof/>
          <w:color w:val="auto"/>
        </w:rPr>
        <w:fldChar w:fldCharType="separate"/>
      </w:r>
      <w:r w:rsidR="00DC418B">
        <w:rPr>
          <w:noProof/>
          <w:color w:val="auto"/>
        </w:rPr>
        <w:t>1</w:t>
      </w:r>
      <w:r w:rsidRPr="00614691">
        <w:rPr>
          <w:noProof/>
          <w:color w:val="auto"/>
        </w:rPr>
        <w:fldChar w:fldCharType="end"/>
      </w:r>
    </w:p>
    <w:p w14:paraId="6C8E6BB9" w14:textId="036CDA26" w:rsidR="00614691" w:rsidRPr="00614691" w:rsidRDefault="00614691">
      <w:pPr>
        <w:pStyle w:val="TOC1"/>
        <w:rPr>
          <w:rFonts w:asciiTheme="minorHAnsi" w:hAnsiTheme="minorHAnsi"/>
          <w:caps w:val="0"/>
          <w:noProof/>
          <w:color w:val="auto"/>
        </w:rPr>
      </w:pPr>
      <w:r w:rsidRPr="00614691">
        <w:rPr>
          <w:noProof/>
          <w:color w:val="auto"/>
        </w:rPr>
        <w:t xml:space="preserve">Appendix b: </w:t>
      </w:r>
      <w:r w:rsidRPr="00614691">
        <w:rPr>
          <w:rFonts w:eastAsia="Times New Roman"/>
          <w:caps w:val="0"/>
          <w:noProof/>
          <w:color w:val="auto"/>
        </w:rPr>
        <w:t>TERMS AND DEFINITIONS</w:t>
      </w:r>
      <w:r w:rsidRPr="00614691">
        <w:rPr>
          <w:noProof/>
          <w:color w:val="auto"/>
        </w:rPr>
        <w:tab/>
      </w:r>
      <w:r w:rsidRPr="00614691">
        <w:rPr>
          <w:noProof/>
          <w:color w:val="auto"/>
        </w:rPr>
        <w:fldChar w:fldCharType="begin"/>
      </w:r>
      <w:r w:rsidRPr="00614691">
        <w:rPr>
          <w:noProof/>
          <w:color w:val="auto"/>
        </w:rPr>
        <w:instrText xml:space="preserve"> PAGEREF _Toc51077679 \h </w:instrText>
      </w:r>
      <w:r w:rsidRPr="00614691">
        <w:rPr>
          <w:noProof/>
          <w:color w:val="auto"/>
        </w:rPr>
      </w:r>
      <w:r w:rsidRPr="00614691">
        <w:rPr>
          <w:noProof/>
          <w:color w:val="auto"/>
        </w:rPr>
        <w:fldChar w:fldCharType="separate"/>
      </w:r>
      <w:r w:rsidR="00DC418B">
        <w:rPr>
          <w:noProof/>
          <w:color w:val="auto"/>
        </w:rPr>
        <w:t>3</w:t>
      </w:r>
      <w:r w:rsidRPr="00614691">
        <w:rPr>
          <w:noProof/>
          <w:color w:val="auto"/>
        </w:rPr>
        <w:fldChar w:fldCharType="end"/>
      </w:r>
    </w:p>
    <w:p w14:paraId="2EC79AE2" w14:textId="5D0E2F45" w:rsidR="00614691" w:rsidRPr="00614691" w:rsidRDefault="00614691">
      <w:pPr>
        <w:pStyle w:val="TOC1"/>
        <w:rPr>
          <w:rFonts w:asciiTheme="minorHAnsi" w:hAnsiTheme="minorHAnsi"/>
          <w:caps w:val="0"/>
          <w:noProof/>
          <w:color w:val="auto"/>
        </w:rPr>
      </w:pPr>
      <w:r w:rsidRPr="00614691">
        <w:rPr>
          <w:noProof/>
          <w:color w:val="auto"/>
        </w:rPr>
        <w:t>Appendix c: list of metropolitan washington GHG emission reduction plans and goals</w:t>
      </w:r>
      <w:r w:rsidRPr="00614691">
        <w:rPr>
          <w:noProof/>
          <w:color w:val="auto"/>
        </w:rPr>
        <w:tab/>
      </w:r>
      <w:r w:rsidRPr="00614691">
        <w:rPr>
          <w:noProof/>
          <w:color w:val="auto"/>
        </w:rPr>
        <w:fldChar w:fldCharType="begin"/>
      </w:r>
      <w:r w:rsidRPr="00614691">
        <w:rPr>
          <w:noProof/>
          <w:color w:val="auto"/>
        </w:rPr>
        <w:instrText xml:space="preserve"> PAGEREF _Toc51077680 \h </w:instrText>
      </w:r>
      <w:r w:rsidRPr="00614691">
        <w:rPr>
          <w:noProof/>
          <w:color w:val="auto"/>
        </w:rPr>
      </w:r>
      <w:r w:rsidRPr="00614691">
        <w:rPr>
          <w:noProof/>
          <w:color w:val="auto"/>
        </w:rPr>
        <w:fldChar w:fldCharType="separate"/>
      </w:r>
      <w:r w:rsidR="00DC418B">
        <w:rPr>
          <w:noProof/>
          <w:color w:val="auto"/>
        </w:rPr>
        <w:t>20</w:t>
      </w:r>
      <w:r w:rsidRPr="00614691">
        <w:rPr>
          <w:noProof/>
          <w:color w:val="auto"/>
        </w:rPr>
        <w:fldChar w:fldCharType="end"/>
      </w:r>
    </w:p>
    <w:p w14:paraId="6049F6D4" w14:textId="7F3E50AF" w:rsidR="00614691" w:rsidRPr="00614691" w:rsidRDefault="00614691">
      <w:pPr>
        <w:pStyle w:val="TOC1"/>
        <w:rPr>
          <w:rFonts w:asciiTheme="minorHAnsi" w:hAnsiTheme="minorHAnsi"/>
          <w:caps w:val="0"/>
          <w:noProof/>
          <w:color w:val="auto"/>
        </w:rPr>
      </w:pPr>
      <w:r w:rsidRPr="00614691">
        <w:rPr>
          <w:noProof/>
          <w:color w:val="auto"/>
        </w:rPr>
        <w:t>Appendix d: cog member collaborative climate program commitments</w:t>
      </w:r>
      <w:r w:rsidRPr="00614691">
        <w:rPr>
          <w:noProof/>
          <w:color w:val="auto"/>
        </w:rPr>
        <w:tab/>
      </w:r>
      <w:r w:rsidRPr="00614691">
        <w:rPr>
          <w:noProof/>
          <w:color w:val="auto"/>
        </w:rPr>
        <w:fldChar w:fldCharType="begin"/>
      </w:r>
      <w:r w:rsidRPr="00614691">
        <w:rPr>
          <w:noProof/>
          <w:color w:val="auto"/>
        </w:rPr>
        <w:instrText xml:space="preserve"> PAGEREF _Toc51077701 \h </w:instrText>
      </w:r>
      <w:r w:rsidRPr="00614691">
        <w:rPr>
          <w:noProof/>
          <w:color w:val="auto"/>
        </w:rPr>
      </w:r>
      <w:r w:rsidRPr="00614691">
        <w:rPr>
          <w:noProof/>
          <w:color w:val="auto"/>
        </w:rPr>
        <w:fldChar w:fldCharType="separate"/>
      </w:r>
      <w:r w:rsidR="00DC418B">
        <w:rPr>
          <w:noProof/>
          <w:color w:val="auto"/>
        </w:rPr>
        <w:t>23</w:t>
      </w:r>
      <w:r w:rsidRPr="00614691">
        <w:rPr>
          <w:noProof/>
          <w:color w:val="auto"/>
        </w:rPr>
        <w:fldChar w:fldCharType="end"/>
      </w:r>
    </w:p>
    <w:p w14:paraId="47A5970A" w14:textId="626779DA" w:rsidR="00614691" w:rsidRPr="00614691" w:rsidRDefault="00614691">
      <w:pPr>
        <w:pStyle w:val="TOC1"/>
        <w:rPr>
          <w:rFonts w:asciiTheme="minorHAnsi" w:hAnsiTheme="minorHAnsi"/>
          <w:caps w:val="0"/>
          <w:noProof/>
          <w:color w:val="auto"/>
        </w:rPr>
      </w:pPr>
      <w:r w:rsidRPr="00614691">
        <w:rPr>
          <w:noProof/>
          <w:color w:val="auto"/>
        </w:rPr>
        <w:t>Appendix e: list of state legislation supporting ghg emission reduction in metropolitan washington</w:t>
      </w:r>
      <w:r w:rsidRPr="00614691">
        <w:rPr>
          <w:noProof/>
          <w:color w:val="auto"/>
        </w:rPr>
        <w:tab/>
      </w:r>
      <w:r w:rsidRPr="00614691">
        <w:rPr>
          <w:noProof/>
          <w:color w:val="auto"/>
        </w:rPr>
        <w:fldChar w:fldCharType="begin"/>
      </w:r>
      <w:r w:rsidRPr="00614691">
        <w:rPr>
          <w:noProof/>
          <w:color w:val="auto"/>
        </w:rPr>
        <w:instrText xml:space="preserve"> PAGEREF _Toc51077738 \h </w:instrText>
      </w:r>
      <w:r w:rsidRPr="00614691">
        <w:rPr>
          <w:noProof/>
          <w:color w:val="auto"/>
        </w:rPr>
      </w:r>
      <w:r w:rsidRPr="00614691">
        <w:rPr>
          <w:noProof/>
          <w:color w:val="auto"/>
        </w:rPr>
        <w:fldChar w:fldCharType="separate"/>
      </w:r>
      <w:r w:rsidR="00DC418B">
        <w:rPr>
          <w:noProof/>
          <w:color w:val="auto"/>
        </w:rPr>
        <w:t>29</w:t>
      </w:r>
      <w:r w:rsidRPr="00614691">
        <w:rPr>
          <w:noProof/>
          <w:color w:val="auto"/>
        </w:rPr>
        <w:fldChar w:fldCharType="end"/>
      </w:r>
    </w:p>
    <w:p w14:paraId="4352D085" w14:textId="2BAED405" w:rsidR="00614691" w:rsidRPr="00614691" w:rsidRDefault="00614691">
      <w:pPr>
        <w:pStyle w:val="TOC1"/>
        <w:rPr>
          <w:rFonts w:asciiTheme="minorHAnsi" w:hAnsiTheme="minorHAnsi"/>
          <w:caps w:val="0"/>
          <w:noProof/>
          <w:color w:val="auto"/>
        </w:rPr>
      </w:pPr>
      <w:r w:rsidRPr="00614691">
        <w:rPr>
          <w:noProof/>
          <w:color w:val="auto"/>
        </w:rPr>
        <w:t>Appendix f: ghg inventory methodology</w:t>
      </w:r>
      <w:r w:rsidRPr="00614691">
        <w:rPr>
          <w:noProof/>
          <w:color w:val="auto"/>
        </w:rPr>
        <w:tab/>
      </w:r>
      <w:r w:rsidRPr="00614691">
        <w:rPr>
          <w:noProof/>
          <w:color w:val="auto"/>
        </w:rPr>
        <w:fldChar w:fldCharType="begin"/>
      </w:r>
      <w:r w:rsidRPr="00614691">
        <w:rPr>
          <w:noProof/>
          <w:color w:val="auto"/>
        </w:rPr>
        <w:instrText xml:space="preserve"> PAGEREF _Toc51077760 \h </w:instrText>
      </w:r>
      <w:r w:rsidRPr="00614691">
        <w:rPr>
          <w:noProof/>
          <w:color w:val="auto"/>
        </w:rPr>
      </w:r>
      <w:r w:rsidRPr="00614691">
        <w:rPr>
          <w:noProof/>
          <w:color w:val="auto"/>
        </w:rPr>
        <w:fldChar w:fldCharType="separate"/>
      </w:r>
      <w:r w:rsidR="00DC418B">
        <w:rPr>
          <w:noProof/>
          <w:color w:val="auto"/>
        </w:rPr>
        <w:t>33</w:t>
      </w:r>
      <w:r w:rsidRPr="00614691">
        <w:rPr>
          <w:noProof/>
          <w:color w:val="auto"/>
        </w:rPr>
        <w:fldChar w:fldCharType="end"/>
      </w:r>
    </w:p>
    <w:p w14:paraId="1A1E3290" w14:textId="7C2543C3" w:rsidR="00614691" w:rsidRPr="00614691" w:rsidRDefault="00614691">
      <w:pPr>
        <w:pStyle w:val="TOC1"/>
        <w:rPr>
          <w:rFonts w:asciiTheme="minorHAnsi" w:hAnsiTheme="minorHAnsi"/>
          <w:caps w:val="0"/>
          <w:noProof/>
          <w:color w:val="auto"/>
        </w:rPr>
      </w:pPr>
      <w:r w:rsidRPr="00614691">
        <w:rPr>
          <w:noProof/>
          <w:color w:val="auto"/>
        </w:rPr>
        <w:t>Appendix G: BAU and 2030 scenario assumptions</w:t>
      </w:r>
      <w:r w:rsidRPr="00614691">
        <w:rPr>
          <w:noProof/>
          <w:color w:val="auto"/>
        </w:rPr>
        <w:tab/>
      </w:r>
      <w:r w:rsidRPr="00614691">
        <w:rPr>
          <w:noProof/>
          <w:color w:val="auto"/>
        </w:rPr>
        <w:fldChar w:fldCharType="begin"/>
      </w:r>
      <w:r w:rsidRPr="00614691">
        <w:rPr>
          <w:noProof/>
          <w:color w:val="auto"/>
        </w:rPr>
        <w:instrText xml:space="preserve"> PAGEREF _Toc51077793 \h </w:instrText>
      </w:r>
      <w:r w:rsidRPr="00614691">
        <w:rPr>
          <w:noProof/>
          <w:color w:val="auto"/>
        </w:rPr>
      </w:r>
      <w:r w:rsidRPr="00614691">
        <w:rPr>
          <w:noProof/>
          <w:color w:val="auto"/>
        </w:rPr>
        <w:fldChar w:fldCharType="separate"/>
      </w:r>
      <w:r w:rsidR="00DC418B">
        <w:rPr>
          <w:noProof/>
          <w:color w:val="auto"/>
        </w:rPr>
        <w:t>55</w:t>
      </w:r>
      <w:r w:rsidRPr="00614691">
        <w:rPr>
          <w:noProof/>
          <w:color w:val="auto"/>
        </w:rPr>
        <w:fldChar w:fldCharType="end"/>
      </w:r>
    </w:p>
    <w:p w14:paraId="62F54319" w14:textId="3D8EDA95" w:rsidR="006223C5" w:rsidRPr="00614691" w:rsidRDefault="00027DBF" w:rsidP="00027DBF">
      <w:pPr>
        <w:pStyle w:val="BodyText-COG"/>
        <w:rPr>
          <w:color w:val="auto"/>
        </w:rPr>
      </w:pPr>
      <w:r w:rsidRPr="00614691">
        <w:rPr>
          <w:color w:val="auto"/>
        </w:rPr>
        <w:fldChar w:fldCharType="end"/>
      </w:r>
      <w:r w:rsidRPr="00614691">
        <w:rPr>
          <w:color w:val="auto"/>
        </w:rPr>
        <w:br/>
      </w:r>
    </w:p>
    <w:p w14:paraId="761BF5EA" w14:textId="77777777" w:rsidR="006223C5" w:rsidRPr="00614691" w:rsidRDefault="006223C5" w:rsidP="00F914F4">
      <w:pPr>
        <w:pStyle w:val="BodyText-COG"/>
        <w:outlineLvl w:val="0"/>
        <w:rPr>
          <w:color w:val="auto"/>
        </w:rPr>
      </w:pPr>
      <w:r w:rsidRPr="00614691">
        <w:rPr>
          <w:color w:val="auto"/>
        </w:rPr>
        <w:br w:type="page"/>
      </w:r>
    </w:p>
    <w:p w14:paraId="3655A863" w14:textId="21634034" w:rsidR="006223C5" w:rsidRDefault="006223C5" w:rsidP="00F914F4">
      <w:pPr>
        <w:tabs>
          <w:tab w:val="left" w:pos="3352"/>
        </w:tabs>
        <w:outlineLvl w:val="0"/>
        <w:sectPr w:rsidR="006223C5" w:rsidSect="00FB43F5">
          <w:footerReference w:type="default" r:id="rId8"/>
          <w:footerReference w:type="first" r:id="rId9"/>
          <w:pgSz w:w="12240" w:h="15840"/>
          <w:pgMar w:top="1800" w:right="1440" w:bottom="1440" w:left="1440" w:header="720" w:footer="720" w:gutter="0"/>
          <w:cols w:space="720"/>
          <w:titlePg/>
          <w:docGrid w:linePitch="360"/>
        </w:sectPr>
      </w:pPr>
    </w:p>
    <w:p w14:paraId="0F29A2AD" w14:textId="76CE7F36" w:rsidR="006223C5" w:rsidRPr="003E433C" w:rsidRDefault="00490671" w:rsidP="00F914F4">
      <w:pPr>
        <w:pStyle w:val="Level1Head-COG"/>
        <w:outlineLvl w:val="0"/>
      </w:pPr>
      <w:bookmarkStart w:id="3" w:name="_Toc51077676"/>
      <w:r>
        <w:lastRenderedPageBreak/>
        <w:t>Appendix a: Strategies summary table</w:t>
      </w:r>
      <w:bookmarkEnd w:id="3"/>
      <w:r w:rsidR="00614691">
        <w:t>s</w:t>
      </w:r>
    </w:p>
    <w:p w14:paraId="4B528FFA" w14:textId="77777777" w:rsidR="006223C5" w:rsidRPr="00C63346" w:rsidRDefault="006223C5" w:rsidP="00F914F4">
      <w:pPr>
        <w:pStyle w:val="BodyText-COG"/>
        <w:outlineLvl w:val="0"/>
      </w:pPr>
    </w:p>
    <w:p w14:paraId="1C0D5AAD" w14:textId="490314AD" w:rsidR="00E670AB" w:rsidRDefault="007D07B9" w:rsidP="00E670AB">
      <w:pPr>
        <w:pStyle w:val="Level2Head-COG"/>
        <w:spacing w:before="0"/>
        <w:outlineLvl w:val="0"/>
      </w:pPr>
      <w:bookmarkStart w:id="4" w:name="_Toc49861395"/>
      <w:bookmarkStart w:id="5" w:name="_Toc50968688"/>
      <w:bookmarkStart w:id="6" w:name="_Toc51077677"/>
      <w:r>
        <w:t xml:space="preserve">Climate </w:t>
      </w:r>
      <w:r w:rsidR="00E670AB">
        <w:t>Mitigation Strategy Actions</w:t>
      </w:r>
      <w:bookmarkEnd w:id="4"/>
      <w:bookmarkEnd w:id="5"/>
      <w:bookmarkEnd w:id="6"/>
    </w:p>
    <w:p w14:paraId="2A24425D" w14:textId="41AAC452" w:rsidR="00E670AB" w:rsidRDefault="00E670AB" w:rsidP="00E670AB">
      <w:pPr>
        <w:pStyle w:val="BodyText-COG"/>
      </w:pPr>
    </w:p>
    <w:tbl>
      <w:tblPr>
        <w:tblW w:w="9180" w:type="dxa"/>
        <w:tblLook w:val="04A0" w:firstRow="1" w:lastRow="0" w:firstColumn="1" w:lastColumn="0" w:noHBand="0" w:noVBand="1"/>
      </w:tblPr>
      <w:tblGrid>
        <w:gridCol w:w="1885"/>
        <w:gridCol w:w="990"/>
        <w:gridCol w:w="6305"/>
      </w:tblGrid>
      <w:tr w:rsidR="00482A8C" w:rsidRPr="007E7B11" w14:paraId="302443AF" w14:textId="77777777" w:rsidTr="00B12D87">
        <w:trPr>
          <w:trHeight w:val="320"/>
        </w:trPr>
        <w:tc>
          <w:tcPr>
            <w:tcW w:w="1885" w:type="dxa"/>
            <w:tcBorders>
              <w:top w:val="single" w:sz="4" w:space="0" w:color="auto"/>
              <w:left w:val="single" w:sz="4" w:space="0" w:color="auto"/>
              <w:bottom w:val="single" w:sz="4" w:space="0" w:color="auto"/>
              <w:right w:val="single" w:sz="4" w:space="0" w:color="auto"/>
            </w:tcBorders>
            <w:shd w:val="clear" w:color="000000" w:fill="2F6B97"/>
            <w:noWrap/>
            <w:vAlign w:val="center"/>
            <w:hideMark/>
          </w:tcPr>
          <w:p w14:paraId="4F717A75" w14:textId="77777777" w:rsidR="00482A8C" w:rsidRPr="007E7B11" w:rsidRDefault="00482A8C" w:rsidP="00B12D87">
            <w:pPr>
              <w:jc w:val="center"/>
              <w:rPr>
                <w:rFonts w:ascii="Franklin Gothic Medium" w:eastAsia="Times New Roman" w:hAnsi="Franklin Gothic Medium" w:cs="Calibri"/>
                <w:color w:val="FFFFFF"/>
                <w:sz w:val="24"/>
              </w:rPr>
            </w:pPr>
            <w:r w:rsidRPr="007E7B11">
              <w:rPr>
                <w:rFonts w:ascii="Franklin Gothic Medium" w:eastAsia="Times New Roman" w:hAnsi="Franklin Gothic Medium" w:cs="Calibri"/>
                <w:color w:val="FFFFFF"/>
                <w:sz w:val="24"/>
              </w:rPr>
              <w:t>Climate Action Area</w:t>
            </w:r>
          </w:p>
        </w:tc>
        <w:tc>
          <w:tcPr>
            <w:tcW w:w="990" w:type="dxa"/>
            <w:tcBorders>
              <w:top w:val="single" w:sz="4" w:space="0" w:color="auto"/>
              <w:left w:val="nil"/>
              <w:bottom w:val="single" w:sz="4" w:space="0" w:color="auto"/>
              <w:right w:val="single" w:sz="4" w:space="0" w:color="auto"/>
            </w:tcBorders>
            <w:shd w:val="clear" w:color="000000" w:fill="2F6B97"/>
            <w:noWrap/>
            <w:vAlign w:val="center"/>
            <w:hideMark/>
          </w:tcPr>
          <w:p w14:paraId="4F73A9C8" w14:textId="77777777" w:rsidR="00482A8C" w:rsidRPr="007E7B11" w:rsidRDefault="00482A8C" w:rsidP="00B12D87">
            <w:pPr>
              <w:jc w:val="center"/>
              <w:rPr>
                <w:rFonts w:ascii="Franklin Gothic Medium" w:eastAsia="Times New Roman" w:hAnsi="Franklin Gothic Medium" w:cs="Calibri"/>
                <w:color w:val="FFFFFF"/>
                <w:sz w:val="24"/>
              </w:rPr>
            </w:pPr>
            <w:r w:rsidRPr="007E7B11">
              <w:rPr>
                <w:rFonts w:ascii="Franklin Gothic Medium" w:eastAsia="Times New Roman" w:hAnsi="Franklin Gothic Medium" w:cs="Calibri"/>
                <w:color w:val="FFFFFF"/>
                <w:sz w:val="24"/>
              </w:rPr>
              <w:t>Action ID</w:t>
            </w:r>
          </w:p>
        </w:tc>
        <w:tc>
          <w:tcPr>
            <w:tcW w:w="6305" w:type="dxa"/>
            <w:tcBorders>
              <w:top w:val="single" w:sz="4" w:space="0" w:color="auto"/>
              <w:left w:val="nil"/>
              <w:bottom w:val="single" w:sz="4" w:space="0" w:color="auto"/>
              <w:right w:val="single" w:sz="4" w:space="0" w:color="auto"/>
            </w:tcBorders>
            <w:shd w:val="clear" w:color="000000" w:fill="2F6B97"/>
            <w:noWrap/>
            <w:vAlign w:val="center"/>
            <w:hideMark/>
          </w:tcPr>
          <w:p w14:paraId="23452EE1" w14:textId="77777777" w:rsidR="00482A8C" w:rsidRPr="007E7B11" w:rsidRDefault="00482A8C" w:rsidP="00B12D87">
            <w:pPr>
              <w:jc w:val="center"/>
              <w:rPr>
                <w:rFonts w:ascii="Franklin Gothic Medium" w:eastAsia="Times New Roman" w:hAnsi="Franklin Gothic Medium" w:cs="Calibri"/>
                <w:color w:val="FFFFFF"/>
                <w:sz w:val="24"/>
              </w:rPr>
            </w:pPr>
            <w:r w:rsidRPr="007E7B11">
              <w:rPr>
                <w:rFonts w:ascii="Franklin Gothic Medium" w:eastAsia="Times New Roman" w:hAnsi="Franklin Gothic Medium" w:cs="Calibri"/>
                <w:color w:val="FFFFFF"/>
                <w:sz w:val="24"/>
              </w:rPr>
              <w:t>Priority Collaborative Action</w:t>
            </w:r>
          </w:p>
        </w:tc>
      </w:tr>
      <w:tr w:rsidR="00482A8C" w:rsidRPr="007E7B11" w14:paraId="4A966B35" w14:textId="77777777" w:rsidTr="00B12D87">
        <w:trPr>
          <w:trHeight w:val="300"/>
        </w:trPr>
        <w:tc>
          <w:tcPr>
            <w:tcW w:w="1885" w:type="dxa"/>
            <w:tcBorders>
              <w:top w:val="nil"/>
              <w:left w:val="single" w:sz="4" w:space="0" w:color="auto"/>
              <w:bottom w:val="single" w:sz="4" w:space="0" w:color="auto"/>
              <w:right w:val="single" w:sz="4" w:space="0" w:color="auto"/>
            </w:tcBorders>
            <w:shd w:val="clear" w:color="000000" w:fill="FFFFFF"/>
            <w:vAlign w:val="center"/>
            <w:hideMark/>
          </w:tcPr>
          <w:p w14:paraId="7A455129"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Planning</w:t>
            </w:r>
          </w:p>
        </w:tc>
        <w:tc>
          <w:tcPr>
            <w:tcW w:w="990" w:type="dxa"/>
            <w:tcBorders>
              <w:top w:val="nil"/>
              <w:left w:val="nil"/>
              <w:bottom w:val="single" w:sz="4" w:space="0" w:color="auto"/>
              <w:right w:val="single" w:sz="4" w:space="0" w:color="auto"/>
            </w:tcBorders>
            <w:shd w:val="clear" w:color="000000" w:fill="FFFFFF"/>
            <w:vAlign w:val="center"/>
            <w:hideMark/>
          </w:tcPr>
          <w:p w14:paraId="504781C3"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PL - 1</w:t>
            </w:r>
          </w:p>
        </w:tc>
        <w:tc>
          <w:tcPr>
            <w:tcW w:w="6305" w:type="dxa"/>
            <w:tcBorders>
              <w:top w:val="nil"/>
              <w:left w:val="nil"/>
              <w:bottom w:val="single" w:sz="4" w:space="0" w:color="auto"/>
              <w:right w:val="single" w:sz="4" w:space="0" w:color="auto"/>
            </w:tcBorders>
            <w:shd w:val="clear" w:color="000000" w:fill="FFFFFF"/>
            <w:vAlign w:val="center"/>
            <w:hideMark/>
          </w:tcPr>
          <w:p w14:paraId="6249F705"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Advance Climate Planning and Track Progress</w:t>
            </w:r>
          </w:p>
        </w:tc>
      </w:tr>
      <w:tr w:rsidR="00482A8C" w:rsidRPr="007E7B11" w14:paraId="753C3DFE" w14:textId="77777777" w:rsidTr="00B12D87">
        <w:trPr>
          <w:trHeight w:val="300"/>
        </w:trPr>
        <w:tc>
          <w:tcPr>
            <w:tcW w:w="1885" w:type="dxa"/>
            <w:vMerge w:val="restart"/>
            <w:tcBorders>
              <w:top w:val="nil"/>
              <w:left w:val="single" w:sz="4" w:space="0" w:color="auto"/>
              <w:bottom w:val="single" w:sz="4" w:space="0" w:color="auto"/>
              <w:right w:val="single" w:sz="4" w:space="0" w:color="auto"/>
            </w:tcBorders>
            <w:shd w:val="clear" w:color="000000" w:fill="DCE1E4"/>
            <w:vAlign w:val="center"/>
            <w:hideMark/>
          </w:tcPr>
          <w:p w14:paraId="079BBBC8"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Equity </w:t>
            </w:r>
          </w:p>
        </w:tc>
        <w:tc>
          <w:tcPr>
            <w:tcW w:w="990" w:type="dxa"/>
            <w:tcBorders>
              <w:top w:val="nil"/>
              <w:left w:val="nil"/>
              <w:bottom w:val="single" w:sz="4" w:space="0" w:color="auto"/>
              <w:right w:val="single" w:sz="4" w:space="0" w:color="auto"/>
            </w:tcBorders>
            <w:shd w:val="clear" w:color="000000" w:fill="DCE1E4"/>
            <w:vAlign w:val="center"/>
            <w:hideMark/>
          </w:tcPr>
          <w:p w14:paraId="7C7F8DDE"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EQ - 1</w:t>
            </w:r>
          </w:p>
        </w:tc>
        <w:tc>
          <w:tcPr>
            <w:tcW w:w="6305" w:type="dxa"/>
            <w:tcBorders>
              <w:top w:val="nil"/>
              <w:left w:val="nil"/>
              <w:bottom w:val="single" w:sz="4" w:space="0" w:color="auto"/>
              <w:right w:val="single" w:sz="4" w:space="0" w:color="auto"/>
            </w:tcBorders>
            <w:shd w:val="clear" w:color="000000" w:fill="DCE1E4"/>
            <w:vAlign w:val="center"/>
            <w:hideMark/>
          </w:tcPr>
          <w:p w14:paraId="44726FEA"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Enable Equitable Planning Practices</w:t>
            </w:r>
          </w:p>
        </w:tc>
      </w:tr>
      <w:tr w:rsidR="00482A8C" w:rsidRPr="007E7B11" w14:paraId="2046CA99"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23233F3F"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DCE1E4"/>
            <w:vAlign w:val="center"/>
            <w:hideMark/>
          </w:tcPr>
          <w:p w14:paraId="1A3E2509"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EQ - 2</w:t>
            </w:r>
          </w:p>
        </w:tc>
        <w:tc>
          <w:tcPr>
            <w:tcW w:w="6305" w:type="dxa"/>
            <w:tcBorders>
              <w:top w:val="nil"/>
              <w:left w:val="nil"/>
              <w:bottom w:val="single" w:sz="4" w:space="0" w:color="auto"/>
              <w:right w:val="single" w:sz="4" w:space="0" w:color="auto"/>
            </w:tcBorders>
            <w:shd w:val="clear" w:color="000000" w:fill="DCE1E4"/>
            <w:vAlign w:val="center"/>
            <w:hideMark/>
          </w:tcPr>
          <w:p w14:paraId="5D1F993E"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Prioritize Sustainable Energy Access for All </w:t>
            </w:r>
          </w:p>
        </w:tc>
      </w:tr>
      <w:tr w:rsidR="00482A8C" w:rsidRPr="007E7B11" w14:paraId="75478D7D" w14:textId="77777777" w:rsidTr="00B12D87">
        <w:trPr>
          <w:trHeight w:val="300"/>
        </w:trPr>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D718B6"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Clean Electricity </w:t>
            </w:r>
          </w:p>
        </w:tc>
        <w:tc>
          <w:tcPr>
            <w:tcW w:w="990" w:type="dxa"/>
            <w:tcBorders>
              <w:top w:val="nil"/>
              <w:left w:val="nil"/>
              <w:bottom w:val="single" w:sz="4" w:space="0" w:color="auto"/>
              <w:right w:val="single" w:sz="4" w:space="0" w:color="auto"/>
            </w:tcBorders>
            <w:shd w:val="clear" w:color="000000" w:fill="FFFFFF"/>
            <w:vAlign w:val="center"/>
            <w:hideMark/>
          </w:tcPr>
          <w:p w14:paraId="14DBE2C0"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CE - 1</w:t>
            </w:r>
          </w:p>
        </w:tc>
        <w:tc>
          <w:tcPr>
            <w:tcW w:w="6305" w:type="dxa"/>
            <w:tcBorders>
              <w:top w:val="nil"/>
              <w:left w:val="nil"/>
              <w:bottom w:val="single" w:sz="4" w:space="0" w:color="auto"/>
              <w:right w:val="single" w:sz="4" w:space="0" w:color="auto"/>
            </w:tcBorders>
            <w:shd w:val="clear" w:color="000000" w:fill="FFFFFF"/>
            <w:vAlign w:val="center"/>
            <w:hideMark/>
          </w:tcPr>
          <w:p w14:paraId="5296910D"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Advocate for Aggressive Renewable Portfolio Standards</w:t>
            </w:r>
          </w:p>
        </w:tc>
      </w:tr>
      <w:tr w:rsidR="00482A8C" w:rsidRPr="007E7B11" w14:paraId="7EB74569"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550BF895"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474C55DA"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CE - 2</w:t>
            </w:r>
          </w:p>
        </w:tc>
        <w:tc>
          <w:tcPr>
            <w:tcW w:w="6305" w:type="dxa"/>
            <w:tcBorders>
              <w:top w:val="nil"/>
              <w:left w:val="nil"/>
              <w:bottom w:val="single" w:sz="4" w:space="0" w:color="auto"/>
              <w:right w:val="single" w:sz="4" w:space="0" w:color="auto"/>
            </w:tcBorders>
            <w:shd w:val="clear" w:color="000000" w:fill="FFFFFF"/>
            <w:vAlign w:val="center"/>
            <w:hideMark/>
          </w:tcPr>
          <w:p w14:paraId="56867159"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Accelerate Development of On-Site Renewables</w:t>
            </w:r>
          </w:p>
        </w:tc>
      </w:tr>
      <w:tr w:rsidR="00482A8C" w:rsidRPr="007E7B11" w14:paraId="02267E5D"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57EEC46E"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7DF29064"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CE - 3</w:t>
            </w:r>
          </w:p>
        </w:tc>
        <w:tc>
          <w:tcPr>
            <w:tcW w:w="6305" w:type="dxa"/>
            <w:tcBorders>
              <w:top w:val="nil"/>
              <w:left w:val="nil"/>
              <w:bottom w:val="single" w:sz="4" w:space="0" w:color="auto"/>
              <w:right w:val="single" w:sz="4" w:space="0" w:color="auto"/>
            </w:tcBorders>
            <w:shd w:val="clear" w:color="000000" w:fill="FFFFFF"/>
            <w:vAlign w:val="center"/>
            <w:hideMark/>
          </w:tcPr>
          <w:p w14:paraId="5D9A43C3"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Accelerate Deployment of Battery Storage</w:t>
            </w:r>
          </w:p>
        </w:tc>
      </w:tr>
      <w:tr w:rsidR="00482A8C" w:rsidRPr="007E7B11" w14:paraId="5BD041E4"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19CA6631"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04BF2652"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CE - 4 </w:t>
            </w:r>
          </w:p>
        </w:tc>
        <w:tc>
          <w:tcPr>
            <w:tcW w:w="6305" w:type="dxa"/>
            <w:tcBorders>
              <w:top w:val="nil"/>
              <w:left w:val="nil"/>
              <w:bottom w:val="single" w:sz="4" w:space="0" w:color="auto"/>
              <w:right w:val="single" w:sz="4" w:space="0" w:color="auto"/>
            </w:tcBorders>
            <w:shd w:val="clear" w:color="000000" w:fill="FFFFFF"/>
            <w:vAlign w:val="center"/>
            <w:hideMark/>
          </w:tcPr>
          <w:p w14:paraId="342DCAF7"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Accelerate Development of Microgrids for Critical Infrastructure </w:t>
            </w:r>
          </w:p>
        </w:tc>
      </w:tr>
      <w:tr w:rsidR="00482A8C" w:rsidRPr="007E7B11" w14:paraId="17A60756"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5F7CB1B3"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4DBA131E"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CE - 5</w:t>
            </w:r>
          </w:p>
        </w:tc>
        <w:tc>
          <w:tcPr>
            <w:tcW w:w="6305" w:type="dxa"/>
            <w:tcBorders>
              <w:top w:val="nil"/>
              <w:left w:val="nil"/>
              <w:bottom w:val="single" w:sz="4" w:space="0" w:color="auto"/>
              <w:right w:val="single" w:sz="4" w:space="0" w:color="auto"/>
            </w:tcBorders>
            <w:shd w:val="clear" w:color="000000" w:fill="FFFFFF"/>
            <w:vAlign w:val="center"/>
            <w:hideMark/>
          </w:tcPr>
          <w:p w14:paraId="767C3FBC"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Accelerate Development of Large-Scale Off-Site Renewables </w:t>
            </w:r>
          </w:p>
        </w:tc>
      </w:tr>
      <w:tr w:rsidR="00482A8C" w:rsidRPr="007E7B11" w14:paraId="23406363"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5774216B"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1D32E209"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CE - 6</w:t>
            </w:r>
          </w:p>
        </w:tc>
        <w:tc>
          <w:tcPr>
            <w:tcW w:w="6305" w:type="dxa"/>
            <w:tcBorders>
              <w:top w:val="nil"/>
              <w:left w:val="nil"/>
              <w:bottom w:val="single" w:sz="4" w:space="0" w:color="auto"/>
              <w:right w:val="single" w:sz="4" w:space="0" w:color="auto"/>
            </w:tcBorders>
            <w:shd w:val="clear" w:color="000000" w:fill="FFFFFF"/>
            <w:vAlign w:val="center"/>
            <w:hideMark/>
          </w:tcPr>
          <w:p w14:paraId="441636C8"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Advocate for and Implement Community Choice Aggregation </w:t>
            </w:r>
          </w:p>
        </w:tc>
      </w:tr>
      <w:tr w:rsidR="00482A8C" w:rsidRPr="007E7B11" w14:paraId="04A5C58D" w14:textId="77777777" w:rsidTr="00B12D87">
        <w:trPr>
          <w:trHeight w:val="300"/>
        </w:trPr>
        <w:tc>
          <w:tcPr>
            <w:tcW w:w="1885" w:type="dxa"/>
            <w:vMerge w:val="restart"/>
            <w:tcBorders>
              <w:top w:val="nil"/>
              <w:left w:val="single" w:sz="4" w:space="0" w:color="auto"/>
              <w:bottom w:val="single" w:sz="4" w:space="0" w:color="auto"/>
              <w:right w:val="single" w:sz="4" w:space="0" w:color="auto"/>
            </w:tcBorders>
            <w:shd w:val="clear" w:color="000000" w:fill="DCE1E4"/>
            <w:vAlign w:val="center"/>
            <w:hideMark/>
          </w:tcPr>
          <w:p w14:paraId="78318070"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Zero Energy Buildings </w:t>
            </w:r>
          </w:p>
        </w:tc>
        <w:tc>
          <w:tcPr>
            <w:tcW w:w="990" w:type="dxa"/>
            <w:tcBorders>
              <w:top w:val="nil"/>
              <w:left w:val="nil"/>
              <w:bottom w:val="single" w:sz="4" w:space="0" w:color="auto"/>
              <w:right w:val="single" w:sz="4" w:space="0" w:color="auto"/>
            </w:tcBorders>
            <w:shd w:val="clear" w:color="000000" w:fill="DCE1E4"/>
            <w:vAlign w:val="center"/>
            <w:hideMark/>
          </w:tcPr>
          <w:p w14:paraId="1E1940BA"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ZEB - 1</w:t>
            </w:r>
          </w:p>
        </w:tc>
        <w:tc>
          <w:tcPr>
            <w:tcW w:w="6305" w:type="dxa"/>
            <w:tcBorders>
              <w:top w:val="nil"/>
              <w:left w:val="nil"/>
              <w:bottom w:val="single" w:sz="4" w:space="0" w:color="auto"/>
              <w:right w:val="single" w:sz="4" w:space="0" w:color="auto"/>
            </w:tcBorders>
            <w:shd w:val="clear" w:color="000000" w:fill="DCE1E4"/>
            <w:vAlign w:val="center"/>
            <w:hideMark/>
          </w:tcPr>
          <w:p w14:paraId="49D4D2BF"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Expand Building Benchmarking Requirements</w:t>
            </w:r>
          </w:p>
        </w:tc>
      </w:tr>
      <w:tr w:rsidR="00482A8C" w:rsidRPr="007E7B11" w14:paraId="5EEF1B7D"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669875BB"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DCE1E4"/>
            <w:vAlign w:val="center"/>
            <w:hideMark/>
          </w:tcPr>
          <w:p w14:paraId="01E97A07"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ZEB - 2</w:t>
            </w:r>
          </w:p>
        </w:tc>
        <w:tc>
          <w:tcPr>
            <w:tcW w:w="6305" w:type="dxa"/>
            <w:tcBorders>
              <w:top w:val="nil"/>
              <w:left w:val="nil"/>
              <w:bottom w:val="single" w:sz="4" w:space="0" w:color="auto"/>
              <w:right w:val="single" w:sz="4" w:space="0" w:color="auto"/>
            </w:tcBorders>
            <w:shd w:val="clear" w:color="000000" w:fill="DCE1E4"/>
            <w:vAlign w:val="center"/>
            <w:hideMark/>
          </w:tcPr>
          <w:p w14:paraId="74FB1204"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Accelerate Deep Building Retrofits</w:t>
            </w:r>
          </w:p>
        </w:tc>
      </w:tr>
      <w:tr w:rsidR="00482A8C" w:rsidRPr="007E7B11" w14:paraId="073DCE17" w14:textId="77777777" w:rsidTr="00B12D87">
        <w:trPr>
          <w:trHeight w:val="600"/>
        </w:trPr>
        <w:tc>
          <w:tcPr>
            <w:tcW w:w="1885" w:type="dxa"/>
            <w:vMerge/>
            <w:tcBorders>
              <w:top w:val="nil"/>
              <w:left w:val="single" w:sz="4" w:space="0" w:color="auto"/>
              <w:bottom w:val="single" w:sz="4" w:space="0" w:color="auto"/>
              <w:right w:val="single" w:sz="4" w:space="0" w:color="auto"/>
            </w:tcBorders>
            <w:vAlign w:val="center"/>
            <w:hideMark/>
          </w:tcPr>
          <w:p w14:paraId="15FE7AE1"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DCE1E4"/>
            <w:vAlign w:val="center"/>
            <w:hideMark/>
          </w:tcPr>
          <w:p w14:paraId="5EBCD5DD"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ZEB - 3</w:t>
            </w:r>
          </w:p>
        </w:tc>
        <w:tc>
          <w:tcPr>
            <w:tcW w:w="6305" w:type="dxa"/>
            <w:tcBorders>
              <w:top w:val="nil"/>
              <w:left w:val="nil"/>
              <w:bottom w:val="single" w:sz="4" w:space="0" w:color="auto"/>
              <w:right w:val="single" w:sz="4" w:space="0" w:color="auto"/>
            </w:tcBorders>
            <w:shd w:val="clear" w:color="000000" w:fill="DCE1E4"/>
            <w:vAlign w:val="center"/>
            <w:hideMark/>
          </w:tcPr>
          <w:p w14:paraId="0D656E1C"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Enhance Green Building Codes and Policies to Facilitate Net Zero Energy Building Development </w:t>
            </w:r>
          </w:p>
        </w:tc>
      </w:tr>
      <w:tr w:rsidR="00482A8C" w:rsidRPr="007E7B11" w14:paraId="153C2570"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6917F862"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DCE1E4"/>
            <w:vAlign w:val="center"/>
            <w:hideMark/>
          </w:tcPr>
          <w:p w14:paraId="57A0B200"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ZEB - 4</w:t>
            </w:r>
          </w:p>
        </w:tc>
        <w:tc>
          <w:tcPr>
            <w:tcW w:w="6305" w:type="dxa"/>
            <w:tcBorders>
              <w:top w:val="nil"/>
              <w:left w:val="nil"/>
              <w:bottom w:val="single" w:sz="4" w:space="0" w:color="auto"/>
              <w:right w:val="single" w:sz="4" w:space="0" w:color="auto"/>
            </w:tcBorders>
            <w:shd w:val="clear" w:color="000000" w:fill="DCE1E4"/>
            <w:vAlign w:val="center"/>
            <w:hideMark/>
          </w:tcPr>
          <w:p w14:paraId="4AD98124"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Expand Proper Disposal and Leak Detection of Refrigerants</w:t>
            </w:r>
          </w:p>
        </w:tc>
      </w:tr>
      <w:tr w:rsidR="00482A8C" w:rsidRPr="007E7B11" w14:paraId="6A4D7E6A" w14:textId="77777777" w:rsidTr="00B12D87">
        <w:trPr>
          <w:trHeight w:val="300"/>
        </w:trPr>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74E79E"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Zero Emission Vehicles</w:t>
            </w:r>
          </w:p>
        </w:tc>
        <w:tc>
          <w:tcPr>
            <w:tcW w:w="990" w:type="dxa"/>
            <w:tcBorders>
              <w:top w:val="nil"/>
              <w:left w:val="nil"/>
              <w:bottom w:val="single" w:sz="4" w:space="0" w:color="auto"/>
              <w:right w:val="single" w:sz="4" w:space="0" w:color="auto"/>
            </w:tcBorders>
            <w:shd w:val="clear" w:color="000000" w:fill="FFFFFF"/>
            <w:vAlign w:val="center"/>
            <w:hideMark/>
          </w:tcPr>
          <w:p w14:paraId="02E67F81"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ZEV - 1</w:t>
            </w:r>
          </w:p>
        </w:tc>
        <w:tc>
          <w:tcPr>
            <w:tcW w:w="6305" w:type="dxa"/>
            <w:tcBorders>
              <w:top w:val="nil"/>
              <w:left w:val="nil"/>
              <w:bottom w:val="single" w:sz="4" w:space="0" w:color="auto"/>
              <w:right w:val="single" w:sz="4" w:space="0" w:color="auto"/>
            </w:tcBorders>
            <w:shd w:val="clear" w:color="000000" w:fill="FFFFFF"/>
            <w:vAlign w:val="center"/>
            <w:hideMark/>
          </w:tcPr>
          <w:p w14:paraId="5FB628F1"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Expand Light-Duty Electric Vehicle Deployment </w:t>
            </w:r>
          </w:p>
        </w:tc>
      </w:tr>
      <w:tr w:rsidR="00482A8C" w:rsidRPr="007E7B11" w14:paraId="34B3C9F1"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39F7A9AF"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6D357E1B"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ZEV - 2</w:t>
            </w:r>
          </w:p>
        </w:tc>
        <w:tc>
          <w:tcPr>
            <w:tcW w:w="6305" w:type="dxa"/>
            <w:tcBorders>
              <w:top w:val="nil"/>
              <w:left w:val="nil"/>
              <w:bottom w:val="single" w:sz="4" w:space="0" w:color="auto"/>
              <w:right w:val="single" w:sz="4" w:space="0" w:color="auto"/>
            </w:tcBorders>
            <w:shd w:val="clear" w:color="000000" w:fill="FFFFFF"/>
            <w:vAlign w:val="center"/>
            <w:hideMark/>
          </w:tcPr>
          <w:p w14:paraId="3833C25A"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Accelerate Electrification of Medium- and Heavy-Duty Vehicles</w:t>
            </w:r>
          </w:p>
        </w:tc>
      </w:tr>
      <w:tr w:rsidR="00482A8C" w:rsidRPr="007E7B11" w14:paraId="666184F1"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7056F4D2"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52FB0710"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ZEV - 3</w:t>
            </w:r>
          </w:p>
        </w:tc>
        <w:tc>
          <w:tcPr>
            <w:tcW w:w="6305" w:type="dxa"/>
            <w:tcBorders>
              <w:top w:val="nil"/>
              <w:left w:val="nil"/>
              <w:bottom w:val="single" w:sz="4" w:space="0" w:color="auto"/>
              <w:right w:val="single" w:sz="4" w:space="0" w:color="auto"/>
            </w:tcBorders>
            <w:shd w:val="clear" w:color="000000" w:fill="FFFFFF"/>
            <w:vAlign w:val="center"/>
            <w:hideMark/>
          </w:tcPr>
          <w:p w14:paraId="034AC483"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Build Out Regional Electric Vehicle Charging Network </w:t>
            </w:r>
          </w:p>
        </w:tc>
      </w:tr>
      <w:tr w:rsidR="00482A8C" w:rsidRPr="007E7B11" w14:paraId="089DC3B8" w14:textId="77777777" w:rsidTr="00B12D87">
        <w:trPr>
          <w:trHeight w:val="300"/>
        </w:trPr>
        <w:tc>
          <w:tcPr>
            <w:tcW w:w="1885" w:type="dxa"/>
            <w:vMerge w:val="restart"/>
            <w:tcBorders>
              <w:top w:val="nil"/>
              <w:left w:val="single" w:sz="4" w:space="0" w:color="auto"/>
              <w:bottom w:val="single" w:sz="4" w:space="0" w:color="auto"/>
              <w:right w:val="single" w:sz="4" w:space="0" w:color="auto"/>
            </w:tcBorders>
            <w:shd w:val="clear" w:color="000000" w:fill="DCE1E4"/>
            <w:vAlign w:val="center"/>
            <w:hideMark/>
          </w:tcPr>
          <w:p w14:paraId="463609F6"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Zero Waste </w:t>
            </w:r>
          </w:p>
        </w:tc>
        <w:tc>
          <w:tcPr>
            <w:tcW w:w="990" w:type="dxa"/>
            <w:tcBorders>
              <w:top w:val="nil"/>
              <w:left w:val="nil"/>
              <w:bottom w:val="single" w:sz="4" w:space="0" w:color="auto"/>
              <w:right w:val="single" w:sz="4" w:space="0" w:color="auto"/>
            </w:tcBorders>
            <w:shd w:val="clear" w:color="000000" w:fill="DCE1E4"/>
            <w:vAlign w:val="center"/>
            <w:hideMark/>
          </w:tcPr>
          <w:p w14:paraId="22290F3D"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ZW - 1</w:t>
            </w:r>
          </w:p>
        </w:tc>
        <w:tc>
          <w:tcPr>
            <w:tcW w:w="6305" w:type="dxa"/>
            <w:tcBorders>
              <w:top w:val="nil"/>
              <w:left w:val="nil"/>
              <w:bottom w:val="single" w:sz="4" w:space="0" w:color="auto"/>
              <w:right w:val="single" w:sz="4" w:space="0" w:color="auto"/>
            </w:tcBorders>
            <w:shd w:val="clear" w:color="000000" w:fill="DCE1E4"/>
            <w:vAlign w:val="center"/>
            <w:hideMark/>
          </w:tcPr>
          <w:p w14:paraId="1C3A6E14"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Implement Curbside Organics Recycling Programs</w:t>
            </w:r>
          </w:p>
        </w:tc>
      </w:tr>
      <w:tr w:rsidR="00482A8C" w:rsidRPr="007E7B11" w14:paraId="30DE60A8"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276A2424"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DCE1E4"/>
            <w:vAlign w:val="center"/>
            <w:hideMark/>
          </w:tcPr>
          <w:p w14:paraId="2DF938B2"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ZW - 2</w:t>
            </w:r>
          </w:p>
        </w:tc>
        <w:tc>
          <w:tcPr>
            <w:tcW w:w="6305" w:type="dxa"/>
            <w:tcBorders>
              <w:top w:val="nil"/>
              <w:left w:val="nil"/>
              <w:bottom w:val="single" w:sz="4" w:space="0" w:color="auto"/>
              <w:right w:val="single" w:sz="4" w:space="0" w:color="auto"/>
            </w:tcBorders>
            <w:shd w:val="clear" w:color="000000" w:fill="DCE1E4"/>
            <w:vAlign w:val="center"/>
            <w:hideMark/>
          </w:tcPr>
          <w:p w14:paraId="4D00C04E"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Reduce Solid Waste Generation </w:t>
            </w:r>
          </w:p>
        </w:tc>
      </w:tr>
      <w:tr w:rsidR="00482A8C" w:rsidRPr="007E7B11" w14:paraId="4E435B22" w14:textId="77777777" w:rsidTr="00B12D87">
        <w:trPr>
          <w:trHeight w:val="300"/>
        </w:trPr>
        <w:tc>
          <w:tcPr>
            <w:tcW w:w="1885" w:type="dxa"/>
            <w:vMerge/>
            <w:tcBorders>
              <w:top w:val="nil"/>
              <w:left w:val="single" w:sz="4" w:space="0" w:color="auto"/>
              <w:bottom w:val="single" w:sz="4" w:space="0" w:color="auto"/>
              <w:right w:val="single" w:sz="4" w:space="0" w:color="auto"/>
            </w:tcBorders>
            <w:vAlign w:val="center"/>
            <w:hideMark/>
          </w:tcPr>
          <w:p w14:paraId="5E2ECB38"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DCE1E4"/>
            <w:vAlign w:val="center"/>
            <w:hideMark/>
          </w:tcPr>
          <w:p w14:paraId="44371A68"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ZW - 3</w:t>
            </w:r>
          </w:p>
        </w:tc>
        <w:tc>
          <w:tcPr>
            <w:tcW w:w="6305" w:type="dxa"/>
            <w:tcBorders>
              <w:top w:val="nil"/>
              <w:left w:val="nil"/>
              <w:bottom w:val="single" w:sz="4" w:space="0" w:color="auto"/>
              <w:right w:val="single" w:sz="4" w:space="0" w:color="auto"/>
            </w:tcBorders>
            <w:shd w:val="clear" w:color="000000" w:fill="DCE1E4"/>
            <w:vAlign w:val="center"/>
            <w:hideMark/>
          </w:tcPr>
          <w:p w14:paraId="10FCD350"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Build Markets for Circularity </w:t>
            </w:r>
          </w:p>
        </w:tc>
      </w:tr>
      <w:tr w:rsidR="00482A8C" w:rsidRPr="007E7B11" w14:paraId="01EFAE14" w14:textId="77777777" w:rsidTr="00B12D87">
        <w:trPr>
          <w:trHeight w:val="300"/>
        </w:trPr>
        <w:tc>
          <w:tcPr>
            <w:tcW w:w="18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0C149A"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 xml:space="preserve">Sequestration </w:t>
            </w:r>
          </w:p>
        </w:tc>
        <w:tc>
          <w:tcPr>
            <w:tcW w:w="990" w:type="dxa"/>
            <w:tcBorders>
              <w:top w:val="nil"/>
              <w:left w:val="nil"/>
              <w:bottom w:val="single" w:sz="4" w:space="0" w:color="auto"/>
              <w:right w:val="single" w:sz="4" w:space="0" w:color="auto"/>
            </w:tcBorders>
            <w:shd w:val="clear" w:color="000000" w:fill="FFFFFF"/>
            <w:vAlign w:val="center"/>
            <w:hideMark/>
          </w:tcPr>
          <w:p w14:paraId="2F7F04FB"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SQ - 1</w:t>
            </w:r>
          </w:p>
        </w:tc>
        <w:tc>
          <w:tcPr>
            <w:tcW w:w="6305" w:type="dxa"/>
            <w:tcBorders>
              <w:top w:val="nil"/>
              <w:left w:val="nil"/>
              <w:bottom w:val="single" w:sz="4" w:space="0" w:color="auto"/>
              <w:right w:val="single" w:sz="4" w:space="0" w:color="auto"/>
            </w:tcBorders>
            <w:shd w:val="clear" w:color="000000" w:fill="FFFFFF"/>
            <w:vAlign w:val="center"/>
            <w:hideMark/>
          </w:tcPr>
          <w:p w14:paraId="36EECB07"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Strategically Plant New Trees on Publicly Owned Land</w:t>
            </w:r>
          </w:p>
        </w:tc>
      </w:tr>
      <w:tr w:rsidR="00482A8C" w:rsidRPr="007E7B11" w14:paraId="3218D0CF" w14:textId="77777777" w:rsidTr="00B12D87">
        <w:trPr>
          <w:trHeight w:val="600"/>
        </w:trPr>
        <w:tc>
          <w:tcPr>
            <w:tcW w:w="1885" w:type="dxa"/>
            <w:vMerge/>
            <w:tcBorders>
              <w:top w:val="nil"/>
              <w:left w:val="single" w:sz="4" w:space="0" w:color="auto"/>
              <w:bottom w:val="single" w:sz="4" w:space="0" w:color="auto"/>
              <w:right w:val="single" w:sz="4" w:space="0" w:color="auto"/>
            </w:tcBorders>
            <w:vAlign w:val="center"/>
            <w:hideMark/>
          </w:tcPr>
          <w:p w14:paraId="62F5E345"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0E1CBC24"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SQ - 2</w:t>
            </w:r>
          </w:p>
        </w:tc>
        <w:tc>
          <w:tcPr>
            <w:tcW w:w="6305" w:type="dxa"/>
            <w:tcBorders>
              <w:top w:val="nil"/>
              <w:left w:val="nil"/>
              <w:bottom w:val="single" w:sz="4" w:space="0" w:color="auto"/>
              <w:right w:val="single" w:sz="4" w:space="0" w:color="auto"/>
            </w:tcBorders>
            <w:shd w:val="clear" w:color="000000" w:fill="FFFFFF"/>
            <w:vAlign w:val="center"/>
            <w:hideMark/>
          </w:tcPr>
          <w:p w14:paraId="7F6A7509"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Enhance Regulatory Capacity to Manage Tree Canopy and Forest Protection</w:t>
            </w:r>
          </w:p>
        </w:tc>
      </w:tr>
      <w:tr w:rsidR="00482A8C" w:rsidRPr="007E7B11" w14:paraId="19B73408" w14:textId="77777777" w:rsidTr="00B12D87">
        <w:trPr>
          <w:trHeight w:val="600"/>
        </w:trPr>
        <w:tc>
          <w:tcPr>
            <w:tcW w:w="1885" w:type="dxa"/>
            <w:vMerge/>
            <w:tcBorders>
              <w:top w:val="nil"/>
              <w:left w:val="single" w:sz="4" w:space="0" w:color="auto"/>
              <w:bottom w:val="single" w:sz="4" w:space="0" w:color="auto"/>
              <w:right w:val="single" w:sz="4" w:space="0" w:color="auto"/>
            </w:tcBorders>
            <w:vAlign w:val="center"/>
            <w:hideMark/>
          </w:tcPr>
          <w:p w14:paraId="7D0F5675" w14:textId="77777777" w:rsidR="00482A8C" w:rsidRPr="007E7B11" w:rsidRDefault="00482A8C" w:rsidP="00B12D87">
            <w:pPr>
              <w:rPr>
                <w:rFonts w:ascii="Franklin Gothic Book" w:eastAsia="Times New Roman" w:hAnsi="Franklin Gothic Book" w:cs="Calibri"/>
                <w:color w:val="000000"/>
                <w:sz w:val="22"/>
                <w:szCs w:val="22"/>
              </w:rPr>
            </w:pPr>
          </w:p>
        </w:tc>
        <w:tc>
          <w:tcPr>
            <w:tcW w:w="990" w:type="dxa"/>
            <w:tcBorders>
              <w:top w:val="nil"/>
              <w:left w:val="nil"/>
              <w:bottom w:val="single" w:sz="4" w:space="0" w:color="auto"/>
              <w:right w:val="single" w:sz="4" w:space="0" w:color="auto"/>
            </w:tcBorders>
            <w:shd w:val="clear" w:color="000000" w:fill="FFFFFF"/>
            <w:vAlign w:val="center"/>
            <w:hideMark/>
          </w:tcPr>
          <w:p w14:paraId="5074CEB9" w14:textId="77777777" w:rsidR="00482A8C" w:rsidRPr="007E7B11" w:rsidRDefault="00482A8C" w:rsidP="00B12D87">
            <w:pPr>
              <w:rPr>
                <w:rFonts w:ascii="Franklin Gothic Book" w:eastAsia="Times New Roman" w:hAnsi="Franklin Gothic Book" w:cs="Calibri"/>
                <w:color w:val="000000"/>
                <w:sz w:val="22"/>
                <w:szCs w:val="22"/>
              </w:rPr>
            </w:pPr>
            <w:r w:rsidRPr="007E7B11">
              <w:rPr>
                <w:rFonts w:ascii="Franklin Gothic Book" w:eastAsia="Times New Roman" w:hAnsi="Franklin Gothic Book" w:cs="Calibri"/>
                <w:color w:val="000000"/>
                <w:sz w:val="22"/>
                <w:szCs w:val="22"/>
              </w:rPr>
              <w:t>SQ - 3</w:t>
            </w:r>
          </w:p>
        </w:tc>
        <w:tc>
          <w:tcPr>
            <w:tcW w:w="6305" w:type="dxa"/>
            <w:tcBorders>
              <w:top w:val="nil"/>
              <w:left w:val="nil"/>
              <w:bottom w:val="single" w:sz="4" w:space="0" w:color="auto"/>
              <w:right w:val="single" w:sz="4" w:space="0" w:color="auto"/>
            </w:tcBorders>
            <w:shd w:val="clear" w:color="000000" w:fill="FFFFFF"/>
            <w:vAlign w:val="center"/>
            <w:hideMark/>
          </w:tcPr>
          <w:p w14:paraId="2C2B71BD" w14:textId="6F92E3F4" w:rsidR="00482A8C" w:rsidRPr="007E7B11" w:rsidRDefault="007A496D" w:rsidP="00B12D8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Enhance Tree Planting and Preservation on Privately Owned Lands</w:t>
            </w:r>
          </w:p>
        </w:tc>
      </w:tr>
    </w:tbl>
    <w:p w14:paraId="4F3A5AA0" w14:textId="0DAB836A" w:rsidR="00E670AB" w:rsidRDefault="00E670AB" w:rsidP="00E670AB">
      <w:pPr>
        <w:pStyle w:val="BodyText-COG"/>
      </w:pPr>
    </w:p>
    <w:p w14:paraId="07DD251F" w14:textId="49E5BECC" w:rsidR="007D07B9" w:rsidRDefault="007D07B9" w:rsidP="00E670AB">
      <w:pPr>
        <w:pStyle w:val="BodyText-COG"/>
      </w:pPr>
    </w:p>
    <w:p w14:paraId="0DD57C38" w14:textId="6F7E391F" w:rsidR="007D07B9" w:rsidRDefault="007D07B9" w:rsidP="00E670AB">
      <w:pPr>
        <w:pStyle w:val="BodyText-COG"/>
      </w:pPr>
    </w:p>
    <w:p w14:paraId="58625CA3" w14:textId="5250AD75" w:rsidR="007D07B9" w:rsidRDefault="007D07B9" w:rsidP="00E670AB">
      <w:pPr>
        <w:pStyle w:val="BodyText-COG"/>
      </w:pPr>
    </w:p>
    <w:p w14:paraId="7C1B5258" w14:textId="07213271" w:rsidR="007D07B9" w:rsidRDefault="007D07B9" w:rsidP="00E670AB">
      <w:pPr>
        <w:pStyle w:val="BodyText-COG"/>
      </w:pPr>
    </w:p>
    <w:p w14:paraId="1F98D9B7" w14:textId="7FAED5EC" w:rsidR="007D07B9" w:rsidRDefault="007D07B9" w:rsidP="00E670AB">
      <w:pPr>
        <w:pStyle w:val="BodyText-COG"/>
      </w:pPr>
    </w:p>
    <w:p w14:paraId="7151AADA" w14:textId="0426C9B6" w:rsidR="007D07B9" w:rsidRDefault="007D07B9" w:rsidP="00E670AB">
      <w:pPr>
        <w:pStyle w:val="BodyText-COG"/>
      </w:pPr>
    </w:p>
    <w:p w14:paraId="5F1503D6" w14:textId="76A2E2C2" w:rsidR="007D07B9" w:rsidRDefault="007D07B9" w:rsidP="00E670AB">
      <w:pPr>
        <w:pStyle w:val="BodyText-COG"/>
      </w:pPr>
    </w:p>
    <w:p w14:paraId="61E2349F" w14:textId="39C9AA62" w:rsidR="007D07B9" w:rsidRDefault="007D07B9" w:rsidP="00E670AB">
      <w:pPr>
        <w:pStyle w:val="BodyText-COG"/>
      </w:pPr>
    </w:p>
    <w:p w14:paraId="089A4813" w14:textId="77777777" w:rsidR="007D07B9" w:rsidRDefault="007D07B9" w:rsidP="00E670AB">
      <w:pPr>
        <w:pStyle w:val="BodyText-COG"/>
      </w:pPr>
    </w:p>
    <w:p w14:paraId="045E0007" w14:textId="5578A5AE" w:rsidR="00E670AB" w:rsidRDefault="007D07B9" w:rsidP="00E670AB">
      <w:pPr>
        <w:pStyle w:val="Level2Head-COG"/>
      </w:pPr>
      <w:bookmarkStart w:id="7" w:name="_Toc49861396"/>
      <w:bookmarkStart w:id="8" w:name="_Toc50968689"/>
      <w:bookmarkStart w:id="9" w:name="_Toc51077678"/>
      <w:r>
        <w:lastRenderedPageBreak/>
        <w:t xml:space="preserve">Climate </w:t>
      </w:r>
      <w:r w:rsidR="00E670AB">
        <w:t>Resilience Strategy Actions</w:t>
      </w:r>
      <w:bookmarkEnd w:id="7"/>
      <w:bookmarkEnd w:id="8"/>
      <w:bookmarkEnd w:id="9"/>
    </w:p>
    <w:p w14:paraId="51FB7A9A" w14:textId="77777777" w:rsidR="007D07B9" w:rsidRPr="007D07B9" w:rsidRDefault="007D07B9" w:rsidP="007D07B9">
      <w:pPr>
        <w:pStyle w:val="BodyText-COG"/>
      </w:pPr>
    </w:p>
    <w:tbl>
      <w:tblPr>
        <w:tblW w:w="9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040"/>
        <w:gridCol w:w="6120"/>
      </w:tblGrid>
      <w:tr w:rsidR="00CC1489" w14:paraId="600443DB" w14:textId="77777777" w:rsidTr="00CC1489">
        <w:trPr>
          <w:trHeight w:val="320"/>
        </w:trPr>
        <w:tc>
          <w:tcPr>
            <w:tcW w:w="2220" w:type="dxa"/>
            <w:tcBorders>
              <w:top w:val="single" w:sz="4" w:space="0" w:color="auto"/>
              <w:left w:val="single" w:sz="4" w:space="0" w:color="auto"/>
              <w:bottom w:val="single" w:sz="4" w:space="0" w:color="auto"/>
              <w:right w:val="single" w:sz="4" w:space="0" w:color="auto"/>
            </w:tcBorders>
            <w:shd w:val="clear" w:color="auto" w:fill="2F6B97"/>
            <w:noWrap/>
            <w:vAlign w:val="center"/>
            <w:hideMark/>
          </w:tcPr>
          <w:p w14:paraId="66254273" w14:textId="77777777" w:rsidR="00CC1489" w:rsidRDefault="00CC1489">
            <w:pPr>
              <w:jc w:val="center"/>
              <w:rPr>
                <w:rFonts w:ascii="Franklin Gothic Medium" w:eastAsia="Times New Roman" w:hAnsi="Franklin Gothic Medium" w:cs="Calibri"/>
                <w:color w:val="FFFFFF"/>
                <w:sz w:val="24"/>
              </w:rPr>
            </w:pPr>
            <w:bookmarkStart w:id="10" w:name="_Hlk50047625"/>
            <w:r>
              <w:rPr>
                <w:rFonts w:ascii="Franklin Gothic Medium" w:eastAsia="Times New Roman" w:hAnsi="Franklin Gothic Medium" w:cs="Calibri"/>
                <w:color w:val="FFFFFF"/>
                <w:sz w:val="24"/>
              </w:rPr>
              <w:t>Climate Action Area</w:t>
            </w:r>
          </w:p>
        </w:tc>
        <w:tc>
          <w:tcPr>
            <w:tcW w:w="1040" w:type="dxa"/>
            <w:tcBorders>
              <w:top w:val="single" w:sz="4" w:space="0" w:color="auto"/>
              <w:left w:val="single" w:sz="4" w:space="0" w:color="auto"/>
              <w:bottom w:val="single" w:sz="4" w:space="0" w:color="auto"/>
              <w:right w:val="single" w:sz="4" w:space="0" w:color="auto"/>
            </w:tcBorders>
            <w:shd w:val="clear" w:color="auto" w:fill="2F6B97"/>
            <w:noWrap/>
            <w:vAlign w:val="center"/>
            <w:hideMark/>
          </w:tcPr>
          <w:p w14:paraId="3E731AA2" w14:textId="77777777" w:rsidR="00CC1489" w:rsidRDefault="00CC1489">
            <w:pPr>
              <w:jc w:val="center"/>
              <w:rPr>
                <w:rFonts w:ascii="Franklin Gothic Medium" w:eastAsia="Times New Roman" w:hAnsi="Franklin Gothic Medium" w:cs="Calibri"/>
                <w:color w:val="FFFFFF"/>
                <w:sz w:val="24"/>
              </w:rPr>
            </w:pPr>
            <w:r>
              <w:rPr>
                <w:rFonts w:ascii="Franklin Gothic Medium" w:eastAsia="Times New Roman" w:hAnsi="Franklin Gothic Medium" w:cs="Calibri"/>
                <w:color w:val="FFFFFF"/>
                <w:sz w:val="24"/>
              </w:rPr>
              <w:t>Action ID</w:t>
            </w:r>
          </w:p>
        </w:tc>
        <w:tc>
          <w:tcPr>
            <w:tcW w:w="6120" w:type="dxa"/>
            <w:tcBorders>
              <w:top w:val="single" w:sz="4" w:space="0" w:color="auto"/>
              <w:left w:val="single" w:sz="4" w:space="0" w:color="auto"/>
              <w:bottom w:val="single" w:sz="4" w:space="0" w:color="auto"/>
              <w:right w:val="single" w:sz="4" w:space="0" w:color="auto"/>
            </w:tcBorders>
            <w:shd w:val="clear" w:color="auto" w:fill="2F6B97"/>
            <w:noWrap/>
            <w:vAlign w:val="center"/>
            <w:hideMark/>
          </w:tcPr>
          <w:p w14:paraId="60D17F0F" w14:textId="77777777" w:rsidR="00CC1489" w:rsidRDefault="00CC1489">
            <w:pPr>
              <w:jc w:val="center"/>
              <w:rPr>
                <w:rFonts w:ascii="Franklin Gothic Medium" w:eastAsia="Times New Roman" w:hAnsi="Franklin Gothic Medium" w:cs="Calibri"/>
                <w:color w:val="FFFFFF"/>
                <w:sz w:val="24"/>
              </w:rPr>
            </w:pPr>
            <w:r>
              <w:rPr>
                <w:rFonts w:ascii="Franklin Gothic Medium" w:eastAsia="Times New Roman" w:hAnsi="Franklin Gothic Medium" w:cs="Calibri"/>
                <w:color w:val="FFFFFF"/>
                <w:sz w:val="24"/>
              </w:rPr>
              <w:t>Priority Collaborative Action</w:t>
            </w:r>
          </w:p>
        </w:tc>
      </w:tr>
      <w:tr w:rsidR="00CC1489" w14:paraId="73C04561" w14:textId="77777777" w:rsidTr="00CC1489">
        <w:trPr>
          <w:trHeight w:val="300"/>
        </w:trPr>
        <w:tc>
          <w:tcPr>
            <w:tcW w:w="22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EAC077F"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Planning </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A84BEF"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PL - 2</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5DD86"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Support Capacity Building for Climate Resilience Planning  </w:t>
            </w:r>
          </w:p>
        </w:tc>
      </w:tr>
      <w:tr w:rsidR="00CC1489" w14:paraId="5A3A326F" w14:textId="77777777" w:rsidTr="00CC148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28310" w14:textId="77777777" w:rsidR="00CC1489" w:rsidRDefault="00CC1489">
            <w:pPr>
              <w:rPr>
                <w:rFonts w:ascii="Franklin Gothic Book" w:eastAsia="Times New Roman" w:hAnsi="Franklin Gothic Book" w:cs="Calibri"/>
                <w:color w:val="0000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DADB25"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PL - 3</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160E95"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Develop Integrated Approach to Climate Resilience Planning</w:t>
            </w:r>
          </w:p>
        </w:tc>
      </w:tr>
      <w:tr w:rsidR="00CC1489" w14:paraId="6739B7F8" w14:textId="77777777" w:rsidTr="00CC148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DB108" w14:textId="77777777" w:rsidR="00CC1489" w:rsidRDefault="00CC1489">
            <w:pPr>
              <w:rPr>
                <w:rFonts w:ascii="Franklin Gothic Book" w:eastAsia="Times New Roman" w:hAnsi="Franklin Gothic Book" w:cs="Calibri"/>
                <w:color w:val="0000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6D382D"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PL - 4 </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0FFFF"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Update Local Regional Plans to Address Climate Risks </w:t>
            </w:r>
          </w:p>
        </w:tc>
      </w:tr>
      <w:tr w:rsidR="00CC1489" w14:paraId="47986570" w14:textId="77777777" w:rsidTr="00CC1489">
        <w:trPr>
          <w:trHeight w:val="300"/>
        </w:trPr>
        <w:tc>
          <w:tcPr>
            <w:tcW w:w="2220" w:type="dxa"/>
            <w:vMerge w:val="restart"/>
            <w:tcBorders>
              <w:top w:val="single" w:sz="4" w:space="0" w:color="auto"/>
              <w:left w:val="single" w:sz="4" w:space="0" w:color="auto"/>
              <w:bottom w:val="single" w:sz="4" w:space="0" w:color="auto"/>
              <w:right w:val="single" w:sz="4" w:space="0" w:color="auto"/>
            </w:tcBorders>
            <w:shd w:val="clear" w:color="auto" w:fill="DCE1E4"/>
            <w:vAlign w:val="center"/>
            <w:hideMark/>
          </w:tcPr>
          <w:p w14:paraId="2C53993C"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Equity </w:t>
            </w:r>
          </w:p>
        </w:tc>
        <w:tc>
          <w:tcPr>
            <w:tcW w:w="1040" w:type="dxa"/>
            <w:tcBorders>
              <w:top w:val="single" w:sz="4" w:space="0" w:color="auto"/>
              <w:left w:val="single" w:sz="4" w:space="0" w:color="auto"/>
              <w:bottom w:val="single" w:sz="4" w:space="0" w:color="auto"/>
              <w:right w:val="single" w:sz="4" w:space="0" w:color="auto"/>
            </w:tcBorders>
            <w:shd w:val="clear" w:color="auto" w:fill="DCE1E4"/>
            <w:vAlign w:val="center"/>
            <w:hideMark/>
          </w:tcPr>
          <w:p w14:paraId="1E2A5B1B"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EQ - 3</w:t>
            </w:r>
          </w:p>
        </w:tc>
        <w:tc>
          <w:tcPr>
            <w:tcW w:w="6120" w:type="dxa"/>
            <w:tcBorders>
              <w:top w:val="single" w:sz="4" w:space="0" w:color="auto"/>
              <w:left w:val="single" w:sz="4" w:space="0" w:color="auto"/>
              <w:bottom w:val="single" w:sz="4" w:space="0" w:color="auto"/>
              <w:right w:val="single" w:sz="4" w:space="0" w:color="auto"/>
            </w:tcBorders>
            <w:shd w:val="clear" w:color="auto" w:fill="DCE1E4"/>
            <w:vAlign w:val="center"/>
            <w:hideMark/>
          </w:tcPr>
          <w:p w14:paraId="59F5D926"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Support Engagement of the Public on Climate Risks, with </w:t>
            </w:r>
            <w:proofErr w:type="gramStart"/>
            <w:r>
              <w:rPr>
                <w:rFonts w:ascii="Franklin Gothic Book" w:eastAsia="Times New Roman" w:hAnsi="Franklin Gothic Book" w:cs="Calibri"/>
                <w:color w:val="000000"/>
                <w:sz w:val="22"/>
                <w:szCs w:val="22"/>
              </w:rPr>
              <w:t>a Particular Emphasis</w:t>
            </w:r>
            <w:proofErr w:type="gramEnd"/>
            <w:r>
              <w:rPr>
                <w:rFonts w:ascii="Franklin Gothic Book" w:eastAsia="Times New Roman" w:hAnsi="Franklin Gothic Book" w:cs="Calibri"/>
                <w:color w:val="000000"/>
                <w:sz w:val="22"/>
                <w:szCs w:val="22"/>
              </w:rPr>
              <w:t xml:space="preserve"> on Potentially Vulnerable Populations</w:t>
            </w:r>
          </w:p>
        </w:tc>
      </w:tr>
      <w:tr w:rsidR="00CC1489" w14:paraId="69F37005" w14:textId="77777777" w:rsidTr="00CC148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86356" w14:textId="77777777" w:rsidR="00CC1489" w:rsidRDefault="00CC1489">
            <w:pPr>
              <w:rPr>
                <w:rFonts w:ascii="Franklin Gothic Book" w:eastAsia="Times New Roman" w:hAnsi="Franklin Gothic Book" w:cs="Calibri"/>
                <w:color w:val="0000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DCE1E4"/>
            <w:vAlign w:val="center"/>
            <w:hideMark/>
          </w:tcPr>
          <w:p w14:paraId="7187B86D"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EQ - 4</w:t>
            </w:r>
          </w:p>
        </w:tc>
        <w:tc>
          <w:tcPr>
            <w:tcW w:w="6120" w:type="dxa"/>
            <w:tcBorders>
              <w:top w:val="single" w:sz="4" w:space="0" w:color="auto"/>
              <w:left w:val="single" w:sz="4" w:space="0" w:color="auto"/>
              <w:bottom w:val="single" w:sz="4" w:space="0" w:color="auto"/>
              <w:right w:val="single" w:sz="4" w:space="0" w:color="auto"/>
            </w:tcBorders>
            <w:shd w:val="clear" w:color="auto" w:fill="DCE1E4"/>
            <w:vAlign w:val="center"/>
            <w:hideMark/>
          </w:tcPr>
          <w:p w14:paraId="7EBB13CC"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Support Equitable Secure Energy Access </w:t>
            </w:r>
          </w:p>
        </w:tc>
      </w:tr>
      <w:tr w:rsidR="00CC1489" w14:paraId="354D8789" w14:textId="77777777" w:rsidTr="00CC1489">
        <w:trPr>
          <w:trHeight w:val="300"/>
        </w:trPr>
        <w:tc>
          <w:tcPr>
            <w:tcW w:w="22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1D53D9"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Resilient Infrastructure </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26721D"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RI - 1</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4AAE9" w14:textId="77777777" w:rsidR="00CC1489" w:rsidRDefault="00CC1489">
            <w:pPr>
              <w:pStyle w:val="BodyText-COG"/>
              <w:outlineLvl w:val="0"/>
              <w:rPr>
                <w:rFonts w:eastAsia="Times New Roman" w:cs="Calibri"/>
                <w:color w:val="000000"/>
                <w:szCs w:val="22"/>
              </w:rPr>
            </w:pPr>
            <w:r>
              <w:rPr>
                <w:rFonts w:eastAsia="Times New Roman" w:cs="Calibri"/>
                <w:color w:val="000000"/>
                <w:szCs w:val="22"/>
              </w:rPr>
              <w:t>Support Establishment of Resilience Hubs</w:t>
            </w:r>
          </w:p>
        </w:tc>
      </w:tr>
      <w:tr w:rsidR="00CC1489" w14:paraId="6009A4F8" w14:textId="77777777" w:rsidTr="00CC148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552E8" w14:textId="77777777" w:rsidR="00CC1489" w:rsidRDefault="00CC1489">
            <w:pPr>
              <w:rPr>
                <w:rFonts w:ascii="Franklin Gothic Book" w:eastAsia="Times New Roman" w:hAnsi="Franklin Gothic Book" w:cs="Calibri"/>
                <w:color w:val="0000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A7AB4"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RI - 2</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221EEF"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Improve the Resilience of Critical Infrastructure</w:t>
            </w:r>
          </w:p>
        </w:tc>
      </w:tr>
      <w:tr w:rsidR="00CC1489" w14:paraId="3FDBCC7C" w14:textId="77777777" w:rsidTr="00CC148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A9861" w14:textId="77777777" w:rsidR="00CC1489" w:rsidRDefault="00CC1489">
            <w:pPr>
              <w:rPr>
                <w:rFonts w:ascii="Franklin Gothic Book" w:eastAsia="Times New Roman" w:hAnsi="Franklin Gothic Book" w:cs="Calibri"/>
                <w:color w:val="0000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4BCB8"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RI - 3</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48C5DE"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Implement Measures to Equitably Address Urban Heat Island</w:t>
            </w:r>
          </w:p>
        </w:tc>
      </w:tr>
      <w:tr w:rsidR="00CC1489" w14:paraId="118F728E" w14:textId="77777777" w:rsidTr="00CC148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08E08" w14:textId="77777777" w:rsidR="00CC1489" w:rsidRDefault="00CC1489">
            <w:pPr>
              <w:rPr>
                <w:rFonts w:ascii="Franklin Gothic Book" w:eastAsia="Times New Roman" w:hAnsi="Franklin Gothic Book" w:cs="Calibri"/>
                <w:color w:val="0000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95B2B5"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RI - 4</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58F83"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Enhance Green Infrastructure Networks </w:t>
            </w:r>
          </w:p>
        </w:tc>
      </w:tr>
      <w:tr w:rsidR="00CC1489" w14:paraId="6D29FDCB" w14:textId="77777777" w:rsidTr="00CC148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A5C85" w14:textId="77777777" w:rsidR="00CC1489" w:rsidRDefault="00CC1489">
            <w:pPr>
              <w:rPr>
                <w:rFonts w:ascii="Franklin Gothic Book" w:eastAsia="Times New Roman" w:hAnsi="Franklin Gothic Book" w:cs="Calibri"/>
                <w:color w:val="0000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C373A"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RI - 5</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F8EE7" w14:textId="77777777" w:rsidR="00CC1489" w:rsidRDefault="00CC1489">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Implement Measures to Reduce Flood Risk </w:t>
            </w:r>
          </w:p>
        </w:tc>
        <w:bookmarkEnd w:id="10"/>
      </w:tr>
    </w:tbl>
    <w:p w14:paraId="605E1945" w14:textId="1ABA14B1" w:rsidR="006223C5" w:rsidRDefault="006223C5" w:rsidP="00001930">
      <w:pPr>
        <w:pStyle w:val="BodyText-COG"/>
        <w:outlineLvl w:val="0"/>
      </w:pPr>
      <w:r>
        <w:br w:type="page"/>
      </w:r>
    </w:p>
    <w:p w14:paraId="1A4BAF51" w14:textId="3EA3A1DB" w:rsidR="00B5589F" w:rsidRPr="00834A25" w:rsidRDefault="006223C5" w:rsidP="00B5589F">
      <w:pPr>
        <w:pStyle w:val="Level1Head-COG"/>
        <w:outlineLvl w:val="0"/>
      </w:pPr>
      <w:bookmarkStart w:id="11" w:name="_Toc466884015"/>
      <w:bookmarkStart w:id="12" w:name="_Toc51077679"/>
      <w:r w:rsidRPr="003E433C">
        <w:lastRenderedPageBreak/>
        <w:t xml:space="preserve">Appendix </w:t>
      </w:r>
      <w:bookmarkEnd w:id="11"/>
      <w:r w:rsidR="00490671">
        <w:t xml:space="preserve">b: </w:t>
      </w:r>
      <w:bookmarkStart w:id="13" w:name="_Toc31192953"/>
      <w:bookmarkStart w:id="14" w:name="_Toc31193003"/>
      <w:bookmarkStart w:id="15" w:name="_Toc31193090"/>
      <w:r w:rsidR="00B5589F">
        <w:rPr>
          <w:rFonts w:eastAsia="Times New Roman"/>
          <w:caps w:val="0"/>
          <w:color w:val="2F6B97"/>
        </w:rPr>
        <w:t>TERMS AND DEFINITIONS</w:t>
      </w:r>
      <w:bookmarkEnd w:id="12"/>
    </w:p>
    <w:bookmarkEnd w:id="13"/>
    <w:bookmarkEnd w:id="14"/>
    <w:bookmarkEnd w:id="15"/>
    <w:p w14:paraId="649169E6" w14:textId="77777777" w:rsidR="00B5589F" w:rsidRPr="0037440D" w:rsidRDefault="00B5589F" w:rsidP="00B5589F">
      <w:pPr>
        <w:pStyle w:val="3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6655"/>
      </w:tblGrid>
      <w:tr w:rsidR="00B5589F" w14:paraId="1507B54A" w14:textId="77777777" w:rsidTr="00B12D87">
        <w:trPr>
          <w:trHeight w:val="414"/>
        </w:trPr>
        <w:tc>
          <w:tcPr>
            <w:tcW w:w="2705" w:type="dxa"/>
          </w:tcPr>
          <w:p w14:paraId="39989497" w14:textId="77777777" w:rsidR="00B5589F" w:rsidRPr="00B448A4" w:rsidRDefault="00B5589F" w:rsidP="0013785F">
            <w:pPr>
              <w:pStyle w:val="2Subhead"/>
              <w:rPr>
                <w:caps w:val="0"/>
              </w:rPr>
            </w:pPr>
            <w:r w:rsidRPr="00B448A4">
              <w:rPr>
                <w:caps w:val="0"/>
              </w:rPr>
              <w:t>Term</w:t>
            </w:r>
            <w:r>
              <w:rPr>
                <w:caps w:val="0"/>
              </w:rPr>
              <w:t>s</w:t>
            </w:r>
          </w:p>
          <w:p w14:paraId="2D893E3F" w14:textId="77777777" w:rsidR="00B5589F" w:rsidRPr="00B448A4" w:rsidRDefault="00B5589F" w:rsidP="0013785F">
            <w:pPr>
              <w:pStyle w:val="3Paragraph"/>
              <w:rPr>
                <w:sz w:val="24"/>
                <w:szCs w:val="24"/>
              </w:rPr>
            </w:pPr>
          </w:p>
        </w:tc>
        <w:tc>
          <w:tcPr>
            <w:tcW w:w="6655" w:type="dxa"/>
          </w:tcPr>
          <w:p w14:paraId="0525C51E" w14:textId="77777777" w:rsidR="00B5589F" w:rsidRPr="00B448A4" w:rsidRDefault="00B5589F" w:rsidP="0013785F">
            <w:pPr>
              <w:pStyle w:val="2Subhead"/>
            </w:pPr>
            <w:r w:rsidRPr="00B448A4">
              <w:rPr>
                <w:caps w:val="0"/>
              </w:rPr>
              <w:t>Definition</w:t>
            </w:r>
            <w:r>
              <w:rPr>
                <w:caps w:val="0"/>
              </w:rPr>
              <w:t>s</w:t>
            </w:r>
          </w:p>
        </w:tc>
      </w:tr>
      <w:tr w:rsidR="00B5589F" w:rsidRPr="005862A9" w14:paraId="292846B4" w14:textId="77777777" w:rsidTr="00B12D87">
        <w:tc>
          <w:tcPr>
            <w:tcW w:w="2705" w:type="dxa"/>
          </w:tcPr>
          <w:p w14:paraId="63C2A3DC" w14:textId="77777777" w:rsidR="00B5589F" w:rsidRPr="005862A9" w:rsidRDefault="00B5589F" w:rsidP="0013785F">
            <w:pPr>
              <w:pStyle w:val="3Paragraph"/>
              <w:spacing w:line="260" w:lineRule="exact"/>
              <w:rPr>
                <w:color w:val="auto"/>
              </w:rPr>
            </w:pPr>
            <w:r w:rsidRPr="005862A9">
              <w:rPr>
                <w:color w:val="auto"/>
              </w:rPr>
              <w:t>Adaptation</w:t>
            </w:r>
          </w:p>
        </w:tc>
        <w:tc>
          <w:tcPr>
            <w:tcW w:w="6655" w:type="dxa"/>
          </w:tcPr>
          <w:p w14:paraId="3CA09A63" w14:textId="43F304A9" w:rsidR="009E725E" w:rsidRPr="009E725E" w:rsidRDefault="009E725E" w:rsidP="0013785F">
            <w:pPr>
              <w:pStyle w:val="3Paragraph"/>
              <w:spacing w:line="260" w:lineRule="exact"/>
            </w:pPr>
            <w:r w:rsidRPr="009E725E">
              <w:t xml:space="preserve">The process of adjustment to actual or expected climate and its effects. In human systems, adaptation seeks to moderate or avoid harm or exploit beneficial opportunities. In some natural systems, human intervention may facilitate adjustment to expected climate and its effects. </w:t>
            </w:r>
            <w:r w:rsidRPr="009E725E">
              <w:t>(</w:t>
            </w:r>
            <w:hyperlink r:id="rId10" w:history="1">
              <w:r w:rsidRPr="009E725E">
                <w:rPr>
                  <w:rStyle w:val="Hyperlink"/>
                </w:rPr>
                <w:t>GCoM</w:t>
              </w:r>
            </w:hyperlink>
            <w:r w:rsidRPr="009E725E">
              <w:t>)</w:t>
            </w:r>
          </w:p>
          <w:p w14:paraId="22B7253C" w14:textId="77777777" w:rsidR="009E725E" w:rsidRPr="009E725E" w:rsidRDefault="009E725E" w:rsidP="0013785F">
            <w:pPr>
              <w:pStyle w:val="3Paragraph"/>
              <w:spacing w:line="260" w:lineRule="exact"/>
            </w:pPr>
          </w:p>
          <w:p w14:paraId="3D150FCE" w14:textId="784FA699" w:rsidR="00B5589F" w:rsidRPr="009E725E" w:rsidRDefault="00B5589F" w:rsidP="0013785F">
            <w:pPr>
              <w:pStyle w:val="3Paragraph"/>
              <w:spacing w:line="260" w:lineRule="exact"/>
              <w:rPr>
                <w:color w:val="auto"/>
              </w:rPr>
            </w:pPr>
            <w:r w:rsidRPr="009E725E">
              <w:rPr>
                <w:color w:val="auto"/>
              </w:rPr>
              <w:t>Adjustment or preparation of natural or human systems to a new or changing environment which moderates harm or exploits beneficial opportunities. (</w:t>
            </w:r>
            <w:hyperlink r:id="rId11" w:history="1">
              <w:r w:rsidRPr="009E725E">
                <w:rPr>
                  <w:rStyle w:val="Hyperlink"/>
                </w:rPr>
                <w:t>EPA</w:t>
              </w:r>
            </w:hyperlink>
            <w:r w:rsidRPr="009E725E">
              <w:rPr>
                <w:color w:val="auto"/>
              </w:rPr>
              <w:t>)</w:t>
            </w:r>
          </w:p>
          <w:p w14:paraId="6C0C265A" w14:textId="77777777" w:rsidR="00B5589F" w:rsidRPr="009E725E" w:rsidRDefault="00B5589F" w:rsidP="0013785F">
            <w:pPr>
              <w:pStyle w:val="3Paragraph"/>
              <w:spacing w:line="260" w:lineRule="exact"/>
              <w:rPr>
                <w:color w:val="auto"/>
              </w:rPr>
            </w:pPr>
          </w:p>
        </w:tc>
      </w:tr>
      <w:tr w:rsidR="00BE4DB4" w:rsidRPr="005862A9" w14:paraId="3D1EDAEC" w14:textId="77777777" w:rsidTr="00B12D87">
        <w:tc>
          <w:tcPr>
            <w:tcW w:w="2705" w:type="dxa"/>
          </w:tcPr>
          <w:p w14:paraId="62583E0C" w14:textId="08BBEBCB" w:rsidR="00BE4DB4" w:rsidRPr="005862A9" w:rsidRDefault="00BE4DB4" w:rsidP="0013785F">
            <w:pPr>
              <w:pStyle w:val="3Paragraph"/>
              <w:spacing w:line="260" w:lineRule="exact"/>
              <w:rPr>
                <w:color w:val="auto"/>
              </w:rPr>
            </w:pPr>
            <w:r>
              <w:rPr>
                <w:color w:val="auto"/>
              </w:rPr>
              <w:t xml:space="preserve">Adaptive Capacity </w:t>
            </w:r>
          </w:p>
        </w:tc>
        <w:tc>
          <w:tcPr>
            <w:tcW w:w="6655" w:type="dxa"/>
          </w:tcPr>
          <w:p w14:paraId="3ED450A6" w14:textId="2B658533" w:rsidR="00BE4DB4" w:rsidRDefault="00BE4DB4" w:rsidP="0013785F">
            <w:pPr>
              <w:pStyle w:val="3Paragraph"/>
              <w:spacing w:line="260" w:lineRule="exact"/>
              <w:rPr>
                <w:szCs w:val="18"/>
              </w:rPr>
            </w:pPr>
            <w:r>
              <w:rPr>
                <w:szCs w:val="18"/>
              </w:rPr>
              <w:t xml:space="preserve">The ability of systems, institutions, </w:t>
            </w:r>
            <w:proofErr w:type="gramStart"/>
            <w:r>
              <w:rPr>
                <w:szCs w:val="18"/>
              </w:rPr>
              <w:t>humans</w:t>
            </w:r>
            <w:proofErr w:type="gramEnd"/>
            <w:r>
              <w:rPr>
                <w:szCs w:val="18"/>
              </w:rPr>
              <w:t xml:space="preserve"> and other organisms to adjust to potential damage, to take advantage of opportunities or to respond to consequences. (</w:t>
            </w:r>
            <w:hyperlink r:id="rId12" w:history="1">
              <w:r w:rsidRPr="007E6644">
                <w:rPr>
                  <w:rStyle w:val="Hyperlink"/>
                  <w:szCs w:val="18"/>
                </w:rPr>
                <w:t>GCoM</w:t>
              </w:r>
            </w:hyperlink>
            <w:r>
              <w:rPr>
                <w:szCs w:val="18"/>
              </w:rPr>
              <w:t>)</w:t>
            </w:r>
          </w:p>
          <w:p w14:paraId="6E5139AF" w14:textId="2F2BCFEC" w:rsidR="00BE4DB4" w:rsidRPr="005862A9" w:rsidRDefault="00BE4DB4" w:rsidP="0013785F">
            <w:pPr>
              <w:pStyle w:val="3Paragraph"/>
              <w:spacing w:line="260" w:lineRule="exact"/>
              <w:rPr>
                <w:color w:val="auto"/>
              </w:rPr>
            </w:pPr>
          </w:p>
        </w:tc>
      </w:tr>
      <w:tr w:rsidR="00754FEF" w:rsidRPr="005862A9" w14:paraId="55400F9E" w14:textId="77777777" w:rsidTr="00B12D87">
        <w:tc>
          <w:tcPr>
            <w:tcW w:w="2705" w:type="dxa"/>
          </w:tcPr>
          <w:p w14:paraId="7B243F42" w14:textId="77777777" w:rsidR="00754FEF" w:rsidRDefault="00754FEF" w:rsidP="00754FEF">
            <w:pPr>
              <w:pStyle w:val="3Paragraph"/>
              <w:spacing w:line="260" w:lineRule="exact"/>
              <w:rPr>
                <w:color w:val="auto"/>
              </w:rPr>
            </w:pPr>
            <w:r>
              <w:rPr>
                <w:color w:val="auto"/>
              </w:rPr>
              <w:t>Anaerobic Digestion</w:t>
            </w:r>
          </w:p>
          <w:p w14:paraId="76A30B21" w14:textId="77777777" w:rsidR="00754FEF" w:rsidRPr="005862A9" w:rsidRDefault="00754FEF" w:rsidP="0013785F">
            <w:pPr>
              <w:pStyle w:val="3Paragraph"/>
              <w:spacing w:line="260" w:lineRule="exact"/>
              <w:rPr>
                <w:color w:val="auto"/>
              </w:rPr>
            </w:pPr>
          </w:p>
        </w:tc>
        <w:tc>
          <w:tcPr>
            <w:tcW w:w="6655" w:type="dxa"/>
          </w:tcPr>
          <w:p w14:paraId="133E271C" w14:textId="77777777" w:rsidR="00754FEF" w:rsidRDefault="00754FEF" w:rsidP="00754FEF">
            <w:pPr>
              <w:pStyle w:val="3Paragraph"/>
              <w:spacing w:line="260" w:lineRule="exact"/>
              <w:rPr>
                <w:color w:val="auto"/>
                <w:lang w:val="en-GB"/>
              </w:rPr>
            </w:pPr>
            <w:r>
              <w:rPr>
                <w:color w:val="auto"/>
                <w:lang w:val="en-GB"/>
              </w:rPr>
              <w:t>Anaerobic digestion is the natural process in which microorganisms break down organic materials. Anaerobic digestion happens in closed spaces where there is no air (or oxygen). Biogas is generated during anaerobic digestion. Biogas is mostly methane (CH</w:t>
            </w:r>
            <w:r>
              <w:rPr>
                <w:color w:val="auto"/>
                <w:vertAlign w:val="subscript"/>
                <w:lang w:val="en-GB"/>
              </w:rPr>
              <w:t>4</w:t>
            </w:r>
            <w:r>
              <w:rPr>
                <w:color w:val="auto"/>
                <w:lang w:val="en-GB"/>
              </w:rPr>
              <w:t>) and carbon dioxide (CO</w:t>
            </w:r>
            <w:r>
              <w:rPr>
                <w:color w:val="auto"/>
                <w:vertAlign w:val="subscript"/>
                <w:lang w:val="en-GB"/>
              </w:rPr>
              <w:t>2</w:t>
            </w:r>
            <w:r>
              <w:rPr>
                <w:color w:val="auto"/>
                <w:lang w:val="en-GB"/>
              </w:rPr>
              <w:t>), with very small amounts of water vapor and other gases. Biogas can be used to power engines and produce electricity and/or heat. (</w:t>
            </w:r>
            <w:hyperlink r:id="rId13" w:history="1">
              <w:r>
                <w:rPr>
                  <w:rStyle w:val="Hyperlink"/>
                  <w:lang w:val="en-GB"/>
                </w:rPr>
                <w:t>EPA</w:t>
              </w:r>
            </w:hyperlink>
            <w:r>
              <w:rPr>
                <w:color w:val="auto"/>
                <w:lang w:val="en-GB"/>
              </w:rPr>
              <w:t>)</w:t>
            </w:r>
          </w:p>
          <w:p w14:paraId="67EEF529" w14:textId="77777777" w:rsidR="00754FEF" w:rsidRPr="005862A9" w:rsidRDefault="00754FEF" w:rsidP="0013785F">
            <w:pPr>
              <w:pStyle w:val="3Paragraph"/>
              <w:spacing w:line="260" w:lineRule="exact"/>
              <w:rPr>
                <w:color w:val="auto"/>
              </w:rPr>
            </w:pPr>
          </w:p>
        </w:tc>
      </w:tr>
      <w:tr w:rsidR="00DF0E61" w:rsidRPr="005862A9" w14:paraId="20E56440" w14:textId="77777777" w:rsidTr="00B12D87">
        <w:tc>
          <w:tcPr>
            <w:tcW w:w="2705" w:type="dxa"/>
          </w:tcPr>
          <w:p w14:paraId="26CFE1B0" w14:textId="77777777" w:rsidR="00DF0E61" w:rsidRDefault="00DF0E61" w:rsidP="00DF0E61">
            <w:pPr>
              <w:pStyle w:val="3Paragraph"/>
              <w:spacing w:line="260" w:lineRule="exact"/>
              <w:rPr>
                <w:color w:val="auto"/>
              </w:rPr>
            </w:pPr>
            <w:r>
              <w:rPr>
                <w:color w:val="auto"/>
              </w:rPr>
              <w:t>Battery Storage</w:t>
            </w:r>
          </w:p>
          <w:p w14:paraId="4E7BF110" w14:textId="77777777" w:rsidR="00DF0E61" w:rsidRPr="005862A9" w:rsidRDefault="00DF0E61" w:rsidP="0013785F">
            <w:pPr>
              <w:pStyle w:val="3Paragraph"/>
              <w:spacing w:line="260" w:lineRule="exact"/>
              <w:rPr>
                <w:color w:val="auto"/>
              </w:rPr>
            </w:pPr>
          </w:p>
        </w:tc>
        <w:tc>
          <w:tcPr>
            <w:tcW w:w="6655" w:type="dxa"/>
          </w:tcPr>
          <w:p w14:paraId="1560D73A" w14:textId="0C6A65E3" w:rsidR="00DF0E61" w:rsidRDefault="00DF0E61" w:rsidP="00DF0E61">
            <w:pPr>
              <w:pStyle w:val="3Paragraph"/>
              <w:spacing w:line="260" w:lineRule="exact"/>
              <w:rPr>
                <w:color w:val="auto"/>
              </w:rPr>
            </w:pPr>
            <w:r>
              <w:rPr>
                <w:color w:val="auto"/>
              </w:rPr>
              <w:t>Battery storage is a technology that enables power system operators or utilities to store energy for later use. A battery storage system charges or collects energy from the grid or distributed resource (</w:t>
            </w:r>
            <w:r w:rsidR="009D521A">
              <w:rPr>
                <w:color w:val="auto"/>
              </w:rPr>
              <w:t>i.</w:t>
            </w:r>
            <w:r>
              <w:rPr>
                <w:color w:val="auto"/>
              </w:rPr>
              <w:t xml:space="preserve">e. solar panels) and discharges that energy </w:t>
            </w:r>
            <w:proofErr w:type="gramStart"/>
            <w:r>
              <w:rPr>
                <w:color w:val="auto"/>
              </w:rPr>
              <w:t>at a later time</w:t>
            </w:r>
            <w:proofErr w:type="gramEnd"/>
            <w:r>
              <w:rPr>
                <w:color w:val="auto"/>
              </w:rPr>
              <w:t xml:space="preserve"> to provide electricity or other grid services when needed. (</w:t>
            </w:r>
            <w:hyperlink r:id="rId14" w:history="1">
              <w:r>
                <w:rPr>
                  <w:rStyle w:val="Hyperlink"/>
                </w:rPr>
                <w:t>NREL</w:t>
              </w:r>
            </w:hyperlink>
            <w:r>
              <w:rPr>
                <w:color w:val="auto"/>
              </w:rPr>
              <w:t>)</w:t>
            </w:r>
          </w:p>
          <w:p w14:paraId="03DBC370" w14:textId="77777777" w:rsidR="00DF0E61" w:rsidRPr="005862A9" w:rsidRDefault="00DF0E61" w:rsidP="0013785F">
            <w:pPr>
              <w:pStyle w:val="3Paragraph"/>
              <w:spacing w:line="260" w:lineRule="exact"/>
              <w:rPr>
                <w:color w:val="auto"/>
              </w:rPr>
            </w:pPr>
          </w:p>
        </w:tc>
      </w:tr>
      <w:tr w:rsidR="009D521A" w:rsidRPr="005862A9" w14:paraId="44600EDE" w14:textId="77777777" w:rsidTr="00B12D87">
        <w:tc>
          <w:tcPr>
            <w:tcW w:w="2705" w:type="dxa"/>
          </w:tcPr>
          <w:p w14:paraId="352DF9DD" w14:textId="01719728" w:rsidR="009D521A" w:rsidRPr="005862A9" w:rsidRDefault="009D521A" w:rsidP="0013785F">
            <w:pPr>
              <w:pStyle w:val="3Paragraph"/>
              <w:spacing w:line="260" w:lineRule="exact"/>
              <w:rPr>
                <w:color w:val="auto"/>
              </w:rPr>
            </w:pPr>
            <w:r>
              <w:rPr>
                <w:color w:val="auto"/>
              </w:rPr>
              <w:t>Building Benchmarking</w:t>
            </w:r>
          </w:p>
        </w:tc>
        <w:tc>
          <w:tcPr>
            <w:tcW w:w="6655" w:type="dxa"/>
          </w:tcPr>
          <w:p w14:paraId="64F9CF64" w14:textId="77777777" w:rsidR="009D521A" w:rsidRDefault="009D521A" w:rsidP="009D521A">
            <w:pPr>
              <w:pStyle w:val="Default"/>
              <w:rPr>
                <w:rFonts w:ascii="Franklin Gothic Book" w:eastAsiaTheme="minorHAnsi" w:hAnsi="Franklin Gothic Book"/>
                <w:sz w:val="22"/>
                <w:szCs w:val="22"/>
                <w:lang w:val="en-GB"/>
              </w:rPr>
            </w:pPr>
            <w:r>
              <w:rPr>
                <w:rFonts w:ascii="Franklin Gothic Book" w:hAnsi="Franklin Gothic Book"/>
                <w:sz w:val="22"/>
                <w:szCs w:val="22"/>
              </w:rPr>
              <w:t xml:space="preserve">Benchmarking is the practice of comparing the measured performance of a device, </w:t>
            </w:r>
            <w:r>
              <w:rPr>
                <w:rFonts w:ascii="Franklin Gothic Book" w:hAnsi="Franklin Gothic Book"/>
                <w:sz w:val="22"/>
                <w:szCs w:val="22"/>
                <w:lang w:val="en-GB"/>
              </w:rPr>
              <w:t>process, facility, or organization to itself, its peers, or established norms, with the goal of informing and motivating performance improvement. When applied to building energy use, benchmarking serves as a mechanism to measure energy performance of a single building over time, relative to other similar buildings, or to modelled simulations of a reference building built to a specific standard (such as an energy code). (</w:t>
            </w:r>
            <w:hyperlink r:id="rId15" w:anchor=":~:text=When%20applied%20to%20building%20energy,such%20as%20an%20energy%20code)." w:history="1">
              <w:r>
                <w:rPr>
                  <w:rStyle w:val="Hyperlink"/>
                  <w:rFonts w:ascii="Franklin Gothic Book" w:hAnsi="Franklin Gothic Book"/>
                  <w:sz w:val="22"/>
                  <w:szCs w:val="22"/>
                  <w:lang w:val="en-GB"/>
                </w:rPr>
                <w:t>DOE</w:t>
              </w:r>
            </w:hyperlink>
            <w:r>
              <w:rPr>
                <w:rFonts w:ascii="Franklin Gothic Book" w:hAnsi="Franklin Gothic Book"/>
                <w:sz w:val="22"/>
                <w:szCs w:val="22"/>
                <w:lang w:val="en-GB"/>
              </w:rPr>
              <w:t>)</w:t>
            </w:r>
          </w:p>
          <w:p w14:paraId="3FD75EE3" w14:textId="77777777" w:rsidR="009D521A" w:rsidRPr="005862A9" w:rsidRDefault="009D521A" w:rsidP="0013785F">
            <w:pPr>
              <w:pStyle w:val="3Paragraph"/>
              <w:spacing w:line="260" w:lineRule="exact"/>
              <w:rPr>
                <w:color w:val="auto"/>
              </w:rPr>
            </w:pPr>
          </w:p>
        </w:tc>
      </w:tr>
      <w:tr w:rsidR="00B5589F" w:rsidRPr="005862A9" w14:paraId="60393202" w14:textId="77777777" w:rsidTr="00B12D87">
        <w:tc>
          <w:tcPr>
            <w:tcW w:w="2705" w:type="dxa"/>
          </w:tcPr>
          <w:p w14:paraId="092D328C" w14:textId="77777777" w:rsidR="00B5589F" w:rsidRPr="005862A9" w:rsidRDefault="00B5589F" w:rsidP="0013785F">
            <w:pPr>
              <w:pStyle w:val="3Paragraph"/>
              <w:spacing w:line="260" w:lineRule="exact"/>
              <w:rPr>
                <w:color w:val="auto"/>
              </w:rPr>
            </w:pPr>
            <w:r w:rsidRPr="005862A9">
              <w:rPr>
                <w:color w:val="auto"/>
              </w:rPr>
              <w:t>Business as Usual (BAU)</w:t>
            </w:r>
          </w:p>
        </w:tc>
        <w:tc>
          <w:tcPr>
            <w:tcW w:w="6655" w:type="dxa"/>
          </w:tcPr>
          <w:p w14:paraId="25F8DF75" w14:textId="77777777" w:rsidR="00B5589F" w:rsidRPr="005862A9" w:rsidRDefault="00B5589F" w:rsidP="0013785F">
            <w:pPr>
              <w:pStyle w:val="3Paragraph"/>
              <w:spacing w:line="260" w:lineRule="exact"/>
              <w:rPr>
                <w:color w:val="auto"/>
              </w:rPr>
            </w:pPr>
            <w:r w:rsidRPr="005862A9">
              <w:rPr>
                <w:color w:val="auto"/>
              </w:rPr>
              <w:t xml:space="preserve">Business as usual projections </w:t>
            </w:r>
            <w:proofErr w:type="gramStart"/>
            <w:r w:rsidRPr="005862A9">
              <w:rPr>
                <w:color w:val="auto"/>
              </w:rPr>
              <w:t>are based on the assumption</w:t>
            </w:r>
            <w:proofErr w:type="gramEnd"/>
            <w:r w:rsidRPr="005862A9">
              <w:rPr>
                <w:color w:val="auto"/>
              </w:rPr>
              <w:t xml:space="preserve"> that operating practices and policies remain as they are at present. Although baseline scenarios could incorporate some specific features of BAU scenarios (e.g., a ban on a specific technology), BAU scenarios imply that no practices or policies other than the current ones are in place. (</w:t>
            </w:r>
            <w:hyperlink r:id="rId16" w:history="1">
              <w:r w:rsidRPr="005862A9">
                <w:rPr>
                  <w:rStyle w:val="Hyperlink"/>
                </w:rPr>
                <w:t>IPCC</w:t>
              </w:r>
            </w:hyperlink>
            <w:r w:rsidRPr="005862A9">
              <w:rPr>
                <w:color w:val="auto"/>
              </w:rPr>
              <w:t>)</w:t>
            </w:r>
          </w:p>
          <w:p w14:paraId="57A140A0" w14:textId="77777777" w:rsidR="00B5589F" w:rsidRPr="005862A9" w:rsidRDefault="00B5589F" w:rsidP="0013785F">
            <w:pPr>
              <w:pStyle w:val="3Paragraph"/>
              <w:spacing w:line="260" w:lineRule="exact"/>
              <w:rPr>
                <w:color w:val="auto"/>
              </w:rPr>
            </w:pPr>
          </w:p>
        </w:tc>
      </w:tr>
      <w:tr w:rsidR="00D72AE8" w:rsidRPr="005862A9" w14:paraId="04745A39" w14:textId="77777777" w:rsidTr="00B12D87">
        <w:tc>
          <w:tcPr>
            <w:tcW w:w="2705" w:type="dxa"/>
          </w:tcPr>
          <w:p w14:paraId="147CFB19" w14:textId="75A2F0A8" w:rsidR="00D72AE8" w:rsidRPr="00D72AE8" w:rsidRDefault="00D72AE8" w:rsidP="0013785F">
            <w:pPr>
              <w:pStyle w:val="3Paragraph"/>
              <w:spacing w:line="260" w:lineRule="exact"/>
              <w:rPr>
                <w:color w:val="auto"/>
              </w:rPr>
            </w:pPr>
            <w:r>
              <w:rPr>
                <w:color w:val="auto"/>
              </w:rPr>
              <w:lastRenderedPageBreak/>
              <w:t>Carbon Offset</w:t>
            </w:r>
          </w:p>
        </w:tc>
        <w:tc>
          <w:tcPr>
            <w:tcW w:w="6655" w:type="dxa"/>
          </w:tcPr>
          <w:p w14:paraId="3F1C4848" w14:textId="714797F3" w:rsidR="00D72AE8" w:rsidRPr="00D72AE8" w:rsidRDefault="00D72AE8" w:rsidP="00D72AE8">
            <w:pPr>
              <w:pStyle w:val="Default"/>
              <w:rPr>
                <w:rFonts w:ascii="Franklin Gothic Book" w:hAnsi="Franklin Gothic Book"/>
                <w:sz w:val="22"/>
                <w:szCs w:val="22"/>
              </w:rPr>
            </w:pPr>
            <w:r w:rsidRPr="00D72AE8">
              <w:rPr>
                <w:rFonts w:ascii="Franklin Gothic Book" w:hAnsi="Franklin Gothic Book"/>
                <w:sz w:val="22"/>
                <w:szCs w:val="22"/>
              </w:rPr>
              <w:t>A credit or financial instrument that an individual, organization, or other entity may purchase to negate carbon emissions. Revenue from carbon offsets are typically used to fund climate change mitigation or adaptation efforts.</w:t>
            </w:r>
            <w:r>
              <w:rPr>
                <w:rFonts w:ascii="Franklin Gothic Book" w:hAnsi="Franklin Gothic Book"/>
                <w:sz w:val="22"/>
                <w:szCs w:val="22"/>
              </w:rPr>
              <w:t xml:space="preserve"> </w:t>
            </w:r>
            <w:r w:rsidR="007E4168">
              <w:rPr>
                <w:rFonts w:ascii="Franklin Gothic Book" w:hAnsi="Franklin Gothic Book"/>
                <w:sz w:val="22"/>
                <w:szCs w:val="22"/>
              </w:rPr>
              <w:t>(</w:t>
            </w:r>
            <w:hyperlink r:id="rId17" w:history="1">
              <w:r w:rsidR="007E4168">
                <w:rPr>
                  <w:rStyle w:val="Hyperlink"/>
                  <w:rFonts w:ascii="Franklin Gothic Book" w:hAnsi="Franklin Gothic Book"/>
                  <w:sz w:val="22"/>
                  <w:szCs w:val="22"/>
                </w:rPr>
                <w:t>ICLEI</w:t>
              </w:r>
            </w:hyperlink>
            <w:r w:rsidR="007E4168">
              <w:rPr>
                <w:rFonts w:ascii="Franklin Gothic Book" w:hAnsi="Franklin Gothic Book"/>
                <w:sz w:val="22"/>
                <w:szCs w:val="22"/>
              </w:rPr>
              <w:t>)</w:t>
            </w:r>
          </w:p>
          <w:p w14:paraId="19B9B57E" w14:textId="77777777" w:rsidR="00D72AE8" w:rsidRPr="00D72AE8" w:rsidRDefault="00D72AE8" w:rsidP="0013785F">
            <w:pPr>
              <w:spacing w:line="260" w:lineRule="exact"/>
              <w:rPr>
                <w:rFonts w:ascii="Franklin Gothic Book" w:hAnsi="Franklin Gothic Book"/>
                <w:color w:val="auto"/>
                <w:sz w:val="22"/>
                <w:szCs w:val="22"/>
              </w:rPr>
            </w:pPr>
          </w:p>
        </w:tc>
      </w:tr>
      <w:tr w:rsidR="00B5589F" w:rsidRPr="005862A9" w14:paraId="633D837F" w14:textId="77777777" w:rsidTr="00B12D87">
        <w:tc>
          <w:tcPr>
            <w:tcW w:w="2705" w:type="dxa"/>
          </w:tcPr>
          <w:p w14:paraId="0D40688C" w14:textId="77777777" w:rsidR="00B5589F" w:rsidRPr="005862A9" w:rsidRDefault="00B5589F" w:rsidP="0013785F">
            <w:pPr>
              <w:pStyle w:val="3Paragraph"/>
              <w:spacing w:line="260" w:lineRule="exact"/>
              <w:rPr>
                <w:color w:val="auto"/>
              </w:rPr>
            </w:pPr>
            <w:r w:rsidRPr="005862A9">
              <w:rPr>
                <w:color w:val="auto"/>
              </w:rPr>
              <w:t>Carbon Neutral</w:t>
            </w:r>
          </w:p>
        </w:tc>
        <w:tc>
          <w:tcPr>
            <w:tcW w:w="6655" w:type="dxa"/>
          </w:tcPr>
          <w:p w14:paraId="7AF772F6"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Achieving a state in which the net amount of carbon dioxide or other carbon compounds emitted into the atmosphere is reduced to zero because it is balanced by actions to reduce or offset these emissions. (</w:t>
            </w:r>
            <w:hyperlink r:id="rId18" w:history="1">
              <w:r w:rsidRPr="005862A9">
                <w:rPr>
                  <w:rStyle w:val="Hyperlink"/>
                  <w:rFonts w:ascii="Franklin Gothic Book" w:hAnsi="Franklin Gothic Book"/>
                  <w:sz w:val="22"/>
                  <w:szCs w:val="22"/>
                </w:rPr>
                <w:t>Sustainable DC 2.0</w:t>
              </w:r>
            </w:hyperlink>
            <w:r w:rsidRPr="005862A9">
              <w:rPr>
                <w:rFonts w:ascii="Franklin Gothic Book" w:hAnsi="Franklin Gothic Book"/>
                <w:color w:val="auto"/>
                <w:sz w:val="22"/>
                <w:szCs w:val="22"/>
              </w:rPr>
              <w:t>)</w:t>
            </w:r>
          </w:p>
          <w:p w14:paraId="020238BD" w14:textId="77777777" w:rsidR="00B5589F" w:rsidRPr="005862A9" w:rsidRDefault="00B5589F" w:rsidP="0013785F">
            <w:pPr>
              <w:spacing w:line="260" w:lineRule="exact"/>
              <w:rPr>
                <w:rFonts w:ascii="Franklin Gothic Book" w:hAnsi="Franklin Gothic Book"/>
                <w:color w:val="auto"/>
                <w:sz w:val="22"/>
                <w:szCs w:val="22"/>
              </w:rPr>
            </w:pPr>
          </w:p>
          <w:p w14:paraId="2A475765" w14:textId="1FE57DD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Refers to achieving net zero carbon emissions by balancing a measured amount of carbon released with an equivalent amount sequestered or offset or buying enough carbon credits to make up the difference. (</w:t>
            </w:r>
            <w:hyperlink r:id="rId19" w:history="1">
              <w:r w:rsidRPr="005862A9">
                <w:rPr>
                  <w:rStyle w:val="Hyperlink"/>
                  <w:rFonts w:ascii="Franklin Gothic Book" w:hAnsi="Franklin Gothic Book"/>
                  <w:sz w:val="22"/>
                  <w:szCs w:val="22"/>
                </w:rPr>
                <w:t>Cleantech Rising</w:t>
              </w:r>
            </w:hyperlink>
            <w:r w:rsidRPr="005862A9">
              <w:rPr>
                <w:rFonts w:ascii="Franklin Gothic Book" w:hAnsi="Franklin Gothic Book"/>
                <w:color w:val="auto"/>
                <w:sz w:val="22"/>
                <w:szCs w:val="22"/>
              </w:rPr>
              <w:t>)</w:t>
            </w:r>
          </w:p>
          <w:p w14:paraId="0DF08208" w14:textId="77777777" w:rsidR="00B5589F" w:rsidRPr="005862A9" w:rsidRDefault="00B5589F" w:rsidP="0013785F">
            <w:pPr>
              <w:spacing w:line="260" w:lineRule="exact"/>
              <w:rPr>
                <w:rFonts w:ascii="Franklin Gothic Book" w:hAnsi="Franklin Gothic Book"/>
                <w:color w:val="auto"/>
                <w:sz w:val="22"/>
                <w:szCs w:val="22"/>
              </w:rPr>
            </w:pPr>
          </w:p>
          <w:p w14:paraId="5EB92A32"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 xml:space="preserve">Carbon neutrality means having a balance between emitting carbon and absorbing carbon from the atmosphere in carbon sinks. Removing carbon oxide from the atmosphere and then storing it is known as carbon sequestration. </w:t>
            </w:r>
            <w:proofErr w:type="gramStart"/>
            <w:r w:rsidRPr="005862A9">
              <w:rPr>
                <w:rFonts w:ascii="Franklin Gothic Book" w:hAnsi="Franklin Gothic Book"/>
                <w:color w:val="auto"/>
                <w:sz w:val="22"/>
                <w:szCs w:val="22"/>
              </w:rPr>
              <w:t>In order to</w:t>
            </w:r>
            <w:proofErr w:type="gramEnd"/>
            <w:r w:rsidRPr="005862A9">
              <w:rPr>
                <w:rFonts w:ascii="Franklin Gothic Book" w:hAnsi="Franklin Gothic Book"/>
                <w:color w:val="auto"/>
                <w:sz w:val="22"/>
                <w:szCs w:val="22"/>
              </w:rPr>
              <w:t xml:space="preserve"> achieve net zero emissions, all worldwide greenhouse gas emissions will have to be counterbalanced by carbon sequestration. (</w:t>
            </w:r>
            <w:hyperlink r:id="rId20" w:history="1">
              <w:r w:rsidRPr="005862A9">
                <w:rPr>
                  <w:rStyle w:val="Hyperlink"/>
                  <w:rFonts w:ascii="Franklin Gothic Book" w:hAnsi="Franklin Gothic Book"/>
                  <w:sz w:val="22"/>
                  <w:szCs w:val="22"/>
                </w:rPr>
                <w:t>IPCC</w:t>
              </w:r>
            </w:hyperlink>
            <w:r w:rsidRPr="005862A9">
              <w:rPr>
                <w:rFonts w:ascii="Franklin Gothic Book" w:hAnsi="Franklin Gothic Book"/>
                <w:color w:val="auto"/>
                <w:sz w:val="22"/>
                <w:szCs w:val="22"/>
              </w:rPr>
              <w:t>)</w:t>
            </w:r>
          </w:p>
          <w:p w14:paraId="0094B056"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04BF7F79" w14:textId="77777777" w:rsidTr="00B12D87">
        <w:tc>
          <w:tcPr>
            <w:tcW w:w="2705" w:type="dxa"/>
          </w:tcPr>
          <w:p w14:paraId="49EA7814" w14:textId="77777777" w:rsidR="00B5589F" w:rsidRPr="005862A9" w:rsidRDefault="00B5589F" w:rsidP="0013785F">
            <w:pPr>
              <w:pStyle w:val="3Paragraph"/>
              <w:spacing w:line="260" w:lineRule="exact"/>
              <w:rPr>
                <w:color w:val="auto"/>
              </w:rPr>
            </w:pPr>
            <w:r w:rsidRPr="005862A9">
              <w:rPr>
                <w:color w:val="auto"/>
              </w:rPr>
              <w:t>Carbon Sequestration</w:t>
            </w:r>
          </w:p>
          <w:p w14:paraId="430D6D82" w14:textId="77777777" w:rsidR="00B5589F" w:rsidRPr="005862A9" w:rsidRDefault="00B5589F" w:rsidP="0013785F">
            <w:pPr>
              <w:pStyle w:val="3Paragraph"/>
              <w:spacing w:line="260" w:lineRule="exact"/>
              <w:rPr>
                <w:color w:val="auto"/>
              </w:rPr>
            </w:pPr>
          </w:p>
        </w:tc>
        <w:tc>
          <w:tcPr>
            <w:tcW w:w="6655" w:type="dxa"/>
          </w:tcPr>
          <w:p w14:paraId="752EF0AF"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The process of capturing and storing atmospheric carbon dioxide. It is one method of reducing the amount of carbon dioxide in the atmosphere with the goal of reducing global climate change. (</w:t>
            </w:r>
            <w:hyperlink r:id="rId21" w:anchor="qt-news_science_products" w:history="1">
              <w:r w:rsidRPr="005862A9">
                <w:rPr>
                  <w:rStyle w:val="Hyperlink"/>
                  <w:rFonts w:ascii="Franklin Gothic Book" w:hAnsi="Franklin Gothic Book"/>
                  <w:sz w:val="22"/>
                  <w:szCs w:val="22"/>
                </w:rPr>
                <w:t>USGS</w:t>
              </w:r>
            </w:hyperlink>
            <w:r w:rsidRPr="005862A9">
              <w:rPr>
                <w:rFonts w:ascii="Franklin Gothic Book" w:hAnsi="Franklin Gothic Book"/>
                <w:color w:val="auto"/>
                <w:sz w:val="22"/>
                <w:szCs w:val="22"/>
              </w:rPr>
              <w:t>)</w:t>
            </w:r>
          </w:p>
          <w:p w14:paraId="24D46F53"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3F4BDB04" w14:textId="77777777" w:rsidTr="00B12D87">
        <w:tc>
          <w:tcPr>
            <w:tcW w:w="2705" w:type="dxa"/>
          </w:tcPr>
          <w:p w14:paraId="418A00E6" w14:textId="77777777" w:rsidR="00B5589F" w:rsidRPr="005862A9" w:rsidRDefault="00B5589F" w:rsidP="0013785F">
            <w:pPr>
              <w:pStyle w:val="3Paragraph"/>
              <w:spacing w:line="260" w:lineRule="exact"/>
              <w:rPr>
                <w:color w:val="auto"/>
              </w:rPr>
            </w:pPr>
            <w:r w:rsidRPr="005862A9">
              <w:rPr>
                <w:color w:val="auto"/>
              </w:rPr>
              <w:t>Carbon Tax</w:t>
            </w:r>
          </w:p>
          <w:p w14:paraId="66515D61" w14:textId="77777777" w:rsidR="00B5589F" w:rsidRPr="005862A9" w:rsidRDefault="00B5589F" w:rsidP="0013785F">
            <w:pPr>
              <w:pStyle w:val="3Paragraph"/>
              <w:spacing w:line="260" w:lineRule="exact"/>
              <w:rPr>
                <w:color w:val="auto"/>
                <w:highlight w:val="yellow"/>
              </w:rPr>
            </w:pPr>
          </w:p>
        </w:tc>
        <w:tc>
          <w:tcPr>
            <w:tcW w:w="6655" w:type="dxa"/>
          </w:tcPr>
          <w:p w14:paraId="5A784CAB"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w:t>
            </w:r>
            <w:r w:rsidRPr="005862A9">
              <w:rPr>
                <w:rFonts w:ascii="Franklin Gothic Book" w:hAnsi="Franklin Gothic Book"/>
                <w:bCs/>
                <w:color w:val="auto"/>
                <w:sz w:val="22"/>
                <w:szCs w:val="22"/>
              </w:rPr>
              <w:t>carbon tax</w:t>
            </w:r>
            <w:r w:rsidRPr="005862A9">
              <w:rPr>
                <w:rFonts w:ascii="Franklin Gothic Book" w:hAnsi="Franklin Gothic Book"/>
                <w:color w:val="auto"/>
                <w:sz w:val="22"/>
                <w:szCs w:val="22"/>
              </w:rPr>
              <w:t> directly sets a price on carbon by defining a tax rate on greenhouse gas emissions or – more commonly – on the carbon content of fossil fuels. It is different from an Emissions Trading System (ETS) in that the emission reduction outcome of a carbon tax is not pre-</w:t>
            </w:r>
            <w:proofErr w:type="gramStart"/>
            <w:r w:rsidRPr="005862A9">
              <w:rPr>
                <w:rFonts w:ascii="Franklin Gothic Book" w:hAnsi="Franklin Gothic Book"/>
                <w:color w:val="auto"/>
                <w:sz w:val="22"/>
                <w:szCs w:val="22"/>
              </w:rPr>
              <w:t>defined</w:t>
            </w:r>
            <w:proofErr w:type="gramEnd"/>
            <w:r w:rsidRPr="005862A9">
              <w:rPr>
                <w:rFonts w:ascii="Franklin Gothic Book" w:hAnsi="Franklin Gothic Book"/>
                <w:color w:val="auto"/>
                <w:sz w:val="22"/>
                <w:szCs w:val="22"/>
              </w:rPr>
              <w:t xml:space="preserve"> but the carbon price is. (</w:t>
            </w:r>
            <w:hyperlink r:id="rId22" w:history="1">
              <w:r w:rsidRPr="005862A9">
                <w:rPr>
                  <w:rStyle w:val="Hyperlink"/>
                  <w:rFonts w:ascii="Franklin Gothic Book" w:hAnsi="Franklin Gothic Book"/>
                  <w:sz w:val="22"/>
                  <w:szCs w:val="22"/>
                </w:rPr>
                <w:t>World Bank Group</w:t>
              </w:r>
            </w:hyperlink>
            <w:r w:rsidRPr="005862A9">
              <w:rPr>
                <w:rFonts w:ascii="Franklin Gothic Book" w:hAnsi="Franklin Gothic Book"/>
                <w:color w:val="auto"/>
                <w:sz w:val="22"/>
                <w:szCs w:val="22"/>
              </w:rPr>
              <w:t>)</w:t>
            </w:r>
          </w:p>
          <w:p w14:paraId="542234AE"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12909DFD" w14:textId="77777777" w:rsidTr="00B12D87">
        <w:tc>
          <w:tcPr>
            <w:tcW w:w="2705" w:type="dxa"/>
          </w:tcPr>
          <w:p w14:paraId="5C1E0031" w14:textId="77777777" w:rsidR="00B5589F" w:rsidRPr="005862A9" w:rsidRDefault="00B5589F" w:rsidP="0013785F">
            <w:pPr>
              <w:pStyle w:val="3Paragraph"/>
              <w:spacing w:line="260" w:lineRule="exact"/>
              <w:rPr>
                <w:color w:val="auto"/>
              </w:rPr>
            </w:pPr>
            <w:r w:rsidRPr="005862A9">
              <w:rPr>
                <w:color w:val="auto"/>
              </w:rPr>
              <w:t>Circular Economy</w:t>
            </w:r>
          </w:p>
        </w:tc>
        <w:tc>
          <w:tcPr>
            <w:tcW w:w="6655" w:type="dxa"/>
          </w:tcPr>
          <w:p w14:paraId="05FA4C8B"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circular economy is an industrial system that is restorative or regenerative by intention and design. It replaces the end-of-life concept with restoration, shifts towards the use of renewable energy, eliminates the use of toxic chemicals, which impair reuse and return to the biosphere, and aims for the elimination of waste through the superior design of materials, products, systems and business models. (</w:t>
            </w:r>
            <w:hyperlink r:id="rId23" w:history="1">
              <w:r w:rsidRPr="005862A9">
                <w:rPr>
                  <w:rStyle w:val="Hyperlink"/>
                  <w:rFonts w:ascii="Franklin Gothic Book" w:hAnsi="Franklin Gothic Book"/>
                  <w:sz w:val="22"/>
                  <w:szCs w:val="22"/>
                </w:rPr>
                <w:t>World Economic Forum</w:t>
              </w:r>
            </w:hyperlink>
            <w:r w:rsidRPr="005862A9">
              <w:rPr>
                <w:rFonts w:ascii="Franklin Gothic Book" w:hAnsi="Franklin Gothic Book"/>
                <w:color w:val="auto"/>
                <w:sz w:val="22"/>
                <w:szCs w:val="22"/>
              </w:rPr>
              <w:t>)</w:t>
            </w:r>
          </w:p>
          <w:p w14:paraId="6E5723D2" w14:textId="77777777" w:rsidR="00B5589F" w:rsidRPr="005862A9" w:rsidRDefault="00B5589F" w:rsidP="0013785F">
            <w:pPr>
              <w:spacing w:line="260" w:lineRule="exact"/>
              <w:rPr>
                <w:rFonts w:ascii="Franklin Gothic Book" w:hAnsi="Franklin Gothic Book"/>
                <w:color w:val="auto"/>
                <w:sz w:val="22"/>
                <w:szCs w:val="22"/>
              </w:rPr>
            </w:pPr>
          </w:p>
          <w:p w14:paraId="20061964" w14:textId="77777777" w:rsidR="00B5589F" w:rsidRPr="005862A9" w:rsidRDefault="00B5589F" w:rsidP="0013785F">
            <w:pPr>
              <w:spacing w:line="260" w:lineRule="exact"/>
              <w:rPr>
                <w:rFonts w:ascii="Franklin Gothic Book" w:hAnsi="Franklin Gothic Book"/>
                <w:color w:val="auto"/>
                <w:sz w:val="22"/>
                <w:szCs w:val="22"/>
              </w:rPr>
            </w:pPr>
            <w:proofErr w:type="gramStart"/>
            <w:r w:rsidRPr="005862A9">
              <w:rPr>
                <w:rFonts w:ascii="Franklin Gothic Book" w:hAnsi="Franklin Gothic Book"/>
                <w:color w:val="auto"/>
                <w:sz w:val="22"/>
                <w:szCs w:val="22"/>
              </w:rPr>
              <w:t>Looking beyond the current take-make-waste extractive industrial model, a circular economy</w:t>
            </w:r>
            <w:proofErr w:type="gramEnd"/>
            <w:r w:rsidRPr="005862A9">
              <w:rPr>
                <w:rFonts w:ascii="Franklin Gothic Book" w:hAnsi="Franklin Gothic Book"/>
                <w:color w:val="auto"/>
                <w:sz w:val="22"/>
                <w:szCs w:val="22"/>
              </w:rPr>
              <w:t xml:space="preserve"> aims to redefine growth, focusing on positive society-wide benefits. It entails gradually decoupling economic activity from the consumption of finite resources and designing waste out of the system. Underpinned by a transition to renewable energy sources, the circular model builds economic, natural, and social capital. It is based on three principles:</w:t>
            </w:r>
          </w:p>
          <w:p w14:paraId="2508CC99" w14:textId="77777777" w:rsidR="00B5589F" w:rsidRPr="005862A9" w:rsidRDefault="00B5589F" w:rsidP="00EC12DE">
            <w:pPr>
              <w:numPr>
                <w:ilvl w:val="0"/>
                <w:numId w:val="25"/>
              </w:num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Design out waste and pollution</w:t>
            </w:r>
          </w:p>
          <w:p w14:paraId="5D9DD70E" w14:textId="77777777" w:rsidR="00B5589F" w:rsidRPr="005862A9" w:rsidRDefault="00B5589F" w:rsidP="00EC12DE">
            <w:pPr>
              <w:numPr>
                <w:ilvl w:val="0"/>
                <w:numId w:val="25"/>
              </w:num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Keep products and materials in use</w:t>
            </w:r>
          </w:p>
          <w:p w14:paraId="1DE498B7" w14:textId="506BBFA1" w:rsidR="00B5589F" w:rsidRPr="007006FE" w:rsidRDefault="00B5589F" w:rsidP="004C360D">
            <w:pPr>
              <w:numPr>
                <w:ilvl w:val="0"/>
                <w:numId w:val="25"/>
              </w:numPr>
              <w:spacing w:line="260" w:lineRule="exact"/>
              <w:rPr>
                <w:rFonts w:ascii="Franklin Gothic Book" w:hAnsi="Franklin Gothic Book"/>
                <w:color w:val="auto"/>
                <w:sz w:val="22"/>
                <w:szCs w:val="22"/>
              </w:rPr>
            </w:pPr>
            <w:r w:rsidRPr="007006FE">
              <w:rPr>
                <w:rFonts w:ascii="Franklin Gothic Book" w:hAnsi="Franklin Gothic Book"/>
                <w:color w:val="auto"/>
                <w:sz w:val="22"/>
                <w:szCs w:val="22"/>
              </w:rPr>
              <w:t>Regenerate natural systems</w:t>
            </w:r>
            <w:r w:rsidR="007006FE" w:rsidRPr="007006FE">
              <w:rPr>
                <w:rFonts w:ascii="Franklin Gothic Book" w:hAnsi="Franklin Gothic Book"/>
                <w:color w:val="auto"/>
                <w:sz w:val="22"/>
                <w:szCs w:val="22"/>
              </w:rPr>
              <w:t xml:space="preserve"> </w:t>
            </w:r>
            <w:r w:rsidRPr="007006FE">
              <w:rPr>
                <w:rFonts w:ascii="Franklin Gothic Book" w:hAnsi="Franklin Gothic Book"/>
                <w:color w:val="auto"/>
                <w:sz w:val="22"/>
                <w:szCs w:val="22"/>
              </w:rPr>
              <w:t>(</w:t>
            </w:r>
            <w:hyperlink r:id="rId24" w:history="1">
              <w:r w:rsidRPr="007006FE">
                <w:rPr>
                  <w:rStyle w:val="Hyperlink"/>
                  <w:rFonts w:ascii="Franklin Gothic Book" w:hAnsi="Franklin Gothic Book"/>
                  <w:sz w:val="22"/>
                  <w:szCs w:val="22"/>
                </w:rPr>
                <w:t>Ellen MacArthur Foundation</w:t>
              </w:r>
            </w:hyperlink>
            <w:r w:rsidRPr="007006FE">
              <w:rPr>
                <w:rFonts w:ascii="Franklin Gothic Book" w:hAnsi="Franklin Gothic Book"/>
                <w:color w:val="auto"/>
                <w:sz w:val="22"/>
                <w:szCs w:val="22"/>
              </w:rPr>
              <w:t>)</w:t>
            </w:r>
          </w:p>
          <w:p w14:paraId="65C35B40"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0793222A" w14:textId="77777777" w:rsidTr="00B12D87">
        <w:tc>
          <w:tcPr>
            <w:tcW w:w="2705" w:type="dxa"/>
          </w:tcPr>
          <w:p w14:paraId="5109B06D" w14:textId="77777777" w:rsidR="00B5589F" w:rsidRPr="005862A9" w:rsidRDefault="00B5589F" w:rsidP="0013785F">
            <w:pPr>
              <w:pStyle w:val="3Paragraph"/>
              <w:spacing w:line="260" w:lineRule="exact"/>
              <w:rPr>
                <w:color w:val="auto"/>
              </w:rPr>
            </w:pPr>
            <w:r w:rsidRPr="005862A9">
              <w:rPr>
                <w:color w:val="auto"/>
              </w:rPr>
              <w:lastRenderedPageBreak/>
              <w:t>Clean/Green Economy</w:t>
            </w:r>
          </w:p>
        </w:tc>
        <w:tc>
          <w:tcPr>
            <w:tcW w:w="6655" w:type="dxa"/>
          </w:tcPr>
          <w:p w14:paraId="7BC2244E"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An economy that results in improved human well-being and social equity, while significantly reducing environmental risks and ecological scarcities. An economy that is low carbon, resource efficient, and socially inclusive. (</w:t>
            </w:r>
            <w:hyperlink r:id="rId25" w:history="1">
              <w:r w:rsidRPr="005862A9">
                <w:rPr>
                  <w:rStyle w:val="Hyperlink"/>
                  <w:rFonts w:ascii="Franklin Gothic Book" w:hAnsi="Franklin Gothic Book"/>
                  <w:sz w:val="22"/>
                  <w:szCs w:val="22"/>
                </w:rPr>
                <w:t>UNEP</w:t>
              </w:r>
            </w:hyperlink>
            <w:r w:rsidRPr="005862A9">
              <w:rPr>
                <w:rFonts w:ascii="Franklin Gothic Book" w:hAnsi="Franklin Gothic Book"/>
                <w:color w:val="auto"/>
                <w:sz w:val="22"/>
                <w:szCs w:val="22"/>
              </w:rPr>
              <w:t>)</w:t>
            </w:r>
          </w:p>
          <w:p w14:paraId="61F7B4F4" w14:textId="77777777" w:rsidR="00B5589F" w:rsidRPr="005862A9" w:rsidRDefault="00B5589F" w:rsidP="0013785F">
            <w:pPr>
              <w:spacing w:line="260" w:lineRule="exact"/>
              <w:rPr>
                <w:rFonts w:ascii="Franklin Gothic Book" w:hAnsi="Franklin Gothic Book"/>
                <w:color w:val="auto"/>
                <w:sz w:val="22"/>
                <w:szCs w:val="22"/>
              </w:rPr>
            </w:pPr>
          </w:p>
          <w:p w14:paraId="76E5CEC7"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An economy that decouples economic growth from carbon emissions. (</w:t>
            </w:r>
            <w:hyperlink r:id="rId26" w:history="1">
              <w:r w:rsidRPr="005862A9">
                <w:rPr>
                  <w:rStyle w:val="Hyperlink"/>
                  <w:rFonts w:ascii="Franklin Gothic Book" w:hAnsi="Franklin Gothic Book"/>
                  <w:sz w:val="22"/>
                  <w:szCs w:val="22"/>
                </w:rPr>
                <w:t>COG</w:t>
              </w:r>
            </w:hyperlink>
            <w:r w:rsidRPr="005862A9">
              <w:rPr>
                <w:rFonts w:ascii="Franklin Gothic Book" w:hAnsi="Franklin Gothic Book"/>
                <w:color w:val="auto"/>
                <w:sz w:val="22"/>
                <w:szCs w:val="22"/>
              </w:rPr>
              <w:t>)</w:t>
            </w:r>
          </w:p>
          <w:p w14:paraId="693A95D6" w14:textId="77777777" w:rsidR="00B5589F" w:rsidRPr="005862A9" w:rsidRDefault="00B5589F" w:rsidP="0013785F">
            <w:pPr>
              <w:spacing w:line="260" w:lineRule="exact"/>
              <w:rPr>
                <w:rFonts w:ascii="Franklin Gothic Book" w:hAnsi="Franklin Gothic Book"/>
                <w:iCs/>
                <w:color w:val="auto"/>
                <w:sz w:val="22"/>
                <w:szCs w:val="22"/>
              </w:rPr>
            </w:pPr>
          </w:p>
        </w:tc>
      </w:tr>
      <w:tr w:rsidR="00B5589F" w:rsidRPr="005862A9" w14:paraId="202C5F27" w14:textId="77777777" w:rsidTr="00B12D87">
        <w:tc>
          <w:tcPr>
            <w:tcW w:w="2705" w:type="dxa"/>
          </w:tcPr>
          <w:p w14:paraId="32925C8E" w14:textId="77777777" w:rsidR="00B5589F" w:rsidRPr="005862A9" w:rsidRDefault="00B5589F" w:rsidP="0013785F">
            <w:pPr>
              <w:pStyle w:val="3Paragraph"/>
              <w:spacing w:line="260" w:lineRule="exact"/>
              <w:rPr>
                <w:color w:val="auto"/>
              </w:rPr>
            </w:pPr>
            <w:r w:rsidRPr="005862A9">
              <w:rPr>
                <w:color w:val="auto"/>
              </w:rPr>
              <w:t>Clean/Green Power</w:t>
            </w:r>
          </w:p>
        </w:tc>
        <w:tc>
          <w:tcPr>
            <w:tcW w:w="6655" w:type="dxa"/>
          </w:tcPr>
          <w:p w14:paraId="33F58F60" w14:textId="77777777" w:rsidR="00B5589F" w:rsidRPr="005862A9" w:rsidRDefault="00B5589F" w:rsidP="0013785F">
            <w:pPr>
              <w:spacing w:line="260" w:lineRule="exact"/>
              <w:rPr>
                <w:rFonts w:ascii="Franklin Gothic Book" w:hAnsi="Franklin Gothic Book"/>
                <w:iCs/>
                <w:color w:val="auto"/>
                <w:sz w:val="22"/>
                <w:szCs w:val="22"/>
              </w:rPr>
            </w:pPr>
            <w:r w:rsidRPr="005862A9">
              <w:rPr>
                <w:rFonts w:ascii="Franklin Gothic Book" w:hAnsi="Franklin Gothic Book"/>
                <w:iCs/>
                <w:color w:val="auto"/>
                <w:sz w:val="22"/>
                <w:szCs w:val="22"/>
              </w:rPr>
              <w:t>A subset of renewable energy and represents those renewable energy resources and technologies that provide the highest environmental benefit by reducing the emissions associated with traditional electricity sources. (</w:t>
            </w:r>
            <w:hyperlink r:id="rId27" w:history="1">
              <w:r w:rsidRPr="005862A9">
                <w:rPr>
                  <w:rStyle w:val="Hyperlink"/>
                  <w:rFonts w:ascii="Franklin Gothic Book" w:hAnsi="Franklin Gothic Book"/>
                  <w:iCs/>
                  <w:sz w:val="22"/>
                  <w:szCs w:val="22"/>
                </w:rPr>
                <w:t>EPA</w:t>
              </w:r>
            </w:hyperlink>
            <w:r w:rsidRPr="005862A9">
              <w:rPr>
                <w:rFonts w:ascii="Franklin Gothic Book" w:hAnsi="Franklin Gothic Book"/>
                <w:iCs/>
                <w:color w:val="auto"/>
                <w:sz w:val="22"/>
                <w:szCs w:val="22"/>
              </w:rPr>
              <w:t>)</w:t>
            </w:r>
          </w:p>
          <w:p w14:paraId="6E8A1CE8" w14:textId="77777777" w:rsidR="00B5589F" w:rsidRPr="005862A9" w:rsidRDefault="00B5589F" w:rsidP="0013785F">
            <w:pPr>
              <w:spacing w:line="260" w:lineRule="exact"/>
              <w:rPr>
                <w:rFonts w:ascii="Franklin Gothic Book" w:hAnsi="Franklin Gothic Book"/>
                <w:iCs/>
                <w:color w:val="auto"/>
                <w:sz w:val="22"/>
                <w:szCs w:val="22"/>
              </w:rPr>
            </w:pPr>
          </w:p>
          <w:p w14:paraId="58260DFE" w14:textId="77777777" w:rsidR="00B5589F" w:rsidRDefault="00B5589F" w:rsidP="0013785F">
            <w:pPr>
              <w:spacing w:line="260" w:lineRule="exact"/>
              <w:rPr>
                <w:rFonts w:ascii="Franklin Gothic Book" w:hAnsi="Franklin Gothic Book"/>
                <w:sz w:val="22"/>
                <w:szCs w:val="22"/>
              </w:rPr>
            </w:pPr>
            <w:r w:rsidRPr="005862A9">
              <w:rPr>
                <w:rFonts w:ascii="Franklin Gothic Book" w:hAnsi="Franklin Gothic Book"/>
                <w:iCs/>
                <w:color w:val="auto"/>
                <w:sz w:val="22"/>
                <w:szCs w:val="22"/>
              </w:rPr>
              <w:t>A generic term for renewable energy sources and specific clean energy technologies that emit fewer GHG emissions relative to other sources of energy that supply the electric grid. Includes solar photovoltaic panels, solar thermal energy, geothermal energy, landfill gas, low-impact hydropower, and wind turbines.</w:t>
            </w:r>
            <w:r w:rsidR="007E4168">
              <w:rPr>
                <w:rFonts w:ascii="Franklin Gothic Book" w:hAnsi="Franklin Gothic Book"/>
                <w:sz w:val="22"/>
                <w:szCs w:val="22"/>
              </w:rPr>
              <w:t xml:space="preserve"> (</w:t>
            </w:r>
            <w:hyperlink r:id="rId28" w:history="1">
              <w:r w:rsidR="007E4168">
                <w:rPr>
                  <w:rStyle w:val="Hyperlink"/>
                  <w:rFonts w:ascii="Franklin Gothic Book" w:hAnsi="Franklin Gothic Book"/>
                  <w:sz w:val="22"/>
                  <w:szCs w:val="22"/>
                </w:rPr>
                <w:t>ICLEI</w:t>
              </w:r>
            </w:hyperlink>
            <w:r w:rsidR="007E4168">
              <w:rPr>
                <w:rFonts w:ascii="Franklin Gothic Book" w:hAnsi="Franklin Gothic Book"/>
                <w:sz w:val="22"/>
                <w:szCs w:val="22"/>
              </w:rPr>
              <w:t>)</w:t>
            </w:r>
          </w:p>
          <w:p w14:paraId="330D4C14" w14:textId="3ED3A321" w:rsidR="007E4168" w:rsidRPr="005862A9" w:rsidRDefault="007E4168" w:rsidP="0013785F">
            <w:pPr>
              <w:spacing w:line="260" w:lineRule="exact"/>
              <w:rPr>
                <w:rFonts w:ascii="Franklin Gothic Book" w:hAnsi="Franklin Gothic Book"/>
                <w:color w:val="auto"/>
                <w:sz w:val="22"/>
                <w:szCs w:val="22"/>
              </w:rPr>
            </w:pPr>
          </w:p>
        </w:tc>
      </w:tr>
      <w:tr w:rsidR="00C35687" w:rsidRPr="005862A9" w14:paraId="5A811774" w14:textId="77777777" w:rsidTr="00B12D87">
        <w:tc>
          <w:tcPr>
            <w:tcW w:w="2705" w:type="dxa"/>
          </w:tcPr>
          <w:p w14:paraId="059BFFFE" w14:textId="6AC438EE" w:rsidR="00C35687" w:rsidRPr="0078490A" w:rsidRDefault="00C35687" w:rsidP="0013785F">
            <w:pPr>
              <w:pStyle w:val="3Paragraph"/>
              <w:spacing w:line="260" w:lineRule="exact"/>
              <w:rPr>
                <w:color w:val="auto"/>
              </w:rPr>
            </w:pPr>
            <w:r w:rsidRPr="0078490A">
              <w:rPr>
                <w:color w:val="auto"/>
              </w:rPr>
              <w:t>C</w:t>
            </w:r>
            <w:r w:rsidRPr="0078490A">
              <w:t>limate Change</w:t>
            </w:r>
          </w:p>
        </w:tc>
        <w:tc>
          <w:tcPr>
            <w:tcW w:w="6655" w:type="dxa"/>
          </w:tcPr>
          <w:p w14:paraId="45D398E9" w14:textId="7CD6A97E" w:rsidR="00C35687" w:rsidRPr="0078490A" w:rsidRDefault="00C35687" w:rsidP="0013785F">
            <w:pPr>
              <w:spacing w:line="260" w:lineRule="exact"/>
              <w:rPr>
                <w:rFonts w:ascii="Franklin Gothic Book" w:hAnsi="Franklin Gothic Book"/>
                <w:sz w:val="22"/>
                <w:szCs w:val="22"/>
              </w:rPr>
            </w:pPr>
            <w:r w:rsidRPr="0078490A">
              <w:rPr>
                <w:rFonts w:ascii="Franklin Gothic Book" w:hAnsi="Franklin Gothic Book"/>
                <w:sz w:val="22"/>
                <w:szCs w:val="22"/>
              </w:rPr>
              <w:t xml:space="preserve">Climate change refers to any significant change in the measures of climate lasting for an extended </w:t>
            </w:r>
            <w:proofErr w:type="gramStart"/>
            <w:r w:rsidRPr="0078490A">
              <w:rPr>
                <w:rFonts w:ascii="Franklin Gothic Book" w:hAnsi="Franklin Gothic Book"/>
                <w:sz w:val="22"/>
                <w:szCs w:val="22"/>
              </w:rPr>
              <w:t>period of time</w:t>
            </w:r>
            <w:proofErr w:type="gramEnd"/>
            <w:r w:rsidRPr="0078490A">
              <w:rPr>
                <w:rFonts w:ascii="Franklin Gothic Book" w:hAnsi="Franklin Gothic Book"/>
                <w:sz w:val="22"/>
                <w:szCs w:val="22"/>
              </w:rPr>
              <w:t>. In other words, climate change includes major changes in temperature, precipitation, or wind patterns, among other effects, that occur over several decades or longer. (</w:t>
            </w:r>
            <w:hyperlink r:id="rId29" w:anchor=":~:text=Climate%20change%20refers%20to%20any,over%20several%20decades%20or%20longer." w:history="1">
              <w:r w:rsidRPr="0078490A">
                <w:rPr>
                  <w:rStyle w:val="Hyperlink"/>
                  <w:rFonts w:ascii="Franklin Gothic Book" w:hAnsi="Franklin Gothic Book"/>
                  <w:sz w:val="22"/>
                  <w:szCs w:val="22"/>
                </w:rPr>
                <w:t>EPA</w:t>
              </w:r>
            </w:hyperlink>
            <w:r w:rsidRPr="0078490A">
              <w:rPr>
                <w:rFonts w:ascii="Franklin Gothic Book" w:hAnsi="Franklin Gothic Book"/>
                <w:sz w:val="22"/>
                <w:szCs w:val="22"/>
              </w:rPr>
              <w:t>)</w:t>
            </w:r>
          </w:p>
          <w:p w14:paraId="4CB86ED7" w14:textId="1131FD6A" w:rsidR="00C35687" w:rsidRPr="0078490A" w:rsidRDefault="00C35687" w:rsidP="0013785F">
            <w:pPr>
              <w:spacing w:line="260" w:lineRule="exact"/>
              <w:rPr>
                <w:rFonts w:ascii="Franklin Gothic Book" w:hAnsi="Franklin Gothic Book"/>
                <w:color w:val="auto"/>
                <w:sz w:val="22"/>
                <w:szCs w:val="22"/>
              </w:rPr>
            </w:pPr>
          </w:p>
        </w:tc>
      </w:tr>
      <w:tr w:rsidR="00200E73" w:rsidRPr="005862A9" w14:paraId="58DD0F10" w14:textId="77777777" w:rsidTr="00B12D87">
        <w:tc>
          <w:tcPr>
            <w:tcW w:w="2705" w:type="dxa"/>
          </w:tcPr>
          <w:p w14:paraId="4BB031AF" w14:textId="78A4B130" w:rsidR="00200E73" w:rsidRDefault="00200E73" w:rsidP="00611B7B">
            <w:pPr>
              <w:pStyle w:val="3Paragraph"/>
              <w:spacing w:line="260" w:lineRule="exact"/>
              <w:rPr>
                <w:color w:val="auto"/>
              </w:rPr>
            </w:pPr>
            <w:r>
              <w:rPr>
                <w:color w:val="auto"/>
              </w:rPr>
              <w:t>C</w:t>
            </w:r>
            <w:r>
              <w:t>oastal Flood</w:t>
            </w:r>
          </w:p>
        </w:tc>
        <w:tc>
          <w:tcPr>
            <w:tcW w:w="6655" w:type="dxa"/>
          </w:tcPr>
          <w:p w14:paraId="3B24A995" w14:textId="752E352B" w:rsidR="00200E73" w:rsidRPr="00200E73" w:rsidRDefault="00200E73" w:rsidP="00200E73">
            <w:pPr>
              <w:rPr>
                <w:rFonts w:ascii="Franklin Gothic Book" w:eastAsiaTheme="minorHAnsi" w:hAnsi="Franklin Gothic Book" w:cs="Times New Roman"/>
                <w:color w:val="auto"/>
                <w:sz w:val="22"/>
                <w:szCs w:val="22"/>
              </w:rPr>
            </w:pPr>
            <w:r w:rsidRPr="00200E73">
              <w:rPr>
                <w:rFonts w:ascii="Franklin Gothic Book" w:hAnsi="Franklin Gothic Book"/>
                <w:sz w:val="22"/>
                <w:szCs w:val="22"/>
              </w:rPr>
              <w:t xml:space="preserve">A coastal flood, or the inundation of land areas along the coast, is caused by higher than </w:t>
            </w:r>
            <w:r>
              <w:rPr>
                <w:rFonts w:ascii="Franklin Gothic Book" w:hAnsi="Franklin Gothic Book"/>
                <w:sz w:val="22"/>
                <w:szCs w:val="22"/>
              </w:rPr>
              <w:t>[</w:t>
            </w:r>
            <w:r w:rsidRPr="00200E73">
              <w:rPr>
                <w:rFonts w:ascii="Franklin Gothic Book" w:hAnsi="Franklin Gothic Book"/>
                <w:sz w:val="22"/>
                <w:szCs w:val="22"/>
              </w:rPr>
              <w:t>average</w:t>
            </w:r>
            <w:r>
              <w:rPr>
                <w:rFonts w:ascii="Franklin Gothic Book" w:hAnsi="Franklin Gothic Book"/>
                <w:sz w:val="22"/>
                <w:szCs w:val="22"/>
              </w:rPr>
              <w:t>]</w:t>
            </w:r>
            <w:r w:rsidRPr="00200E73">
              <w:rPr>
                <w:rFonts w:ascii="Franklin Gothic Book" w:hAnsi="Franklin Gothic Book"/>
                <w:sz w:val="22"/>
                <w:szCs w:val="22"/>
              </w:rPr>
              <w:t xml:space="preserve"> high tide and worsened by heavy rainfall and onshore winds (i.e., wind blowing landward from the oc</w:t>
            </w:r>
            <w:r w:rsidRPr="00E1424B">
              <w:rPr>
                <w:rFonts w:ascii="Franklin Gothic Book" w:hAnsi="Franklin Gothic Book"/>
                <w:sz w:val="22"/>
                <w:szCs w:val="22"/>
              </w:rPr>
              <w:t>ean). (</w:t>
            </w:r>
            <w:hyperlink r:id="rId30" w:history="1">
              <w:r w:rsidRPr="00E1424B">
                <w:rPr>
                  <w:rStyle w:val="Hyperlink"/>
                  <w:rFonts w:ascii="Franklin Gothic Book" w:hAnsi="Franklin Gothic Book"/>
                  <w:sz w:val="22"/>
                  <w:szCs w:val="22"/>
                </w:rPr>
                <w:t>NOAA</w:t>
              </w:r>
            </w:hyperlink>
            <w:r w:rsidRPr="00E1424B">
              <w:rPr>
                <w:rFonts w:ascii="Franklin Gothic Book" w:hAnsi="Franklin Gothic Book"/>
                <w:sz w:val="22"/>
                <w:szCs w:val="22"/>
              </w:rPr>
              <w:t>)</w:t>
            </w:r>
            <w:r w:rsidRPr="00200E73">
              <w:rPr>
                <w:rFonts w:ascii="Franklin Gothic Book" w:hAnsi="Franklin Gothic Book" w:cs="Times New Roman"/>
                <w:sz w:val="22"/>
                <w:szCs w:val="22"/>
              </w:rPr>
              <w:t xml:space="preserve"> </w:t>
            </w:r>
          </w:p>
          <w:p w14:paraId="416EF5EB" w14:textId="77777777" w:rsidR="00200E73" w:rsidRPr="00200E73" w:rsidRDefault="00200E73" w:rsidP="00611B7B">
            <w:pPr>
              <w:spacing w:line="260" w:lineRule="exact"/>
              <w:rPr>
                <w:rFonts w:ascii="Franklin Gothic Book" w:hAnsi="Franklin Gothic Book"/>
                <w:color w:val="auto"/>
                <w:sz w:val="22"/>
                <w:szCs w:val="22"/>
              </w:rPr>
            </w:pPr>
          </w:p>
        </w:tc>
      </w:tr>
      <w:tr w:rsidR="00D07B46" w:rsidRPr="005862A9" w14:paraId="2213181A" w14:textId="77777777" w:rsidTr="00B12D87">
        <w:tc>
          <w:tcPr>
            <w:tcW w:w="2705" w:type="dxa"/>
          </w:tcPr>
          <w:p w14:paraId="7F4E1264" w14:textId="4580B57E" w:rsidR="00D07B46" w:rsidRPr="001643A9" w:rsidRDefault="00D07B46" w:rsidP="00611B7B">
            <w:pPr>
              <w:pStyle w:val="3Paragraph"/>
              <w:spacing w:line="260" w:lineRule="exact"/>
              <w:rPr>
                <w:color w:val="auto"/>
              </w:rPr>
            </w:pPr>
            <w:r w:rsidRPr="001643A9">
              <w:rPr>
                <w:color w:val="auto"/>
              </w:rPr>
              <w:t>C</w:t>
            </w:r>
            <w:r w:rsidRPr="001643A9">
              <w:t xml:space="preserve">o-Benefit </w:t>
            </w:r>
          </w:p>
        </w:tc>
        <w:tc>
          <w:tcPr>
            <w:tcW w:w="6655" w:type="dxa"/>
          </w:tcPr>
          <w:p w14:paraId="360B0F05" w14:textId="755FB0FB" w:rsidR="00D07B46" w:rsidRPr="001643A9" w:rsidRDefault="00D07B46" w:rsidP="00D07B46">
            <w:pPr>
              <w:rPr>
                <w:rFonts w:ascii="Times New Roman" w:eastAsia="Calibri" w:hAnsi="Times New Roman" w:cs="Times New Roman"/>
                <w:color w:val="auto"/>
                <w:sz w:val="24"/>
              </w:rPr>
            </w:pPr>
            <w:r w:rsidRPr="001643A9">
              <w:rPr>
                <w:rFonts w:ascii="Franklin Gothic Book" w:eastAsia="Calibri" w:hAnsi="Franklin Gothic Book" w:cs="Times New Roman"/>
                <w:color w:val="auto"/>
                <w:sz w:val="22"/>
                <w:szCs w:val="22"/>
              </w:rPr>
              <w:t>The benefits of policies that are [implemented] for various reasons at the same time including climate change mitigation acknowledging that most policies designed to address greenhouse gas mitigation also have other, often at least equally important, rationales (e.g., related to objectives of development, sustainability, and equity). (</w:t>
            </w:r>
            <w:hyperlink r:id="rId31" w:anchor="C" w:history="1">
              <w:r w:rsidRPr="001643A9">
                <w:rPr>
                  <w:rStyle w:val="Hyperlink"/>
                  <w:rFonts w:ascii="Franklin Gothic Book" w:eastAsia="Calibri" w:hAnsi="Franklin Gothic Book" w:cs="Times New Roman"/>
                  <w:sz w:val="22"/>
                  <w:szCs w:val="22"/>
                </w:rPr>
                <w:t>EPA</w:t>
              </w:r>
            </w:hyperlink>
            <w:r w:rsidRPr="001643A9">
              <w:rPr>
                <w:rFonts w:ascii="Franklin Gothic Book" w:eastAsia="Calibri" w:hAnsi="Franklin Gothic Book" w:cs="Times New Roman"/>
                <w:color w:val="auto"/>
                <w:sz w:val="22"/>
                <w:szCs w:val="22"/>
              </w:rPr>
              <w:t>)</w:t>
            </w:r>
            <w:r w:rsidRPr="001643A9">
              <w:rPr>
                <w:rFonts w:ascii="Times New Roman" w:eastAsia="Calibri" w:hAnsi="Times New Roman" w:cs="Times New Roman"/>
                <w:color w:val="auto"/>
                <w:sz w:val="24"/>
              </w:rPr>
              <w:t xml:space="preserve"> </w:t>
            </w:r>
          </w:p>
          <w:p w14:paraId="71248BC6" w14:textId="77777777" w:rsidR="00D07B46" w:rsidRPr="001643A9" w:rsidRDefault="00D07B46" w:rsidP="00611B7B">
            <w:pPr>
              <w:spacing w:line="260" w:lineRule="exact"/>
              <w:rPr>
                <w:rFonts w:ascii="Franklin Gothic Book" w:hAnsi="Franklin Gothic Book"/>
                <w:color w:val="auto"/>
                <w:sz w:val="22"/>
                <w:szCs w:val="22"/>
              </w:rPr>
            </w:pPr>
          </w:p>
        </w:tc>
      </w:tr>
      <w:tr w:rsidR="00B5589F" w:rsidRPr="005862A9" w14:paraId="45DF2FB7" w14:textId="77777777" w:rsidTr="00B12D87">
        <w:tc>
          <w:tcPr>
            <w:tcW w:w="2705" w:type="dxa"/>
          </w:tcPr>
          <w:p w14:paraId="744DE81B" w14:textId="77777777" w:rsidR="00611B7B" w:rsidRDefault="00611B7B" w:rsidP="00611B7B">
            <w:pPr>
              <w:pStyle w:val="3Paragraph"/>
              <w:spacing w:line="260" w:lineRule="exact"/>
              <w:rPr>
                <w:color w:val="auto"/>
              </w:rPr>
            </w:pPr>
            <w:r>
              <w:rPr>
                <w:color w:val="auto"/>
              </w:rPr>
              <w:t>Combined Heat and Power (CHP)</w:t>
            </w:r>
          </w:p>
          <w:p w14:paraId="6B977AA0" w14:textId="77777777" w:rsidR="00B5589F" w:rsidRPr="005862A9" w:rsidRDefault="00B5589F" w:rsidP="0013785F">
            <w:pPr>
              <w:pStyle w:val="3Paragraph"/>
              <w:spacing w:line="260" w:lineRule="exact"/>
              <w:rPr>
                <w:color w:val="auto"/>
              </w:rPr>
            </w:pPr>
          </w:p>
        </w:tc>
        <w:tc>
          <w:tcPr>
            <w:tcW w:w="6655" w:type="dxa"/>
          </w:tcPr>
          <w:p w14:paraId="6DE92A66" w14:textId="1B092105" w:rsidR="00611B7B" w:rsidRDefault="00611B7B" w:rsidP="00611B7B">
            <w:pPr>
              <w:spacing w:line="260" w:lineRule="exact"/>
              <w:rPr>
                <w:rFonts w:ascii="Franklin Gothic Book" w:hAnsi="Franklin Gothic Book"/>
                <w:color w:val="auto"/>
                <w:sz w:val="22"/>
                <w:szCs w:val="22"/>
                <w:lang w:val="en-GB"/>
              </w:rPr>
            </w:pPr>
            <w:r>
              <w:rPr>
                <w:rFonts w:ascii="Franklin Gothic Book" w:hAnsi="Franklin Gothic Book"/>
                <w:color w:val="auto"/>
                <w:sz w:val="22"/>
                <w:szCs w:val="22"/>
              </w:rPr>
              <w:t xml:space="preserve">CHP systems use the </w:t>
            </w:r>
            <w:r>
              <w:rPr>
                <w:rFonts w:ascii="Franklin Gothic Book" w:hAnsi="Franklin Gothic Book"/>
                <w:color w:val="auto"/>
                <w:sz w:val="22"/>
                <w:szCs w:val="22"/>
                <w:lang w:val="en-GB"/>
              </w:rPr>
              <w:t xml:space="preserve">same energy source to simultaneously produce useful thermal energy and electricity or mechanical power in an integrated system. A variety of technologies can be used for CHP, including reciprocating engines, combustion turbines, steam turbines, organic </w:t>
            </w:r>
            <w:proofErr w:type="spellStart"/>
            <w:r>
              <w:rPr>
                <w:rFonts w:ascii="Franklin Gothic Book" w:hAnsi="Franklin Gothic Book"/>
                <w:color w:val="auto"/>
                <w:sz w:val="22"/>
                <w:szCs w:val="22"/>
                <w:lang w:val="en-GB"/>
              </w:rPr>
              <w:t>rankine</w:t>
            </w:r>
            <w:proofErr w:type="spellEnd"/>
            <w:r>
              <w:rPr>
                <w:rFonts w:ascii="Franklin Gothic Book" w:hAnsi="Franklin Gothic Book"/>
                <w:color w:val="auto"/>
                <w:sz w:val="22"/>
                <w:szCs w:val="22"/>
                <w:lang w:val="en-GB"/>
              </w:rPr>
              <w:t xml:space="preserve"> cycle turbines and fuel cells. (</w:t>
            </w:r>
            <w:hyperlink r:id="rId32" w:history="1">
              <w:r>
                <w:rPr>
                  <w:rStyle w:val="Hyperlink"/>
                  <w:rFonts w:ascii="Franklin Gothic Book" w:hAnsi="Franklin Gothic Book"/>
                  <w:sz w:val="22"/>
                  <w:szCs w:val="22"/>
                  <w:lang w:val="en-GB"/>
                </w:rPr>
                <w:t>COG</w:t>
              </w:r>
            </w:hyperlink>
            <w:r>
              <w:rPr>
                <w:rFonts w:ascii="Franklin Gothic Book" w:hAnsi="Franklin Gothic Book"/>
                <w:color w:val="auto"/>
                <w:sz w:val="22"/>
                <w:szCs w:val="22"/>
                <w:lang w:val="en-GB"/>
              </w:rPr>
              <w:t>)</w:t>
            </w:r>
          </w:p>
          <w:p w14:paraId="2D483327"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2AB4CB76" w14:textId="77777777" w:rsidTr="00B12D87">
        <w:tc>
          <w:tcPr>
            <w:tcW w:w="2705" w:type="dxa"/>
          </w:tcPr>
          <w:p w14:paraId="1E366370" w14:textId="77777777" w:rsidR="00B5589F" w:rsidRPr="005862A9" w:rsidRDefault="00B5589F" w:rsidP="0013785F">
            <w:pPr>
              <w:pStyle w:val="3Paragraph"/>
              <w:spacing w:line="260" w:lineRule="exact"/>
              <w:rPr>
                <w:color w:val="auto"/>
              </w:rPr>
            </w:pPr>
            <w:r w:rsidRPr="005862A9">
              <w:rPr>
                <w:color w:val="auto"/>
              </w:rPr>
              <w:t>Community Choice Aggregation (CCA)</w:t>
            </w:r>
          </w:p>
          <w:p w14:paraId="27917F01" w14:textId="77777777" w:rsidR="00B5589F" w:rsidRPr="005862A9" w:rsidRDefault="00B5589F" w:rsidP="0013785F">
            <w:pPr>
              <w:pStyle w:val="3Paragraph"/>
              <w:spacing w:line="260" w:lineRule="exact"/>
              <w:rPr>
                <w:color w:val="auto"/>
              </w:rPr>
            </w:pPr>
          </w:p>
        </w:tc>
        <w:tc>
          <w:tcPr>
            <w:tcW w:w="6655" w:type="dxa"/>
          </w:tcPr>
          <w:p w14:paraId="750A421F" w14:textId="77777777" w:rsidR="00495763" w:rsidRDefault="00495763" w:rsidP="00495763">
            <w:pPr>
              <w:spacing w:line="260" w:lineRule="exact"/>
              <w:rPr>
                <w:rFonts w:ascii="Franklin Gothic Book" w:hAnsi="Franklin Gothic Book"/>
                <w:color w:val="auto"/>
                <w:sz w:val="22"/>
                <w:szCs w:val="22"/>
                <w:lang w:val="en-GB"/>
              </w:rPr>
            </w:pPr>
            <w:r>
              <w:rPr>
                <w:rFonts w:ascii="Franklin Gothic Book" w:hAnsi="Franklin Gothic Book"/>
                <w:color w:val="auto"/>
                <w:sz w:val="22"/>
                <w:szCs w:val="22"/>
              </w:rPr>
              <w:t xml:space="preserve">Community Choice Aggregation (CCA) </w:t>
            </w:r>
            <w:r>
              <w:rPr>
                <w:rFonts w:ascii="Franklin Gothic Book" w:hAnsi="Franklin Gothic Book"/>
                <w:color w:val="auto"/>
                <w:sz w:val="22"/>
                <w:szCs w:val="22"/>
                <w:lang w:val="en-GB"/>
              </w:rPr>
              <w:t xml:space="preserve">are programs that allow local governments to procure power on behalf of their residents, businesses, and municipal accounts from an alternative supplier while still receiving transmission and distribution service from their existing utility provider. CCAs are an attractive option for communities that want more local control over their electricity sources, more green </w:t>
            </w:r>
            <w:r>
              <w:rPr>
                <w:rFonts w:ascii="Franklin Gothic Book" w:hAnsi="Franklin Gothic Book"/>
                <w:color w:val="auto"/>
                <w:sz w:val="22"/>
                <w:szCs w:val="22"/>
                <w:lang w:val="en-GB"/>
              </w:rPr>
              <w:lastRenderedPageBreak/>
              <w:t>power than is offered by the default utility, and/or lower electricity prices. By aggregating demand, communities gain leverage to negotiate better rates with competitive suppliers and choose greener power sources. (</w:t>
            </w:r>
            <w:hyperlink r:id="rId33" w:anchor=":~:text=Prices%20for%20electricity%20under%20CCAs,communities%20and%20current%20market%20trends." w:history="1">
              <w:r>
                <w:rPr>
                  <w:rStyle w:val="Hyperlink"/>
                  <w:rFonts w:ascii="Franklin Gothic Book" w:hAnsi="Franklin Gothic Book"/>
                  <w:sz w:val="22"/>
                  <w:szCs w:val="22"/>
                  <w:lang w:val="en-GB"/>
                </w:rPr>
                <w:t>EPA</w:t>
              </w:r>
            </w:hyperlink>
            <w:r>
              <w:rPr>
                <w:rFonts w:ascii="Franklin Gothic Book" w:hAnsi="Franklin Gothic Book"/>
                <w:color w:val="auto"/>
                <w:sz w:val="22"/>
                <w:szCs w:val="22"/>
                <w:lang w:val="en-GB"/>
              </w:rPr>
              <w:t>)</w:t>
            </w:r>
          </w:p>
          <w:p w14:paraId="16D95594"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32A255D8" w14:textId="77777777" w:rsidTr="00B12D87">
        <w:tc>
          <w:tcPr>
            <w:tcW w:w="2705" w:type="dxa"/>
          </w:tcPr>
          <w:p w14:paraId="74EE2649" w14:textId="77777777" w:rsidR="00B5589F" w:rsidRPr="005862A9" w:rsidRDefault="00B5589F" w:rsidP="0013785F">
            <w:pPr>
              <w:pStyle w:val="3Paragraph"/>
              <w:spacing w:line="260" w:lineRule="exact"/>
              <w:rPr>
                <w:color w:val="auto"/>
              </w:rPr>
            </w:pPr>
            <w:r w:rsidRPr="005862A9">
              <w:rPr>
                <w:color w:val="auto"/>
              </w:rPr>
              <w:lastRenderedPageBreak/>
              <w:t>Community Solar</w:t>
            </w:r>
          </w:p>
          <w:p w14:paraId="6F3FB61A" w14:textId="77777777" w:rsidR="00B5589F" w:rsidRPr="005862A9" w:rsidRDefault="00B5589F" w:rsidP="0013785F">
            <w:pPr>
              <w:pStyle w:val="3Paragraph"/>
              <w:spacing w:line="260" w:lineRule="exact"/>
              <w:rPr>
                <w:color w:val="auto"/>
              </w:rPr>
            </w:pPr>
          </w:p>
        </w:tc>
        <w:tc>
          <w:tcPr>
            <w:tcW w:w="6655" w:type="dxa"/>
          </w:tcPr>
          <w:p w14:paraId="7A39FFC0" w14:textId="232B00F3"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 xml:space="preserve">A solar energy facility that allows multiple people to subscribe and benefit from the energy output of the facility. </w:t>
            </w:r>
            <w:r w:rsidRPr="00FA05DF">
              <w:rPr>
                <w:rFonts w:ascii="Franklin Gothic Book" w:hAnsi="Franklin Gothic Book"/>
                <w:color w:val="auto"/>
                <w:sz w:val="22"/>
                <w:szCs w:val="22"/>
              </w:rPr>
              <w:t xml:space="preserve">(Adapted from </w:t>
            </w:r>
            <w:hyperlink r:id="rId34" w:history="1">
              <w:r w:rsidRPr="00FA05DF">
                <w:rPr>
                  <w:rStyle w:val="Hyperlink"/>
                  <w:rFonts w:ascii="Franklin Gothic Book" w:hAnsi="Franklin Gothic Book"/>
                  <w:sz w:val="22"/>
                  <w:szCs w:val="22"/>
                </w:rPr>
                <w:t>Pathways to 100</w:t>
              </w:r>
            </w:hyperlink>
            <w:r w:rsidRPr="00FA05DF">
              <w:rPr>
                <w:rFonts w:ascii="Franklin Gothic Book" w:hAnsi="Franklin Gothic Book"/>
                <w:color w:val="auto"/>
                <w:sz w:val="22"/>
                <w:szCs w:val="22"/>
              </w:rPr>
              <w:t>)</w:t>
            </w:r>
          </w:p>
          <w:p w14:paraId="1E154FC7" w14:textId="77777777" w:rsidR="00B5589F" w:rsidRPr="005862A9" w:rsidRDefault="00B5589F" w:rsidP="0013785F">
            <w:pPr>
              <w:spacing w:line="260" w:lineRule="exact"/>
              <w:rPr>
                <w:rFonts w:ascii="Franklin Gothic Book" w:hAnsi="Franklin Gothic Book"/>
                <w:color w:val="auto"/>
                <w:sz w:val="22"/>
                <w:szCs w:val="22"/>
              </w:rPr>
            </w:pPr>
          </w:p>
        </w:tc>
      </w:tr>
      <w:tr w:rsidR="00D65F10" w:rsidRPr="005862A9" w14:paraId="2B51224A" w14:textId="77777777" w:rsidTr="00B12D87">
        <w:tc>
          <w:tcPr>
            <w:tcW w:w="2705" w:type="dxa"/>
          </w:tcPr>
          <w:p w14:paraId="5A9D2E7D" w14:textId="4BA41C28" w:rsidR="00D65F10" w:rsidRDefault="00D65F10" w:rsidP="0013785F">
            <w:pPr>
              <w:pStyle w:val="3Paragraph"/>
              <w:spacing w:line="260" w:lineRule="exact"/>
              <w:rPr>
                <w:color w:val="auto"/>
              </w:rPr>
            </w:pPr>
            <w:r>
              <w:rPr>
                <w:color w:val="auto"/>
              </w:rPr>
              <w:t>Consequence</w:t>
            </w:r>
          </w:p>
        </w:tc>
        <w:tc>
          <w:tcPr>
            <w:tcW w:w="6655" w:type="dxa"/>
          </w:tcPr>
          <w:p w14:paraId="629D404E" w14:textId="35E85804" w:rsidR="00D65F10" w:rsidRDefault="00D65F10" w:rsidP="00D65F10">
            <w:pPr>
              <w:spacing w:line="260" w:lineRule="exact"/>
              <w:rPr>
                <w:rFonts w:ascii="Franklin Gothic Book" w:hAnsi="Franklin Gothic Book"/>
                <w:color w:val="auto"/>
                <w:sz w:val="22"/>
                <w:szCs w:val="22"/>
              </w:rPr>
            </w:pPr>
            <w:r w:rsidRPr="00C31AF3">
              <w:rPr>
                <w:rFonts w:ascii="Franklin Gothic Book" w:hAnsi="Franklin Gothic Book"/>
                <w:color w:val="auto"/>
                <w:sz w:val="22"/>
                <w:szCs w:val="22"/>
              </w:rPr>
              <w:t xml:space="preserve">In a Climate, Risk and Vulnerability Assessment, </w:t>
            </w:r>
            <w:r w:rsidR="009B4A89" w:rsidRPr="00C31AF3">
              <w:rPr>
                <w:rFonts w:ascii="Franklin Gothic Book" w:hAnsi="Franklin Gothic Book"/>
                <w:color w:val="auto"/>
                <w:sz w:val="22"/>
                <w:szCs w:val="22"/>
              </w:rPr>
              <w:t>consequence</w:t>
            </w:r>
            <w:r w:rsidRPr="00C31AF3">
              <w:rPr>
                <w:rFonts w:ascii="Franklin Gothic Book" w:hAnsi="Franklin Gothic Book"/>
                <w:color w:val="auto"/>
                <w:sz w:val="22"/>
                <w:szCs w:val="22"/>
              </w:rPr>
              <w:t xml:space="preserve"> is the </w:t>
            </w:r>
            <w:r w:rsidR="009B4A89" w:rsidRPr="00C31AF3">
              <w:rPr>
                <w:rFonts w:ascii="Franklin Gothic Book" w:hAnsi="Franklin Gothic Book"/>
                <w:color w:val="auto"/>
                <w:sz w:val="22"/>
                <w:szCs w:val="22"/>
              </w:rPr>
              <w:t>outcome/impact/gravity of</w:t>
            </w:r>
            <w:r w:rsidRPr="00C31AF3">
              <w:rPr>
                <w:rFonts w:ascii="Franklin Gothic Book" w:hAnsi="Franklin Gothic Book"/>
                <w:color w:val="auto"/>
                <w:sz w:val="22"/>
                <w:szCs w:val="22"/>
              </w:rPr>
              <w:t xml:space="preserve"> a</w:t>
            </w:r>
            <w:r w:rsidR="009B4A89" w:rsidRPr="00C31AF3">
              <w:rPr>
                <w:rFonts w:ascii="Franklin Gothic Book" w:hAnsi="Franklin Gothic Book"/>
                <w:color w:val="auto"/>
                <w:sz w:val="22"/>
                <w:szCs w:val="22"/>
              </w:rPr>
              <w:t>n identified</w:t>
            </w:r>
            <w:r w:rsidRPr="00C31AF3">
              <w:rPr>
                <w:rFonts w:ascii="Franklin Gothic Book" w:hAnsi="Franklin Gothic Book"/>
                <w:color w:val="auto"/>
                <w:sz w:val="22"/>
                <w:szCs w:val="22"/>
              </w:rPr>
              <w:t xml:space="preserve"> climate hazard (i.e. extreme heat, flooding, etc.). A high </w:t>
            </w:r>
            <w:r w:rsidR="00E6309E" w:rsidRPr="00C31AF3">
              <w:rPr>
                <w:rFonts w:ascii="Franklin Gothic Book" w:hAnsi="Franklin Gothic Book"/>
                <w:color w:val="auto"/>
                <w:sz w:val="22"/>
                <w:szCs w:val="22"/>
              </w:rPr>
              <w:t xml:space="preserve">consequence represents a high or the highest level of potential concern for the community and results in serious impacts and (catastrophic) interruptions to day-to-day life. A moderate consequence represents a moderate level of potential concern and impacts to the community are moderately significant to day-to-day life. </w:t>
            </w:r>
            <w:r w:rsidR="00C31AF3" w:rsidRPr="00C31AF3">
              <w:rPr>
                <w:rFonts w:ascii="Franklin Gothic Book" w:hAnsi="Franklin Gothic Book"/>
                <w:color w:val="auto"/>
                <w:sz w:val="22"/>
                <w:szCs w:val="22"/>
              </w:rPr>
              <w:t>A low consequence represents a lower (the lowest) level of potential concern to the community and impacts are deemed less significant (or insignificant)</w:t>
            </w:r>
            <w:r w:rsidR="00C31AF3">
              <w:rPr>
                <w:rFonts w:ascii="Franklin Gothic Book" w:hAnsi="Franklin Gothic Book"/>
                <w:color w:val="auto"/>
                <w:sz w:val="22"/>
                <w:szCs w:val="22"/>
              </w:rPr>
              <w:t xml:space="preserve"> to day-to-day life. </w:t>
            </w:r>
            <w:r w:rsidRPr="00D028E3">
              <w:rPr>
                <w:rFonts w:ascii="Franklin Gothic Book" w:hAnsi="Franklin Gothic Book"/>
                <w:color w:val="auto"/>
                <w:sz w:val="22"/>
                <w:szCs w:val="22"/>
              </w:rPr>
              <w:t>The</w:t>
            </w:r>
            <w:r w:rsidR="00D028E3" w:rsidRPr="00D028E3">
              <w:rPr>
                <w:rFonts w:ascii="Franklin Gothic Book" w:hAnsi="Franklin Gothic Book"/>
                <w:color w:val="auto"/>
                <w:sz w:val="22"/>
                <w:szCs w:val="22"/>
              </w:rPr>
              <w:t xml:space="preserve"> future</w:t>
            </w:r>
            <w:r w:rsidRPr="00D028E3">
              <w:rPr>
                <w:rFonts w:ascii="Franklin Gothic Book" w:hAnsi="Franklin Gothic Book"/>
                <w:color w:val="auto"/>
                <w:sz w:val="22"/>
                <w:szCs w:val="22"/>
              </w:rPr>
              <w:t xml:space="preserve"> risk level is determined by probability x consequence and expected change in intensity, frequency, and timescale of expected changes.</w:t>
            </w:r>
            <w:r w:rsidR="00D028E3">
              <w:rPr>
                <w:rFonts w:ascii="Franklin Gothic Book" w:hAnsi="Franklin Gothic Book"/>
                <w:color w:val="auto"/>
                <w:sz w:val="22"/>
                <w:szCs w:val="22"/>
              </w:rPr>
              <w:t xml:space="preserve"> </w:t>
            </w:r>
            <w:r w:rsidR="00D028E3">
              <w:rPr>
                <w:rFonts w:ascii="Franklin Gothic Book" w:hAnsi="Franklin Gothic Book"/>
                <w:color w:val="auto"/>
                <w:sz w:val="22"/>
                <w:szCs w:val="22"/>
              </w:rPr>
              <w:t>See definitions for</w:t>
            </w:r>
            <w:r w:rsidR="009B4A89">
              <w:rPr>
                <w:rFonts w:ascii="Franklin Gothic Book" w:hAnsi="Franklin Gothic Book"/>
                <w:color w:val="auto"/>
                <w:sz w:val="22"/>
                <w:szCs w:val="22"/>
              </w:rPr>
              <w:t xml:space="preserve"> impact,</w:t>
            </w:r>
            <w:r w:rsidR="00D028E3">
              <w:rPr>
                <w:rFonts w:ascii="Franklin Gothic Book" w:hAnsi="Franklin Gothic Book"/>
                <w:color w:val="auto"/>
                <w:sz w:val="22"/>
                <w:szCs w:val="22"/>
              </w:rPr>
              <w:t xml:space="preserve"> </w:t>
            </w:r>
            <w:proofErr w:type="gramStart"/>
            <w:r w:rsidR="00D028E3">
              <w:rPr>
                <w:rFonts w:ascii="Franklin Gothic Book" w:hAnsi="Franklin Gothic Book"/>
                <w:color w:val="auto"/>
                <w:sz w:val="22"/>
                <w:szCs w:val="22"/>
              </w:rPr>
              <w:t>probability</w:t>
            </w:r>
            <w:proofErr w:type="gramEnd"/>
            <w:r w:rsidR="00D028E3">
              <w:rPr>
                <w:rFonts w:ascii="Franklin Gothic Book" w:hAnsi="Franklin Gothic Book"/>
                <w:color w:val="auto"/>
                <w:sz w:val="22"/>
                <w:szCs w:val="22"/>
              </w:rPr>
              <w:t xml:space="preserve"> and risk.</w:t>
            </w:r>
            <w:r>
              <w:rPr>
                <w:rFonts w:ascii="Franklin Gothic Book" w:hAnsi="Franklin Gothic Book"/>
                <w:color w:val="auto"/>
                <w:sz w:val="22"/>
                <w:szCs w:val="22"/>
              </w:rPr>
              <w:t xml:space="preserve"> (</w:t>
            </w:r>
            <w:hyperlink r:id="rId35" w:history="1">
              <w:r w:rsidRPr="0000103F">
                <w:rPr>
                  <w:rStyle w:val="Hyperlink"/>
                  <w:rFonts w:ascii="Franklin Gothic Book" w:hAnsi="Franklin Gothic Book"/>
                  <w:sz w:val="22"/>
                  <w:szCs w:val="22"/>
                </w:rPr>
                <w:t>GCoM</w:t>
              </w:r>
            </w:hyperlink>
            <w:r>
              <w:rPr>
                <w:rFonts w:ascii="Franklin Gothic Book" w:hAnsi="Franklin Gothic Book"/>
                <w:color w:val="auto"/>
                <w:sz w:val="22"/>
                <w:szCs w:val="22"/>
              </w:rPr>
              <w:t>)</w:t>
            </w:r>
          </w:p>
          <w:p w14:paraId="5B0D610D" w14:textId="77777777" w:rsidR="00D65F10" w:rsidRPr="00532FD4" w:rsidRDefault="00D65F10" w:rsidP="0013785F">
            <w:pPr>
              <w:spacing w:line="260" w:lineRule="exact"/>
              <w:rPr>
                <w:rFonts w:ascii="Franklin Gothic Book" w:hAnsi="Franklin Gothic Book"/>
                <w:color w:val="auto"/>
                <w:sz w:val="22"/>
                <w:szCs w:val="22"/>
              </w:rPr>
            </w:pPr>
          </w:p>
        </w:tc>
      </w:tr>
      <w:tr w:rsidR="00532FD4" w:rsidRPr="005862A9" w14:paraId="5527115D" w14:textId="77777777" w:rsidTr="00B12D87">
        <w:tc>
          <w:tcPr>
            <w:tcW w:w="2705" w:type="dxa"/>
          </w:tcPr>
          <w:p w14:paraId="23477C2D" w14:textId="06E8F54F" w:rsidR="00532FD4" w:rsidRPr="005862A9" w:rsidRDefault="00532FD4" w:rsidP="0013785F">
            <w:pPr>
              <w:pStyle w:val="3Paragraph"/>
              <w:spacing w:line="260" w:lineRule="exact"/>
              <w:rPr>
                <w:color w:val="auto"/>
              </w:rPr>
            </w:pPr>
            <w:r>
              <w:rPr>
                <w:color w:val="auto"/>
              </w:rPr>
              <w:t>Critical Infrastructure</w:t>
            </w:r>
          </w:p>
        </w:tc>
        <w:tc>
          <w:tcPr>
            <w:tcW w:w="6655" w:type="dxa"/>
          </w:tcPr>
          <w:p w14:paraId="1830F70A" w14:textId="5EE08A14" w:rsidR="00532FD4" w:rsidRDefault="00532FD4" w:rsidP="0013785F">
            <w:pPr>
              <w:spacing w:line="260" w:lineRule="exact"/>
              <w:rPr>
                <w:rFonts w:ascii="Franklin Gothic Book" w:hAnsi="Franklin Gothic Book"/>
                <w:color w:val="auto"/>
                <w:sz w:val="22"/>
                <w:szCs w:val="22"/>
              </w:rPr>
            </w:pPr>
            <w:r w:rsidRPr="00532FD4">
              <w:rPr>
                <w:rFonts w:ascii="Franklin Gothic Book" w:hAnsi="Franklin Gothic Book"/>
                <w:color w:val="auto"/>
                <w:sz w:val="22"/>
                <w:szCs w:val="22"/>
              </w:rPr>
              <w:t>Critical infrastructure describes the physical and cyber systems and assets that are so vital to the United States that their incapacity or destruction would have a debilitating impact on our physical or economic security or public health or safety. </w:t>
            </w:r>
            <w:r>
              <w:rPr>
                <w:rFonts w:ascii="Franklin Gothic Book" w:hAnsi="Franklin Gothic Book"/>
                <w:color w:val="auto"/>
                <w:sz w:val="22"/>
                <w:szCs w:val="22"/>
              </w:rPr>
              <w:t>(</w:t>
            </w:r>
            <w:hyperlink r:id="rId36" w:anchor=":~:text=Critical%20infrastructure%20describes%20the%20physical,or%20public%20health%20or%20safety.&amp;text=Facilitating%20Critical%20Infrastructure%20Vulnerability%20Assessments" w:history="1">
              <w:r w:rsidRPr="00532FD4">
                <w:rPr>
                  <w:rStyle w:val="Hyperlink"/>
                  <w:rFonts w:ascii="Franklin Gothic Book" w:hAnsi="Franklin Gothic Book"/>
                  <w:sz w:val="22"/>
                  <w:szCs w:val="22"/>
                </w:rPr>
                <w:t>DHS</w:t>
              </w:r>
            </w:hyperlink>
            <w:r>
              <w:rPr>
                <w:rFonts w:ascii="Franklin Gothic Book" w:hAnsi="Franklin Gothic Book"/>
                <w:color w:val="auto"/>
                <w:sz w:val="22"/>
                <w:szCs w:val="22"/>
              </w:rPr>
              <w:t>)</w:t>
            </w:r>
          </w:p>
          <w:p w14:paraId="087394FB" w14:textId="229A6567" w:rsidR="00532FD4" w:rsidRPr="005862A9" w:rsidRDefault="00532FD4" w:rsidP="0013785F">
            <w:pPr>
              <w:spacing w:line="260" w:lineRule="exact"/>
              <w:rPr>
                <w:rFonts w:ascii="Franklin Gothic Book" w:hAnsi="Franklin Gothic Book"/>
                <w:color w:val="auto"/>
                <w:sz w:val="22"/>
                <w:szCs w:val="22"/>
              </w:rPr>
            </w:pPr>
          </w:p>
        </w:tc>
      </w:tr>
      <w:tr w:rsidR="00B5589F" w:rsidRPr="005862A9" w14:paraId="0EDA7906" w14:textId="77777777" w:rsidTr="00B12D87">
        <w:tc>
          <w:tcPr>
            <w:tcW w:w="2705" w:type="dxa"/>
          </w:tcPr>
          <w:p w14:paraId="7196DF69" w14:textId="77777777" w:rsidR="00B5589F" w:rsidRPr="005862A9" w:rsidRDefault="00B5589F" w:rsidP="0013785F">
            <w:pPr>
              <w:pStyle w:val="3Paragraph"/>
              <w:spacing w:line="260" w:lineRule="exact"/>
              <w:rPr>
                <w:color w:val="auto"/>
              </w:rPr>
            </w:pPr>
            <w:r w:rsidRPr="005862A9">
              <w:rPr>
                <w:color w:val="auto"/>
              </w:rPr>
              <w:t>Decarbonization</w:t>
            </w:r>
          </w:p>
          <w:p w14:paraId="4405B6BB" w14:textId="77777777" w:rsidR="00B5589F" w:rsidRPr="005862A9" w:rsidRDefault="00B5589F" w:rsidP="0013785F">
            <w:pPr>
              <w:pStyle w:val="3Paragraph"/>
              <w:spacing w:line="260" w:lineRule="exact"/>
              <w:rPr>
                <w:color w:val="auto"/>
                <w:highlight w:val="yellow"/>
              </w:rPr>
            </w:pPr>
          </w:p>
        </w:tc>
        <w:tc>
          <w:tcPr>
            <w:tcW w:w="6655" w:type="dxa"/>
          </w:tcPr>
          <w:p w14:paraId="2A3FF9E1" w14:textId="551D51D4"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The transition from high-carbon emissions producing energy sources to low- or zero- carbon energy sources</w:t>
            </w:r>
            <w:r w:rsidRPr="00FA05DF">
              <w:rPr>
                <w:rFonts w:ascii="Franklin Gothic Book" w:hAnsi="Franklin Gothic Book"/>
                <w:color w:val="auto"/>
                <w:sz w:val="22"/>
                <w:szCs w:val="22"/>
              </w:rPr>
              <w:t>. (</w:t>
            </w:r>
            <w:hyperlink r:id="rId37" w:history="1">
              <w:r w:rsidRPr="00FA05DF">
                <w:rPr>
                  <w:rStyle w:val="Hyperlink"/>
                  <w:rFonts w:ascii="Franklin Gothic Book" w:hAnsi="Franklin Gothic Book"/>
                  <w:sz w:val="22"/>
                  <w:szCs w:val="22"/>
                </w:rPr>
                <w:t>Pathways to 100</w:t>
              </w:r>
            </w:hyperlink>
            <w:r w:rsidRPr="00FA05DF">
              <w:rPr>
                <w:rFonts w:ascii="Franklin Gothic Book" w:hAnsi="Franklin Gothic Book"/>
                <w:color w:val="auto"/>
                <w:sz w:val="22"/>
                <w:szCs w:val="22"/>
              </w:rPr>
              <w:t>)</w:t>
            </w:r>
          </w:p>
          <w:p w14:paraId="7361ED53"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70F1D02A" w14:textId="77777777" w:rsidTr="00B12D87">
        <w:tc>
          <w:tcPr>
            <w:tcW w:w="2705" w:type="dxa"/>
          </w:tcPr>
          <w:p w14:paraId="6E6195FF" w14:textId="77777777" w:rsidR="00B5589F" w:rsidRPr="005862A9" w:rsidRDefault="00B5589F" w:rsidP="0013785F">
            <w:pPr>
              <w:pStyle w:val="3Paragraph"/>
              <w:spacing w:line="260" w:lineRule="exact"/>
              <w:rPr>
                <w:color w:val="auto"/>
              </w:rPr>
            </w:pPr>
            <w:r w:rsidRPr="005862A9">
              <w:rPr>
                <w:color w:val="auto"/>
              </w:rPr>
              <w:t>Distributed Energy Generation</w:t>
            </w:r>
          </w:p>
          <w:p w14:paraId="30C44808" w14:textId="77777777" w:rsidR="00B5589F" w:rsidRPr="005862A9" w:rsidRDefault="00B5589F" w:rsidP="0013785F">
            <w:pPr>
              <w:pStyle w:val="3Paragraph"/>
              <w:spacing w:line="260" w:lineRule="exact"/>
              <w:rPr>
                <w:color w:val="auto"/>
              </w:rPr>
            </w:pPr>
          </w:p>
        </w:tc>
        <w:tc>
          <w:tcPr>
            <w:tcW w:w="6655" w:type="dxa"/>
          </w:tcPr>
          <w:p w14:paraId="750C2010" w14:textId="6E156B61"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Small-scale generation resources that feed directly into distribution portions of the electric grid (e.g., rooftop sol</w:t>
            </w:r>
            <w:r w:rsidRPr="00FA05DF">
              <w:rPr>
                <w:rFonts w:ascii="Franklin Gothic Book" w:hAnsi="Franklin Gothic Book"/>
                <w:color w:val="auto"/>
                <w:sz w:val="22"/>
                <w:szCs w:val="22"/>
              </w:rPr>
              <w:t>ar). (</w:t>
            </w:r>
            <w:hyperlink r:id="rId38" w:history="1">
              <w:r w:rsidRPr="00FA05DF">
                <w:rPr>
                  <w:rStyle w:val="Hyperlink"/>
                  <w:rFonts w:ascii="Franklin Gothic Book" w:hAnsi="Franklin Gothic Book"/>
                  <w:sz w:val="22"/>
                  <w:szCs w:val="22"/>
                </w:rPr>
                <w:t>Pathways to 100</w:t>
              </w:r>
            </w:hyperlink>
            <w:r w:rsidRPr="00FA05DF">
              <w:rPr>
                <w:rFonts w:ascii="Franklin Gothic Book" w:hAnsi="Franklin Gothic Book"/>
                <w:color w:val="auto"/>
                <w:sz w:val="22"/>
                <w:szCs w:val="22"/>
              </w:rPr>
              <w:t>)</w:t>
            </w:r>
          </w:p>
          <w:p w14:paraId="6D36F8C0" w14:textId="77777777" w:rsidR="00B5589F" w:rsidRPr="005862A9" w:rsidRDefault="00B5589F" w:rsidP="0013785F">
            <w:pPr>
              <w:spacing w:line="260" w:lineRule="exact"/>
              <w:rPr>
                <w:rFonts w:ascii="Franklin Gothic Book" w:hAnsi="Franklin Gothic Book"/>
                <w:color w:val="auto"/>
                <w:sz w:val="22"/>
                <w:szCs w:val="22"/>
              </w:rPr>
            </w:pPr>
          </w:p>
        </w:tc>
      </w:tr>
      <w:tr w:rsidR="00393D1B" w:rsidRPr="005862A9" w14:paraId="1E555420" w14:textId="77777777" w:rsidTr="00B12D87">
        <w:tc>
          <w:tcPr>
            <w:tcW w:w="2705" w:type="dxa"/>
          </w:tcPr>
          <w:p w14:paraId="1B8DF3B5" w14:textId="42B05458" w:rsidR="00393D1B" w:rsidRDefault="00393D1B" w:rsidP="0013785F">
            <w:pPr>
              <w:pStyle w:val="3Paragraph"/>
              <w:spacing w:line="260" w:lineRule="exact"/>
              <w:rPr>
                <w:color w:val="auto"/>
              </w:rPr>
            </w:pPr>
            <w:r>
              <w:rPr>
                <w:color w:val="auto"/>
              </w:rPr>
              <w:t>D</w:t>
            </w:r>
            <w:r>
              <w:t>rought</w:t>
            </w:r>
          </w:p>
        </w:tc>
        <w:tc>
          <w:tcPr>
            <w:tcW w:w="6655" w:type="dxa"/>
          </w:tcPr>
          <w:p w14:paraId="4D988194" w14:textId="3E877B51" w:rsidR="00393D1B" w:rsidRPr="00393D1B" w:rsidRDefault="00393D1B" w:rsidP="00393D1B">
            <w:pPr>
              <w:rPr>
                <w:rFonts w:ascii="Times New Roman" w:eastAsia="Calibri" w:hAnsi="Times New Roman" w:cs="Times New Roman"/>
                <w:color w:val="auto"/>
                <w:sz w:val="24"/>
              </w:rPr>
            </w:pPr>
            <w:r w:rsidRPr="00F54CFE">
              <w:rPr>
                <w:rFonts w:ascii="Franklin Gothic Book" w:eastAsia="Calibri" w:hAnsi="Franklin Gothic Book" w:cs="Times New Roman"/>
                <w:color w:val="auto"/>
                <w:sz w:val="22"/>
                <w:szCs w:val="22"/>
              </w:rPr>
              <w:t>Drought is what happens when rainfall is lower than normal [for] a long time. Droughts can last a single season, a whole year, or for many years and can affect a few hundred or millions of square miles. (</w:t>
            </w:r>
            <w:hyperlink r:id="rId39" w:history="1">
              <w:r w:rsidRPr="00F54CFE">
                <w:rPr>
                  <w:rStyle w:val="Hyperlink"/>
                  <w:rFonts w:ascii="Franklin Gothic Book" w:eastAsia="Calibri" w:hAnsi="Franklin Gothic Book" w:cs="Times New Roman"/>
                  <w:sz w:val="22"/>
                  <w:szCs w:val="22"/>
                </w:rPr>
                <w:t>CDC</w:t>
              </w:r>
            </w:hyperlink>
            <w:r w:rsidRPr="00F54CFE">
              <w:rPr>
                <w:rFonts w:ascii="Franklin Gothic Book" w:eastAsia="Calibri" w:hAnsi="Franklin Gothic Book" w:cs="Times New Roman"/>
                <w:color w:val="auto"/>
                <w:sz w:val="22"/>
                <w:szCs w:val="22"/>
              </w:rPr>
              <w:t>)</w:t>
            </w:r>
            <w:r w:rsidRPr="00393D1B">
              <w:rPr>
                <w:rFonts w:ascii="Times New Roman" w:eastAsia="Calibri" w:hAnsi="Times New Roman" w:cs="Times New Roman"/>
                <w:color w:val="auto"/>
                <w:sz w:val="24"/>
              </w:rPr>
              <w:t xml:space="preserve"> </w:t>
            </w:r>
          </w:p>
          <w:p w14:paraId="2FCB1E47" w14:textId="77777777" w:rsidR="00393D1B" w:rsidRDefault="00393D1B" w:rsidP="00DE7796">
            <w:pPr>
              <w:pStyle w:val="3Paragraph"/>
              <w:spacing w:line="260" w:lineRule="exact"/>
              <w:rPr>
                <w:color w:val="auto"/>
              </w:rPr>
            </w:pPr>
          </w:p>
        </w:tc>
      </w:tr>
      <w:tr w:rsidR="00DE7796" w:rsidRPr="005862A9" w14:paraId="1D0061AD" w14:textId="77777777" w:rsidTr="00B12D87">
        <w:tc>
          <w:tcPr>
            <w:tcW w:w="2705" w:type="dxa"/>
          </w:tcPr>
          <w:p w14:paraId="2B45F3D9" w14:textId="0C23A91F" w:rsidR="00DE7796" w:rsidRDefault="00DE7796" w:rsidP="0013785F">
            <w:pPr>
              <w:pStyle w:val="3Paragraph"/>
              <w:spacing w:line="260" w:lineRule="exact"/>
              <w:rPr>
                <w:color w:val="auto"/>
              </w:rPr>
            </w:pPr>
            <w:r>
              <w:rPr>
                <w:color w:val="auto"/>
              </w:rPr>
              <w:t>EarthCraft</w:t>
            </w:r>
          </w:p>
        </w:tc>
        <w:tc>
          <w:tcPr>
            <w:tcW w:w="6655" w:type="dxa"/>
          </w:tcPr>
          <w:p w14:paraId="5F8143E7" w14:textId="77777777" w:rsidR="00DE7796" w:rsidRDefault="00DE7796" w:rsidP="00DE7796">
            <w:pPr>
              <w:pStyle w:val="3Paragraph"/>
              <w:spacing w:line="260" w:lineRule="exact"/>
              <w:rPr>
                <w:color w:val="auto"/>
              </w:rPr>
            </w:pPr>
            <w:r>
              <w:rPr>
                <w:color w:val="auto"/>
              </w:rPr>
              <w:t xml:space="preserve">EarthCraft is a high-performance building certification program developed to address the challenging energy, </w:t>
            </w:r>
            <w:proofErr w:type="gramStart"/>
            <w:r>
              <w:rPr>
                <w:color w:val="auto"/>
              </w:rPr>
              <w:t>water</w:t>
            </w:r>
            <w:proofErr w:type="gramEnd"/>
            <w:r>
              <w:rPr>
                <w:color w:val="auto"/>
              </w:rPr>
              <w:t xml:space="preserve"> and climate conditions in the Southeast. EarthCraft offers Communities, House, Light Commercial, Multifamily, Renovation, and Sustainable Preservation programs. (</w:t>
            </w:r>
            <w:hyperlink r:id="rId40" w:history="1">
              <w:r>
                <w:rPr>
                  <w:rStyle w:val="Hyperlink"/>
                </w:rPr>
                <w:t>EarthCraft</w:t>
              </w:r>
            </w:hyperlink>
            <w:r>
              <w:rPr>
                <w:color w:val="auto"/>
              </w:rPr>
              <w:t>)</w:t>
            </w:r>
          </w:p>
          <w:p w14:paraId="35A884EE" w14:textId="77777777" w:rsidR="00DE7796" w:rsidRPr="00753AD1" w:rsidRDefault="00DE7796" w:rsidP="0013785F">
            <w:pPr>
              <w:pStyle w:val="3Paragraph"/>
              <w:spacing w:line="260" w:lineRule="exact"/>
              <w:rPr>
                <w:color w:val="auto"/>
              </w:rPr>
            </w:pPr>
          </w:p>
        </w:tc>
      </w:tr>
      <w:tr w:rsidR="00753AD1" w:rsidRPr="005862A9" w14:paraId="4C9732A3" w14:textId="77777777" w:rsidTr="00B12D87">
        <w:tc>
          <w:tcPr>
            <w:tcW w:w="2705" w:type="dxa"/>
          </w:tcPr>
          <w:p w14:paraId="320E8379" w14:textId="7B433ECE" w:rsidR="00753AD1" w:rsidRPr="005862A9" w:rsidRDefault="00753AD1" w:rsidP="0013785F">
            <w:pPr>
              <w:pStyle w:val="3Paragraph"/>
              <w:spacing w:line="260" w:lineRule="exact"/>
              <w:rPr>
                <w:color w:val="auto"/>
              </w:rPr>
            </w:pPr>
            <w:r>
              <w:rPr>
                <w:color w:val="auto"/>
              </w:rPr>
              <w:t xml:space="preserve">Electric Grid </w:t>
            </w:r>
          </w:p>
        </w:tc>
        <w:tc>
          <w:tcPr>
            <w:tcW w:w="6655" w:type="dxa"/>
          </w:tcPr>
          <w:p w14:paraId="7B5D2237" w14:textId="459B4229" w:rsidR="00753AD1" w:rsidRDefault="00753AD1" w:rsidP="0013785F">
            <w:pPr>
              <w:pStyle w:val="3Paragraph"/>
              <w:spacing w:line="260" w:lineRule="exact"/>
              <w:rPr>
                <w:color w:val="auto"/>
              </w:rPr>
            </w:pPr>
            <w:r w:rsidRPr="00753AD1">
              <w:rPr>
                <w:color w:val="auto"/>
              </w:rPr>
              <w:t>The electricity grid is a complex machine in which electricity is generated at centralized power plants and decentralized units and is transported through a system of substations, transformers and transmission lines that deliver the product to its end-user, the consumer.</w:t>
            </w:r>
            <w:r w:rsidR="00C9215A">
              <w:rPr>
                <w:color w:val="auto"/>
              </w:rPr>
              <w:t xml:space="preserve"> (</w:t>
            </w:r>
            <w:hyperlink r:id="rId41" w:history="1">
              <w:r w:rsidR="00C9215A" w:rsidRPr="00C9215A">
                <w:rPr>
                  <w:rStyle w:val="Hyperlink"/>
                </w:rPr>
                <w:t>EPA</w:t>
              </w:r>
            </w:hyperlink>
            <w:r w:rsidR="00C9215A">
              <w:rPr>
                <w:color w:val="auto"/>
              </w:rPr>
              <w:t>)</w:t>
            </w:r>
          </w:p>
          <w:p w14:paraId="71D67D70" w14:textId="61725CC0" w:rsidR="00753AD1" w:rsidRPr="005862A9" w:rsidRDefault="00753AD1" w:rsidP="0013785F">
            <w:pPr>
              <w:pStyle w:val="3Paragraph"/>
              <w:spacing w:line="260" w:lineRule="exact"/>
              <w:rPr>
                <w:color w:val="auto"/>
                <w:lang w:val="en-GB"/>
              </w:rPr>
            </w:pPr>
          </w:p>
        </w:tc>
      </w:tr>
      <w:tr w:rsidR="00B5589F" w:rsidRPr="005862A9" w14:paraId="5C8AB0C1" w14:textId="77777777" w:rsidTr="00B12D87">
        <w:tc>
          <w:tcPr>
            <w:tcW w:w="2705" w:type="dxa"/>
          </w:tcPr>
          <w:p w14:paraId="07CBC330" w14:textId="77777777" w:rsidR="00B5589F" w:rsidRPr="005862A9" w:rsidRDefault="00B5589F" w:rsidP="0013785F">
            <w:pPr>
              <w:pStyle w:val="3Paragraph"/>
              <w:spacing w:line="260" w:lineRule="exact"/>
              <w:rPr>
                <w:color w:val="auto"/>
              </w:rPr>
            </w:pPr>
            <w:r w:rsidRPr="005862A9">
              <w:rPr>
                <w:color w:val="auto"/>
              </w:rPr>
              <w:lastRenderedPageBreak/>
              <w:t>Electric Vehicle</w:t>
            </w:r>
          </w:p>
          <w:p w14:paraId="2F0BB984" w14:textId="77777777" w:rsidR="00B5589F" w:rsidRPr="005862A9" w:rsidRDefault="00B5589F" w:rsidP="0013785F">
            <w:pPr>
              <w:pStyle w:val="3Paragraph"/>
              <w:spacing w:line="260" w:lineRule="exact"/>
              <w:rPr>
                <w:color w:val="auto"/>
              </w:rPr>
            </w:pPr>
          </w:p>
        </w:tc>
        <w:tc>
          <w:tcPr>
            <w:tcW w:w="6655" w:type="dxa"/>
          </w:tcPr>
          <w:p w14:paraId="6FD8D5D1" w14:textId="77777777" w:rsidR="00B5589F" w:rsidRPr="005862A9" w:rsidRDefault="00B5589F" w:rsidP="0013785F">
            <w:pPr>
              <w:pStyle w:val="3Paragraph"/>
              <w:spacing w:line="260" w:lineRule="exact"/>
              <w:rPr>
                <w:color w:val="auto"/>
                <w:lang w:val="en-GB"/>
              </w:rPr>
            </w:pPr>
            <w:r w:rsidRPr="005862A9">
              <w:rPr>
                <w:color w:val="auto"/>
                <w:lang w:val="en-GB"/>
              </w:rPr>
              <w:t>There are two primary types of Electric Vehicles: 1) Plug-in Hybrid Electric Vehicles (PHEVs) and, 2) Battery Electric Vehicles (BEVs) or All-Electric Vehicles (AEVs). PHEVs have an Internal Combustion Engine (ICE) that is used once the battery has been depleted. BEVs/AEVs do not have an ICE and rely solely on electricity from a battery. (</w:t>
            </w:r>
            <w:hyperlink r:id="rId42" w:history="1">
              <w:r w:rsidRPr="005862A9">
                <w:rPr>
                  <w:rStyle w:val="Hyperlink"/>
                  <w:lang w:val="en-GB"/>
                </w:rPr>
                <w:t>Adapted from Cadmus Pathways to EV</w:t>
              </w:r>
            </w:hyperlink>
            <w:r w:rsidRPr="005862A9">
              <w:rPr>
                <w:color w:val="auto"/>
                <w:lang w:val="en-GB"/>
              </w:rPr>
              <w:t>)</w:t>
            </w:r>
          </w:p>
          <w:p w14:paraId="6C8F9D19" w14:textId="77777777" w:rsidR="00B5589F" w:rsidRPr="005862A9" w:rsidRDefault="00B5589F" w:rsidP="0013785F">
            <w:pPr>
              <w:spacing w:line="260" w:lineRule="exact"/>
              <w:rPr>
                <w:rFonts w:ascii="Franklin Gothic Book" w:hAnsi="Franklin Gothic Book"/>
                <w:color w:val="auto"/>
                <w:sz w:val="22"/>
                <w:szCs w:val="22"/>
              </w:rPr>
            </w:pPr>
          </w:p>
        </w:tc>
      </w:tr>
      <w:tr w:rsidR="008377C6" w:rsidRPr="005862A9" w14:paraId="1937272F" w14:textId="77777777" w:rsidTr="00B12D87">
        <w:tc>
          <w:tcPr>
            <w:tcW w:w="2705" w:type="dxa"/>
          </w:tcPr>
          <w:p w14:paraId="16D3F425" w14:textId="5DD71C08" w:rsidR="008377C6" w:rsidRPr="005862A9" w:rsidRDefault="008377C6" w:rsidP="0013785F">
            <w:pPr>
              <w:pStyle w:val="3Paragraph"/>
              <w:spacing w:line="260" w:lineRule="exact"/>
              <w:rPr>
                <w:color w:val="auto"/>
              </w:rPr>
            </w:pPr>
            <w:r>
              <w:rPr>
                <w:color w:val="auto"/>
              </w:rPr>
              <w:t>Electric Vehicle (EV)-Ready Building Codes</w:t>
            </w:r>
          </w:p>
        </w:tc>
        <w:tc>
          <w:tcPr>
            <w:tcW w:w="6655" w:type="dxa"/>
          </w:tcPr>
          <w:p w14:paraId="55BA7CEC" w14:textId="77777777" w:rsidR="008377C6" w:rsidRDefault="008377C6" w:rsidP="008377C6">
            <w:pPr>
              <w:pStyle w:val="3Paragraph"/>
              <w:spacing w:line="260" w:lineRule="exact"/>
              <w:rPr>
                <w:color w:val="auto"/>
              </w:rPr>
            </w:pPr>
            <w:r>
              <w:rPr>
                <w:color w:val="auto"/>
              </w:rPr>
              <w:t>EV-Ready Building Codes are rules and regulations that dictate how EV charging stations must be constructed in residential and commercial buildings. They are used to ensure that the building’s electrical capacity is adequate and other infrastructure is in place to facilitate the possibility of a charging station, so that buildings are ‘ready’ for their installation in the future. (</w:t>
            </w:r>
            <w:hyperlink r:id="rId43" w:history="1">
              <w:r>
                <w:rPr>
                  <w:rStyle w:val="Hyperlink"/>
                </w:rPr>
                <w:t>ChargePoint</w:t>
              </w:r>
            </w:hyperlink>
            <w:r>
              <w:rPr>
                <w:color w:val="auto"/>
              </w:rPr>
              <w:t>)</w:t>
            </w:r>
          </w:p>
          <w:p w14:paraId="5C49E085" w14:textId="77777777" w:rsidR="008377C6" w:rsidRPr="005862A9" w:rsidRDefault="008377C6" w:rsidP="0013785F">
            <w:pPr>
              <w:pStyle w:val="3Paragraph"/>
              <w:spacing w:line="260" w:lineRule="exact"/>
              <w:rPr>
                <w:color w:val="auto"/>
              </w:rPr>
            </w:pPr>
          </w:p>
        </w:tc>
      </w:tr>
      <w:tr w:rsidR="00B5589F" w:rsidRPr="005862A9" w14:paraId="610B7C58" w14:textId="77777777" w:rsidTr="00B12D87">
        <w:tc>
          <w:tcPr>
            <w:tcW w:w="2705" w:type="dxa"/>
          </w:tcPr>
          <w:p w14:paraId="4FABD2E0" w14:textId="77777777" w:rsidR="00B5589F" w:rsidRPr="005862A9" w:rsidRDefault="00B5589F" w:rsidP="0013785F">
            <w:pPr>
              <w:pStyle w:val="3Paragraph"/>
              <w:spacing w:line="260" w:lineRule="exact"/>
              <w:rPr>
                <w:color w:val="auto"/>
              </w:rPr>
            </w:pPr>
            <w:r w:rsidRPr="005862A9">
              <w:rPr>
                <w:color w:val="auto"/>
              </w:rPr>
              <w:t>Electric Vehicle Supply Equipment (EVSE)</w:t>
            </w:r>
          </w:p>
          <w:p w14:paraId="0DC5B165" w14:textId="77777777" w:rsidR="00B5589F" w:rsidRPr="005862A9" w:rsidRDefault="00B5589F" w:rsidP="0013785F">
            <w:pPr>
              <w:pStyle w:val="3Paragraph"/>
              <w:spacing w:line="260" w:lineRule="exact"/>
              <w:rPr>
                <w:color w:val="auto"/>
              </w:rPr>
            </w:pPr>
          </w:p>
        </w:tc>
        <w:tc>
          <w:tcPr>
            <w:tcW w:w="6655" w:type="dxa"/>
          </w:tcPr>
          <w:p w14:paraId="7433373F" w14:textId="77777777" w:rsidR="00B5589F" w:rsidRPr="005862A9" w:rsidRDefault="00B5589F" w:rsidP="0013785F">
            <w:pPr>
              <w:pStyle w:val="3Paragraph"/>
              <w:spacing w:line="260" w:lineRule="exact"/>
              <w:rPr>
                <w:color w:val="auto"/>
              </w:rPr>
            </w:pPr>
            <w:r w:rsidRPr="005862A9">
              <w:rPr>
                <w:color w:val="auto"/>
              </w:rPr>
              <w:t>Electric Vehicle Supply Equipment (EVSE) is used to supply electric energy to recharge electric vehicles. EVSEs are also known as EV charging stations, electric recharging points or just charging points. EVSEs can provide a charge for the operation of electric vehicles or plug-in hybrid electric-gasoline vehicles. (</w:t>
            </w:r>
            <w:hyperlink r:id="rId44" w:history="1">
              <w:r w:rsidRPr="005862A9">
                <w:rPr>
                  <w:rStyle w:val="Hyperlink"/>
                </w:rPr>
                <w:t>Mr. Electric</w:t>
              </w:r>
            </w:hyperlink>
            <w:r w:rsidRPr="005862A9">
              <w:rPr>
                <w:color w:val="auto"/>
              </w:rPr>
              <w:t>)</w:t>
            </w:r>
          </w:p>
          <w:p w14:paraId="6BDB57A2" w14:textId="77777777" w:rsidR="00B5589F" w:rsidRPr="005862A9" w:rsidRDefault="00B5589F" w:rsidP="0013785F">
            <w:pPr>
              <w:pStyle w:val="3Paragraph"/>
              <w:spacing w:line="260" w:lineRule="exact"/>
              <w:rPr>
                <w:color w:val="auto"/>
              </w:rPr>
            </w:pPr>
          </w:p>
          <w:p w14:paraId="58BDC37B" w14:textId="77777777" w:rsidR="00B5589F" w:rsidRPr="005862A9" w:rsidRDefault="00B5589F" w:rsidP="0013785F">
            <w:pPr>
              <w:pStyle w:val="3Paragraph"/>
              <w:spacing w:line="260" w:lineRule="exact"/>
              <w:rPr>
                <w:color w:val="auto"/>
                <w:lang w:val="en-GB"/>
              </w:rPr>
            </w:pPr>
            <w:r w:rsidRPr="005862A9">
              <w:rPr>
                <w:color w:val="auto"/>
                <w:lang w:val="en-GB"/>
              </w:rPr>
              <w:t>Charging stations have different levels to charge your vehicle: Level 1, Level 2, Level 3 DC Fast Charging, and Tesla Supercharging (which only charges Tesla vehicles). All electric cars can charge on Level 1 and Level 2 options. However, some vehicles cannot charge at a Level 3 charger. Knowing your vehicle’s capabilities is therefore very important. (</w:t>
            </w:r>
            <w:proofErr w:type="spellStart"/>
            <w:r w:rsidR="001A3892">
              <w:fldChar w:fldCharType="begin"/>
            </w:r>
            <w:r w:rsidR="001A3892">
              <w:instrText xml:space="preserve"> HYPERLINK "https://www.evgo.com/ev-drivers/customer-resources/" </w:instrText>
            </w:r>
            <w:r w:rsidR="001A3892">
              <w:fldChar w:fldCharType="separate"/>
            </w:r>
            <w:r w:rsidRPr="005862A9">
              <w:rPr>
                <w:rStyle w:val="Hyperlink"/>
                <w:lang w:val="en-GB"/>
              </w:rPr>
              <w:t>EVgo</w:t>
            </w:r>
            <w:proofErr w:type="spellEnd"/>
            <w:r w:rsidR="001A3892">
              <w:rPr>
                <w:rStyle w:val="Hyperlink"/>
                <w:lang w:val="en-GB"/>
              </w:rPr>
              <w:fldChar w:fldCharType="end"/>
            </w:r>
            <w:r w:rsidRPr="005862A9">
              <w:rPr>
                <w:color w:val="auto"/>
                <w:lang w:val="en-GB"/>
              </w:rPr>
              <w:t>)</w:t>
            </w:r>
          </w:p>
          <w:p w14:paraId="0301399A"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15147BF0" w14:textId="77777777" w:rsidTr="00B12D87">
        <w:tc>
          <w:tcPr>
            <w:tcW w:w="2705" w:type="dxa"/>
          </w:tcPr>
          <w:p w14:paraId="10AE2D0B" w14:textId="77777777" w:rsidR="00B5589F" w:rsidRPr="005862A9" w:rsidRDefault="00B5589F" w:rsidP="0013785F">
            <w:pPr>
              <w:pStyle w:val="3Paragraph"/>
              <w:spacing w:line="260" w:lineRule="exact"/>
              <w:rPr>
                <w:color w:val="auto"/>
              </w:rPr>
            </w:pPr>
            <w:r w:rsidRPr="005862A9">
              <w:rPr>
                <w:color w:val="auto"/>
              </w:rPr>
              <w:t>Emissions Forecast</w:t>
            </w:r>
          </w:p>
        </w:tc>
        <w:tc>
          <w:tcPr>
            <w:tcW w:w="6655" w:type="dxa"/>
          </w:tcPr>
          <w:p w14:paraId="0502A6C9" w14:textId="77777777" w:rsidR="00B5589F" w:rsidRPr="005862A9" w:rsidRDefault="00B5589F" w:rsidP="0013785F">
            <w:pPr>
              <w:pStyle w:val="3Paragraph"/>
              <w:spacing w:line="260" w:lineRule="exact"/>
              <w:rPr>
                <w:color w:val="auto"/>
              </w:rPr>
            </w:pPr>
            <w:r w:rsidRPr="005862A9">
              <w:rPr>
                <w:color w:val="auto"/>
              </w:rPr>
              <w:t>Estimates of future year emissions determined by projecting the effects of economic growth and existing regulations on future year emission inventories. The forecasts can be used for a variety of purposes including modeling of future air quality, assessing the effectiveness of proposed control measures, analyzing new source impacts, and tracking progress towards clean air. (</w:t>
            </w:r>
            <w:hyperlink r:id="rId45" w:history="1">
              <w:r w:rsidRPr="005862A9">
                <w:rPr>
                  <w:rStyle w:val="Hyperlink"/>
                </w:rPr>
                <w:t>Imperial County Air Pollution Control District</w:t>
              </w:r>
            </w:hyperlink>
            <w:r w:rsidRPr="005862A9">
              <w:rPr>
                <w:color w:val="auto"/>
              </w:rPr>
              <w:t>)</w:t>
            </w:r>
          </w:p>
          <w:p w14:paraId="51C531CE"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35C81210" w14:textId="77777777" w:rsidTr="00B12D87">
        <w:tc>
          <w:tcPr>
            <w:tcW w:w="2705" w:type="dxa"/>
          </w:tcPr>
          <w:p w14:paraId="4DE36055" w14:textId="77777777" w:rsidR="00B5589F" w:rsidRPr="005862A9" w:rsidRDefault="00B5589F" w:rsidP="0013785F">
            <w:pPr>
              <w:pStyle w:val="3Paragraph"/>
              <w:spacing w:line="260" w:lineRule="exact"/>
              <w:rPr>
                <w:color w:val="auto"/>
              </w:rPr>
            </w:pPr>
            <w:r w:rsidRPr="005862A9">
              <w:rPr>
                <w:color w:val="auto"/>
              </w:rPr>
              <w:t>Emissions Inventory</w:t>
            </w:r>
          </w:p>
        </w:tc>
        <w:tc>
          <w:tcPr>
            <w:tcW w:w="6655" w:type="dxa"/>
          </w:tcPr>
          <w:p w14:paraId="26F374EC" w14:textId="77777777" w:rsidR="00B5589F" w:rsidRPr="005862A9" w:rsidRDefault="00B5589F" w:rsidP="0013785F">
            <w:pPr>
              <w:pStyle w:val="3Paragraph"/>
              <w:spacing w:line="260" w:lineRule="exact"/>
              <w:rPr>
                <w:color w:val="auto"/>
              </w:rPr>
            </w:pPr>
            <w:r w:rsidRPr="005862A9">
              <w:rPr>
                <w:color w:val="auto"/>
              </w:rPr>
              <w:t>An estimate of the amount of pollutants emitted into the atmosphere from major mobile, stationary, area-</w:t>
            </w:r>
            <w:proofErr w:type="gramStart"/>
            <w:r w:rsidRPr="005862A9">
              <w:rPr>
                <w:color w:val="auto"/>
              </w:rPr>
              <w:t>wide</w:t>
            </w:r>
            <w:proofErr w:type="gramEnd"/>
            <w:r w:rsidRPr="005862A9">
              <w:rPr>
                <w:color w:val="auto"/>
              </w:rPr>
              <w:t xml:space="preserve"> and natural source categories over a specific period of time such as a day or a year. </w:t>
            </w:r>
            <w:r w:rsidRPr="005862A9">
              <w:rPr>
                <w:iCs/>
                <w:color w:val="auto"/>
              </w:rPr>
              <w:t>(</w:t>
            </w:r>
            <w:hyperlink r:id="rId46" w:anchor="search_anchor" w:history="1">
              <w:r w:rsidRPr="005862A9">
                <w:rPr>
                  <w:rStyle w:val="Hyperlink"/>
                  <w:iCs/>
                </w:rPr>
                <w:t>California Air Resources Board</w:t>
              </w:r>
            </w:hyperlink>
            <w:r w:rsidRPr="005862A9">
              <w:rPr>
                <w:iCs/>
                <w:color w:val="auto"/>
              </w:rPr>
              <w:t>)</w:t>
            </w:r>
          </w:p>
          <w:p w14:paraId="64D9459E" w14:textId="77777777" w:rsidR="00B5589F" w:rsidRPr="005862A9" w:rsidRDefault="00B5589F" w:rsidP="0013785F">
            <w:pPr>
              <w:pStyle w:val="3Paragraph"/>
              <w:spacing w:line="260" w:lineRule="exact"/>
              <w:rPr>
                <w:color w:val="auto"/>
              </w:rPr>
            </w:pPr>
          </w:p>
          <w:p w14:paraId="7E50ADF7" w14:textId="45482D0E" w:rsidR="00B5589F" w:rsidRPr="005862A9" w:rsidRDefault="00B5589F" w:rsidP="0013785F">
            <w:pPr>
              <w:pStyle w:val="3Paragraph"/>
              <w:spacing w:line="260" w:lineRule="exact"/>
              <w:rPr>
                <w:color w:val="auto"/>
                <w:lang w:val="en-GB"/>
              </w:rPr>
            </w:pPr>
            <w:r w:rsidRPr="005862A9">
              <w:rPr>
                <w:color w:val="auto"/>
                <w:lang w:val="en-GB"/>
              </w:rPr>
              <w:t xml:space="preserve">A comprehensive, quantified list of a community’s or organization’s GHG emissions and sources. </w:t>
            </w:r>
            <w:r w:rsidR="007E4168">
              <w:t>(</w:t>
            </w:r>
            <w:hyperlink r:id="rId47" w:history="1">
              <w:r w:rsidR="007E4168">
                <w:rPr>
                  <w:rStyle w:val="Hyperlink"/>
                </w:rPr>
                <w:t>ICLEI</w:t>
              </w:r>
            </w:hyperlink>
            <w:r w:rsidR="007E4168">
              <w:t>)</w:t>
            </w:r>
          </w:p>
          <w:p w14:paraId="782EC853"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21E27333" w14:textId="77777777" w:rsidTr="00B12D87">
        <w:tc>
          <w:tcPr>
            <w:tcW w:w="2705" w:type="dxa"/>
          </w:tcPr>
          <w:p w14:paraId="5769B7AB" w14:textId="77777777" w:rsidR="00B5589F" w:rsidRPr="005862A9" w:rsidRDefault="00B5589F" w:rsidP="0013785F">
            <w:pPr>
              <w:pStyle w:val="3Paragraph"/>
              <w:spacing w:line="260" w:lineRule="exact"/>
              <w:rPr>
                <w:color w:val="auto"/>
              </w:rPr>
            </w:pPr>
            <w:r w:rsidRPr="005862A9">
              <w:rPr>
                <w:color w:val="auto"/>
              </w:rPr>
              <w:t>Emissions Per Capita</w:t>
            </w:r>
          </w:p>
        </w:tc>
        <w:tc>
          <w:tcPr>
            <w:tcW w:w="6655" w:type="dxa"/>
          </w:tcPr>
          <w:p w14:paraId="0DB7FC62" w14:textId="77777777" w:rsidR="00B5589F" w:rsidRPr="005862A9" w:rsidRDefault="00B5589F" w:rsidP="0013785F">
            <w:pPr>
              <w:pStyle w:val="3Paragraph"/>
              <w:spacing w:line="260" w:lineRule="exact"/>
              <w:rPr>
                <w:color w:val="auto"/>
              </w:rPr>
            </w:pPr>
            <w:r w:rsidRPr="005862A9">
              <w:rPr>
                <w:color w:val="auto"/>
              </w:rPr>
              <w:t>The total amount of greenhouse gas emitted by a country per unit of population. (</w:t>
            </w:r>
            <w:hyperlink r:id="rId48" w:history="1">
              <w:r w:rsidRPr="005862A9">
                <w:rPr>
                  <w:rStyle w:val="Hyperlink"/>
                </w:rPr>
                <w:t>BBC</w:t>
              </w:r>
            </w:hyperlink>
            <w:r w:rsidRPr="005862A9">
              <w:rPr>
                <w:color w:val="auto"/>
              </w:rPr>
              <w:t>)</w:t>
            </w:r>
          </w:p>
          <w:p w14:paraId="6659E63C"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63AB4F50" w14:textId="77777777" w:rsidTr="00B12D87">
        <w:tc>
          <w:tcPr>
            <w:tcW w:w="2705" w:type="dxa"/>
          </w:tcPr>
          <w:p w14:paraId="076A387C" w14:textId="77777777" w:rsidR="00B5589F" w:rsidRPr="005862A9" w:rsidRDefault="00B5589F" w:rsidP="0013785F">
            <w:pPr>
              <w:pStyle w:val="3Paragraph"/>
              <w:spacing w:line="260" w:lineRule="exact"/>
              <w:rPr>
                <w:color w:val="auto"/>
              </w:rPr>
            </w:pPr>
            <w:r w:rsidRPr="005862A9">
              <w:rPr>
                <w:color w:val="auto"/>
              </w:rPr>
              <w:t>Emissions Scenario</w:t>
            </w:r>
          </w:p>
        </w:tc>
        <w:tc>
          <w:tcPr>
            <w:tcW w:w="6655" w:type="dxa"/>
          </w:tcPr>
          <w:p w14:paraId="11058F11" w14:textId="77777777" w:rsidR="00B5589F" w:rsidRPr="005862A9" w:rsidRDefault="00B5589F" w:rsidP="0013785F">
            <w:pPr>
              <w:pStyle w:val="3Paragraph"/>
              <w:spacing w:line="260" w:lineRule="exact"/>
              <w:rPr>
                <w:color w:val="auto"/>
              </w:rPr>
            </w:pPr>
            <w:r w:rsidRPr="005862A9">
              <w:rPr>
                <w:color w:val="auto"/>
              </w:rPr>
              <w:t>A plausible representation of the future development of emissions of</w:t>
            </w:r>
          </w:p>
          <w:p w14:paraId="1D4E447D" w14:textId="77777777" w:rsidR="00B5589F" w:rsidRPr="005862A9" w:rsidRDefault="00B5589F" w:rsidP="0013785F">
            <w:pPr>
              <w:pStyle w:val="3Paragraph"/>
              <w:spacing w:line="260" w:lineRule="exact"/>
              <w:rPr>
                <w:color w:val="auto"/>
              </w:rPr>
            </w:pPr>
            <w:r w:rsidRPr="005862A9">
              <w:rPr>
                <w:color w:val="auto"/>
              </w:rPr>
              <w:t>substances that are potentially radiatively active (e.g., greenhouse</w:t>
            </w:r>
          </w:p>
          <w:p w14:paraId="5EA6238F" w14:textId="77777777" w:rsidR="00B5589F" w:rsidRPr="005862A9" w:rsidRDefault="00B5589F" w:rsidP="0013785F">
            <w:pPr>
              <w:pStyle w:val="3Paragraph"/>
              <w:spacing w:line="260" w:lineRule="exact"/>
              <w:rPr>
                <w:color w:val="auto"/>
              </w:rPr>
            </w:pPr>
            <w:r w:rsidRPr="005862A9">
              <w:rPr>
                <w:color w:val="auto"/>
              </w:rPr>
              <w:lastRenderedPageBreak/>
              <w:t>gases, aerosols) based on a coherent and internally consistent set</w:t>
            </w:r>
          </w:p>
          <w:p w14:paraId="26AF0EFA" w14:textId="77777777" w:rsidR="00B5589F" w:rsidRPr="005862A9" w:rsidRDefault="00B5589F" w:rsidP="0013785F">
            <w:pPr>
              <w:pStyle w:val="3Paragraph"/>
              <w:spacing w:line="260" w:lineRule="exact"/>
              <w:rPr>
                <w:color w:val="auto"/>
              </w:rPr>
            </w:pPr>
            <w:r w:rsidRPr="005862A9">
              <w:rPr>
                <w:color w:val="auto"/>
              </w:rPr>
              <w:t>of assumptions about driving forces (such as demographic and</w:t>
            </w:r>
          </w:p>
          <w:p w14:paraId="24DE411F" w14:textId="77777777" w:rsidR="00B5589F" w:rsidRPr="005862A9" w:rsidRDefault="00B5589F" w:rsidP="0013785F">
            <w:pPr>
              <w:pStyle w:val="3Paragraph"/>
              <w:spacing w:line="260" w:lineRule="exact"/>
              <w:rPr>
                <w:color w:val="auto"/>
              </w:rPr>
            </w:pPr>
            <w:r w:rsidRPr="005862A9">
              <w:rPr>
                <w:color w:val="auto"/>
              </w:rPr>
              <w:t>socioeconomic development, technological change) and their key</w:t>
            </w:r>
          </w:p>
          <w:p w14:paraId="7D7513DB" w14:textId="4E27C3B1" w:rsidR="00B5589F" w:rsidRDefault="00B5589F" w:rsidP="0013785F">
            <w:pPr>
              <w:pStyle w:val="3Paragraph"/>
              <w:spacing w:line="260" w:lineRule="exact"/>
              <w:rPr>
                <w:color w:val="auto"/>
              </w:rPr>
            </w:pPr>
            <w:r w:rsidRPr="005862A9">
              <w:rPr>
                <w:color w:val="auto"/>
              </w:rPr>
              <w:t>relationships. Concentration scenarios, derived from emission scenarios,</w:t>
            </w:r>
            <w:r>
              <w:rPr>
                <w:color w:val="auto"/>
              </w:rPr>
              <w:t xml:space="preserve"> </w:t>
            </w:r>
            <w:r w:rsidRPr="005862A9">
              <w:rPr>
                <w:color w:val="auto"/>
              </w:rPr>
              <w:t>are used as input to a climate model to compute climate projections. (</w:t>
            </w:r>
            <w:hyperlink r:id="rId49" w:history="1">
              <w:r w:rsidRPr="005862A9">
                <w:rPr>
                  <w:rStyle w:val="Hyperlink"/>
                </w:rPr>
                <w:t>IPCC</w:t>
              </w:r>
            </w:hyperlink>
            <w:r w:rsidRPr="005862A9">
              <w:rPr>
                <w:color w:val="auto"/>
              </w:rPr>
              <w:t>)</w:t>
            </w:r>
          </w:p>
          <w:p w14:paraId="668B34F7" w14:textId="057BD581" w:rsidR="00EC5857" w:rsidRDefault="00EC5857" w:rsidP="0013785F">
            <w:pPr>
              <w:pStyle w:val="3Paragraph"/>
              <w:spacing w:line="260" w:lineRule="exact"/>
              <w:rPr>
                <w:color w:val="auto"/>
              </w:rPr>
            </w:pPr>
          </w:p>
          <w:p w14:paraId="7ABA6D4F" w14:textId="7FAACB74" w:rsidR="00EC5857" w:rsidRPr="005862A9" w:rsidRDefault="00EC5857" w:rsidP="0013785F">
            <w:pPr>
              <w:pStyle w:val="3Paragraph"/>
              <w:spacing w:line="260" w:lineRule="exact"/>
              <w:rPr>
                <w:color w:val="auto"/>
              </w:rPr>
            </w:pPr>
            <w:r>
              <w:rPr>
                <w:color w:val="auto"/>
              </w:rPr>
              <w:t>A “What Would It Take” scenario is a goal-oriented scenario that tries to answer the question of what it would take to meet a specified greenhouse gas emission reduction goal. (</w:t>
            </w:r>
            <w:hyperlink r:id="rId50" w:history="1">
              <w:r>
                <w:rPr>
                  <w:rStyle w:val="Hyperlink"/>
                </w:rPr>
                <w:t>COG</w:t>
              </w:r>
            </w:hyperlink>
            <w:r>
              <w:rPr>
                <w:color w:val="auto"/>
              </w:rPr>
              <w:t>)</w:t>
            </w:r>
          </w:p>
          <w:p w14:paraId="0F87B159"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3E7B33FF" w14:textId="77777777" w:rsidTr="00B12D87">
        <w:tc>
          <w:tcPr>
            <w:tcW w:w="2705" w:type="dxa"/>
          </w:tcPr>
          <w:p w14:paraId="3E0EA1CE" w14:textId="77777777" w:rsidR="00B5589F" w:rsidRPr="005862A9" w:rsidRDefault="00B5589F" w:rsidP="0013785F">
            <w:pPr>
              <w:pStyle w:val="3Paragraph"/>
              <w:spacing w:line="260" w:lineRule="exact"/>
              <w:rPr>
                <w:color w:val="auto"/>
              </w:rPr>
            </w:pPr>
            <w:r w:rsidRPr="005862A9">
              <w:rPr>
                <w:color w:val="auto"/>
              </w:rPr>
              <w:lastRenderedPageBreak/>
              <w:t>Emissions Trading System (ETS)</w:t>
            </w:r>
          </w:p>
          <w:p w14:paraId="52622B56" w14:textId="77777777" w:rsidR="00B5589F" w:rsidRPr="005862A9" w:rsidRDefault="00B5589F" w:rsidP="0013785F">
            <w:pPr>
              <w:pStyle w:val="3Paragraph"/>
              <w:spacing w:line="260" w:lineRule="exact"/>
              <w:rPr>
                <w:color w:val="auto"/>
              </w:rPr>
            </w:pPr>
          </w:p>
        </w:tc>
        <w:tc>
          <w:tcPr>
            <w:tcW w:w="6655" w:type="dxa"/>
          </w:tcPr>
          <w:p w14:paraId="1B25515E" w14:textId="77777777" w:rsidR="00B5589F" w:rsidRPr="005862A9" w:rsidRDefault="00B5589F" w:rsidP="0013785F">
            <w:pPr>
              <w:pStyle w:val="3Paragraph"/>
              <w:spacing w:line="260" w:lineRule="exact"/>
              <w:rPr>
                <w:color w:val="auto"/>
                <w:lang w:val="en-GB"/>
              </w:rPr>
            </w:pPr>
            <w:r w:rsidRPr="005862A9">
              <w:rPr>
                <w:color w:val="auto"/>
                <w:lang w:val="en-GB"/>
              </w:rPr>
              <w:t>An </w:t>
            </w:r>
            <w:r w:rsidRPr="005862A9">
              <w:rPr>
                <w:bCs/>
                <w:color w:val="auto"/>
                <w:lang w:val="en-GB"/>
              </w:rPr>
              <w:t>ETS</w:t>
            </w:r>
            <w:r w:rsidRPr="005862A9">
              <w:rPr>
                <w:b/>
                <w:bCs/>
                <w:color w:val="auto"/>
                <w:lang w:val="en-GB"/>
              </w:rPr>
              <w:t> </w:t>
            </w:r>
            <w:r w:rsidRPr="005862A9">
              <w:rPr>
                <w:color w:val="auto"/>
                <w:lang w:val="en-GB"/>
              </w:rPr>
              <w:t>– sometimes referred to as a cap-and-trade system – caps the total level of greenhouse gas emissions and allows those industries with low emissions to sell their extra allowances to larger emitters. By creating supply and demand for emissions allowances, an ETS establishes a market price for greenhouse gas emissions. The cap helps ensure that the required emission reductions will take place to keep the emitters (in aggregate) within their pre-allocated carbon budget. (</w:t>
            </w:r>
            <w:hyperlink r:id="rId51" w:history="1">
              <w:r w:rsidRPr="005862A9">
                <w:rPr>
                  <w:rStyle w:val="Hyperlink"/>
                  <w:lang w:val="en-GB"/>
                </w:rPr>
                <w:t>World Bank Group</w:t>
              </w:r>
            </w:hyperlink>
            <w:r w:rsidRPr="005862A9">
              <w:rPr>
                <w:color w:val="auto"/>
                <w:lang w:val="en-GB"/>
              </w:rPr>
              <w:t>)</w:t>
            </w:r>
          </w:p>
          <w:p w14:paraId="01AF55CC"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5C560644" w14:textId="77777777" w:rsidTr="00B12D87">
        <w:tc>
          <w:tcPr>
            <w:tcW w:w="2705" w:type="dxa"/>
          </w:tcPr>
          <w:p w14:paraId="1786A305" w14:textId="77777777" w:rsidR="00B5589F" w:rsidRPr="005862A9" w:rsidRDefault="00B5589F" w:rsidP="0013785F">
            <w:pPr>
              <w:pStyle w:val="3Paragraph"/>
              <w:spacing w:line="260" w:lineRule="exact"/>
              <w:rPr>
                <w:color w:val="auto"/>
              </w:rPr>
            </w:pPr>
            <w:r w:rsidRPr="005862A9">
              <w:rPr>
                <w:color w:val="auto"/>
              </w:rPr>
              <w:t>Energy Access</w:t>
            </w:r>
          </w:p>
          <w:p w14:paraId="2328B815" w14:textId="77777777" w:rsidR="00B5589F" w:rsidRPr="005862A9" w:rsidRDefault="00B5589F" w:rsidP="0013785F">
            <w:pPr>
              <w:pStyle w:val="3Paragraph"/>
              <w:spacing w:line="260" w:lineRule="exact"/>
              <w:rPr>
                <w:color w:val="auto"/>
              </w:rPr>
            </w:pPr>
          </w:p>
        </w:tc>
        <w:tc>
          <w:tcPr>
            <w:tcW w:w="6655" w:type="dxa"/>
          </w:tcPr>
          <w:p w14:paraId="6C2AB91F" w14:textId="03CA5E76"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 xml:space="preserve">Energy access refers to “access to secure, sustainable, and affordable energy.” Energy </w:t>
            </w:r>
            <w:r w:rsidR="004431FF">
              <w:rPr>
                <w:rFonts w:ascii="Franklin Gothic Book" w:hAnsi="Franklin Gothic Book"/>
                <w:color w:val="auto"/>
                <w:sz w:val="22"/>
                <w:szCs w:val="22"/>
              </w:rPr>
              <w:t>a</w:t>
            </w:r>
            <w:r w:rsidRPr="005862A9">
              <w:rPr>
                <w:rFonts w:ascii="Franklin Gothic Book" w:hAnsi="Franklin Gothic Book"/>
                <w:color w:val="auto"/>
                <w:sz w:val="22"/>
                <w:szCs w:val="22"/>
              </w:rPr>
              <w:t xml:space="preserve">ccess typically includes the following three components: </w:t>
            </w:r>
          </w:p>
          <w:p w14:paraId="3E0CBCA5" w14:textId="77777777" w:rsidR="00B5589F" w:rsidRPr="005862A9" w:rsidRDefault="00B5589F" w:rsidP="00EC12DE">
            <w:pPr>
              <w:numPr>
                <w:ilvl w:val="0"/>
                <w:numId w:val="26"/>
              </w:num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Access to secure energy: Reduce energy demand, diversify the energy mix with the largest possible share of renewable energy sources, and lower dependence on imported energy and diversify energy supply sources.</w:t>
            </w:r>
          </w:p>
          <w:p w14:paraId="09ADCC74" w14:textId="77777777" w:rsidR="00B5589F" w:rsidRPr="005862A9" w:rsidRDefault="00B5589F" w:rsidP="00EC12DE">
            <w:pPr>
              <w:numPr>
                <w:ilvl w:val="0"/>
                <w:numId w:val="26"/>
              </w:num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Access to sustainable energy: Provide access to grid-based and decentralized renewable energy. Ensure that, where there is currently no access to energy, renewable energy sources are considered first.</w:t>
            </w:r>
          </w:p>
          <w:p w14:paraId="6B892EB1" w14:textId="3BF3FCF6" w:rsidR="00B5589F" w:rsidRPr="005862A9" w:rsidRDefault="00B5589F" w:rsidP="00EC12DE">
            <w:pPr>
              <w:numPr>
                <w:ilvl w:val="0"/>
                <w:numId w:val="26"/>
              </w:numPr>
              <w:spacing w:line="260" w:lineRule="exact"/>
              <w:rPr>
                <w:rFonts w:ascii="Franklin Gothic Book" w:hAnsi="Franklin Gothic Book"/>
                <w:b/>
                <w:bCs/>
                <w:color w:val="auto"/>
                <w:sz w:val="22"/>
                <w:szCs w:val="22"/>
              </w:rPr>
            </w:pPr>
            <w:r w:rsidRPr="005862A9">
              <w:rPr>
                <w:rFonts w:ascii="Franklin Gothic Book" w:hAnsi="Franklin Gothic Book"/>
                <w:color w:val="auto"/>
                <w:sz w:val="22"/>
                <w:szCs w:val="22"/>
              </w:rPr>
              <w:t>Access to affordable energy: Utilize policies, including subsidies or other incentive mechanisms, to promote access to ren</w:t>
            </w:r>
            <w:r w:rsidRPr="007E4168">
              <w:rPr>
                <w:rFonts w:ascii="Franklin Gothic Book" w:hAnsi="Franklin Gothic Book"/>
                <w:color w:val="auto"/>
                <w:sz w:val="22"/>
                <w:szCs w:val="22"/>
              </w:rPr>
              <w:t>ewable energy systems and energy efficiency and conservation. (</w:t>
            </w:r>
            <w:hyperlink r:id="rId52" w:history="1">
              <w:r w:rsidRPr="007E4168">
                <w:rPr>
                  <w:rStyle w:val="Hyperlink"/>
                  <w:rFonts w:ascii="Franklin Gothic Book" w:hAnsi="Franklin Gothic Book"/>
                  <w:sz w:val="22"/>
                  <w:szCs w:val="22"/>
                </w:rPr>
                <w:t>GCoM</w:t>
              </w:r>
            </w:hyperlink>
            <w:r w:rsidRPr="007E4168">
              <w:rPr>
                <w:rFonts w:ascii="Franklin Gothic Book" w:hAnsi="Franklin Gothic Book"/>
                <w:color w:val="auto"/>
                <w:sz w:val="22"/>
                <w:szCs w:val="22"/>
              </w:rPr>
              <w:t>)</w:t>
            </w:r>
          </w:p>
          <w:p w14:paraId="08D1311E" w14:textId="77777777" w:rsidR="00B5589F" w:rsidRPr="005862A9" w:rsidRDefault="00B5589F" w:rsidP="0013785F">
            <w:pPr>
              <w:pStyle w:val="3Paragraph"/>
              <w:spacing w:line="260" w:lineRule="exact"/>
              <w:rPr>
                <w:color w:val="auto"/>
              </w:rPr>
            </w:pPr>
          </w:p>
        </w:tc>
      </w:tr>
      <w:tr w:rsidR="00B5589F" w:rsidRPr="005862A9" w14:paraId="66CA5629" w14:textId="77777777" w:rsidTr="00B12D87">
        <w:tc>
          <w:tcPr>
            <w:tcW w:w="2705" w:type="dxa"/>
          </w:tcPr>
          <w:p w14:paraId="6B3B4BA6" w14:textId="77777777" w:rsidR="00B5589F" w:rsidRPr="005862A9" w:rsidRDefault="00B5589F" w:rsidP="0013785F">
            <w:pPr>
              <w:pStyle w:val="3Paragraph"/>
              <w:spacing w:line="260" w:lineRule="exact"/>
              <w:rPr>
                <w:color w:val="auto"/>
              </w:rPr>
            </w:pPr>
            <w:r w:rsidRPr="005862A9">
              <w:rPr>
                <w:color w:val="auto"/>
              </w:rPr>
              <w:t>Energy Efficiency</w:t>
            </w:r>
          </w:p>
          <w:p w14:paraId="5CD1FD30" w14:textId="77777777" w:rsidR="00B5589F" w:rsidRPr="005862A9" w:rsidRDefault="00B5589F" w:rsidP="0013785F">
            <w:pPr>
              <w:pStyle w:val="3Paragraph"/>
              <w:spacing w:line="260" w:lineRule="exact"/>
              <w:rPr>
                <w:color w:val="auto"/>
              </w:rPr>
            </w:pPr>
          </w:p>
        </w:tc>
        <w:tc>
          <w:tcPr>
            <w:tcW w:w="6655" w:type="dxa"/>
          </w:tcPr>
          <w:p w14:paraId="7EEB0B33" w14:textId="52B4B12D"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Energy efficiency reduces the amount of energy needed to provide the same or improved level of service. Common energy efficiency measures include hundreds of technologies and practices for practically all end-uses across all sectors of the economy. (</w:t>
            </w:r>
            <w:hyperlink r:id="rId53" w:history="1">
              <w:r w:rsidRPr="005862A9">
                <w:rPr>
                  <w:rStyle w:val="Hyperlink"/>
                  <w:rFonts w:ascii="Franklin Gothic Book" w:hAnsi="Franklin Gothic Book"/>
                  <w:sz w:val="22"/>
                  <w:szCs w:val="22"/>
                </w:rPr>
                <w:t>EPA</w:t>
              </w:r>
            </w:hyperlink>
            <w:r w:rsidRPr="005862A9">
              <w:rPr>
                <w:rFonts w:ascii="Franklin Gothic Book" w:hAnsi="Franklin Gothic Book"/>
                <w:color w:val="auto"/>
                <w:sz w:val="22"/>
                <w:szCs w:val="22"/>
              </w:rPr>
              <w:t>)</w:t>
            </w:r>
          </w:p>
          <w:p w14:paraId="1A19B1E5" w14:textId="77777777" w:rsidR="00B5589F" w:rsidRPr="005862A9" w:rsidRDefault="00B5589F" w:rsidP="0013785F">
            <w:pPr>
              <w:pStyle w:val="3Paragraph"/>
              <w:spacing w:line="260" w:lineRule="exact"/>
              <w:rPr>
                <w:color w:val="auto"/>
              </w:rPr>
            </w:pPr>
          </w:p>
        </w:tc>
      </w:tr>
      <w:tr w:rsidR="00B5589F" w:rsidRPr="005862A9" w14:paraId="12F22251" w14:textId="77777777" w:rsidTr="00B12D87">
        <w:tc>
          <w:tcPr>
            <w:tcW w:w="2705" w:type="dxa"/>
          </w:tcPr>
          <w:p w14:paraId="7B585708" w14:textId="77777777" w:rsidR="00B5589F" w:rsidRPr="005862A9" w:rsidRDefault="00B5589F" w:rsidP="0013785F">
            <w:pPr>
              <w:pStyle w:val="3Paragraph"/>
              <w:spacing w:line="260" w:lineRule="exact"/>
              <w:rPr>
                <w:color w:val="auto"/>
              </w:rPr>
            </w:pPr>
            <w:r w:rsidRPr="005862A9">
              <w:rPr>
                <w:color w:val="auto"/>
              </w:rPr>
              <w:t>Energy Intensity</w:t>
            </w:r>
          </w:p>
        </w:tc>
        <w:tc>
          <w:tcPr>
            <w:tcW w:w="6655" w:type="dxa"/>
          </w:tcPr>
          <w:p w14:paraId="070FBC94"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The quantity of energy required per unit output or activity, so that using less energy to produce a product reduces the intensity. (</w:t>
            </w:r>
            <w:hyperlink r:id="rId54" w:history="1">
              <w:r w:rsidRPr="005862A9">
                <w:rPr>
                  <w:rStyle w:val="Hyperlink"/>
                  <w:rFonts w:ascii="Franklin Gothic Book" w:hAnsi="Franklin Gothic Book"/>
                  <w:sz w:val="22"/>
                  <w:szCs w:val="22"/>
                </w:rPr>
                <w:t>DOE</w:t>
              </w:r>
            </w:hyperlink>
            <w:r w:rsidRPr="005862A9">
              <w:rPr>
                <w:rFonts w:ascii="Franklin Gothic Book" w:hAnsi="Franklin Gothic Book"/>
                <w:color w:val="auto"/>
                <w:sz w:val="22"/>
                <w:szCs w:val="22"/>
              </w:rPr>
              <w:t>)</w:t>
            </w:r>
          </w:p>
          <w:p w14:paraId="01C2382F" w14:textId="77777777" w:rsidR="00B5589F" w:rsidRPr="005862A9" w:rsidRDefault="00B5589F" w:rsidP="0013785F">
            <w:pPr>
              <w:pStyle w:val="3Paragraph"/>
              <w:spacing w:line="260" w:lineRule="exact"/>
              <w:rPr>
                <w:color w:val="auto"/>
              </w:rPr>
            </w:pPr>
          </w:p>
        </w:tc>
      </w:tr>
      <w:tr w:rsidR="00B5589F" w:rsidRPr="005862A9" w14:paraId="1A6201FE" w14:textId="77777777" w:rsidTr="00B12D87">
        <w:tc>
          <w:tcPr>
            <w:tcW w:w="2705" w:type="dxa"/>
          </w:tcPr>
          <w:p w14:paraId="6E1B3C97" w14:textId="77777777" w:rsidR="00B5589F" w:rsidRPr="005862A9" w:rsidRDefault="00B5589F" w:rsidP="0013785F">
            <w:pPr>
              <w:pStyle w:val="3Paragraph"/>
              <w:spacing w:line="260" w:lineRule="exact"/>
              <w:rPr>
                <w:color w:val="auto"/>
              </w:rPr>
            </w:pPr>
            <w:r w:rsidRPr="005862A9">
              <w:rPr>
                <w:color w:val="auto"/>
              </w:rPr>
              <w:t>Energy Poverty</w:t>
            </w:r>
          </w:p>
          <w:p w14:paraId="25F0626B" w14:textId="77777777" w:rsidR="00B5589F" w:rsidRPr="005862A9" w:rsidRDefault="00B5589F" w:rsidP="0013785F">
            <w:pPr>
              <w:pStyle w:val="3Paragraph"/>
              <w:spacing w:line="260" w:lineRule="exact"/>
              <w:rPr>
                <w:color w:val="auto"/>
              </w:rPr>
            </w:pPr>
          </w:p>
        </w:tc>
        <w:tc>
          <w:tcPr>
            <w:tcW w:w="6655" w:type="dxa"/>
          </w:tcPr>
          <w:p w14:paraId="11FC7C90" w14:textId="6A5297CE" w:rsidR="00B5589F" w:rsidRPr="005862A9" w:rsidRDefault="00B5589F" w:rsidP="0013785F">
            <w:pPr>
              <w:spacing w:line="260" w:lineRule="exact"/>
              <w:rPr>
                <w:rFonts w:ascii="Franklin Gothic Book" w:hAnsi="Franklin Gothic Book"/>
                <w:iCs/>
                <w:color w:val="auto"/>
                <w:sz w:val="22"/>
                <w:szCs w:val="22"/>
              </w:rPr>
            </w:pPr>
            <w:r w:rsidRPr="005862A9">
              <w:rPr>
                <w:rFonts w:ascii="Franklin Gothic Book" w:hAnsi="Franklin Gothic Book"/>
                <w:iCs/>
                <w:color w:val="auto"/>
                <w:sz w:val="22"/>
                <w:szCs w:val="22"/>
              </w:rPr>
              <w:t xml:space="preserve">A situation where a household or an individual is </w:t>
            </w:r>
            <w:r w:rsidRPr="005862A9">
              <w:rPr>
                <w:rFonts w:ascii="Franklin Gothic Book" w:hAnsi="Franklin Gothic Book"/>
                <w:bCs/>
                <w:iCs/>
                <w:color w:val="auto"/>
                <w:sz w:val="22"/>
                <w:szCs w:val="22"/>
              </w:rPr>
              <w:t xml:space="preserve">unable to afford basic energy services </w:t>
            </w:r>
            <w:r w:rsidRPr="005862A9">
              <w:rPr>
                <w:rFonts w:ascii="Franklin Gothic Book" w:hAnsi="Franklin Gothic Book"/>
                <w:iCs/>
                <w:color w:val="auto"/>
                <w:sz w:val="22"/>
                <w:szCs w:val="22"/>
              </w:rPr>
              <w:t xml:space="preserve">(heating, cooling, lighting, mobility and power) to guarantee a </w:t>
            </w:r>
            <w:r w:rsidRPr="005862A9">
              <w:rPr>
                <w:rFonts w:ascii="Franklin Gothic Book" w:hAnsi="Franklin Gothic Book"/>
                <w:bCs/>
                <w:iCs/>
                <w:color w:val="auto"/>
                <w:sz w:val="22"/>
                <w:szCs w:val="22"/>
              </w:rPr>
              <w:t xml:space="preserve">decent standard of living </w:t>
            </w:r>
            <w:r w:rsidRPr="005862A9">
              <w:rPr>
                <w:rFonts w:ascii="Franklin Gothic Book" w:hAnsi="Franklin Gothic Book"/>
                <w:iCs/>
                <w:color w:val="auto"/>
                <w:sz w:val="22"/>
                <w:szCs w:val="22"/>
              </w:rPr>
              <w:t>due to a combination of low income, high energy expenditure and low energy efficiency of their homes. (</w:t>
            </w:r>
            <w:hyperlink r:id="rId55" w:history="1">
              <w:r w:rsidRPr="005862A9">
                <w:rPr>
                  <w:rStyle w:val="Hyperlink"/>
                  <w:rFonts w:ascii="Franklin Gothic Book" w:hAnsi="Franklin Gothic Book"/>
                  <w:iCs/>
                  <w:sz w:val="22"/>
                  <w:szCs w:val="22"/>
                </w:rPr>
                <w:t>European Commission</w:t>
              </w:r>
            </w:hyperlink>
            <w:r w:rsidRPr="005862A9">
              <w:rPr>
                <w:rFonts w:ascii="Franklin Gothic Book" w:hAnsi="Franklin Gothic Book"/>
                <w:iCs/>
                <w:color w:val="auto"/>
                <w:sz w:val="22"/>
                <w:szCs w:val="22"/>
              </w:rPr>
              <w:t>)</w:t>
            </w:r>
          </w:p>
          <w:p w14:paraId="1E43640D" w14:textId="77777777" w:rsidR="00B5589F" w:rsidRPr="005862A9" w:rsidRDefault="00B5589F" w:rsidP="0013785F">
            <w:pPr>
              <w:pStyle w:val="3Paragraph"/>
              <w:spacing w:line="260" w:lineRule="exact"/>
              <w:rPr>
                <w:color w:val="auto"/>
              </w:rPr>
            </w:pPr>
          </w:p>
        </w:tc>
      </w:tr>
      <w:tr w:rsidR="004B0751" w:rsidRPr="005862A9" w14:paraId="66A383E1" w14:textId="77777777" w:rsidTr="00B12D87">
        <w:tc>
          <w:tcPr>
            <w:tcW w:w="2705" w:type="dxa"/>
          </w:tcPr>
          <w:p w14:paraId="18121F77" w14:textId="66C19C10" w:rsidR="004B0751" w:rsidRPr="005862A9" w:rsidRDefault="004B0751" w:rsidP="0013785F">
            <w:pPr>
              <w:pStyle w:val="3Paragraph"/>
              <w:spacing w:line="260" w:lineRule="exact"/>
              <w:rPr>
                <w:color w:val="auto"/>
              </w:rPr>
            </w:pPr>
            <w:r>
              <w:rPr>
                <w:color w:val="auto"/>
              </w:rPr>
              <w:lastRenderedPageBreak/>
              <w:t xml:space="preserve">ENERGY STAR </w:t>
            </w:r>
          </w:p>
        </w:tc>
        <w:tc>
          <w:tcPr>
            <w:tcW w:w="6655" w:type="dxa"/>
          </w:tcPr>
          <w:p w14:paraId="2F824FF4" w14:textId="2AF10CD2" w:rsidR="004B0751" w:rsidRDefault="004B0751" w:rsidP="004B0751">
            <w:pPr>
              <w:pStyle w:val="3Paragraph"/>
              <w:spacing w:line="260" w:lineRule="exact"/>
              <w:rPr>
                <w:color w:val="auto"/>
              </w:rPr>
            </w:pPr>
            <w:r>
              <w:rPr>
                <w:color w:val="auto"/>
              </w:rPr>
              <w:t>ENERGY STAR is a program run by the U.S. EPA and U.S. DOE that promotes cost-saving energy efficient solutions that improve air quality and protect the climate. ENERGY STAR certified products are independently certified to deliver efficiency performance and savings to consumers. ENERGY STAR provides tools and resources for buildings and plants to save energy, increase profits, and strengthen competitiveness. ENERGY STAR’s Portfolio Manager is a tool commonly used by businesses to track energy, water, and/or waste and materials in their buildings. (</w:t>
            </w:r>
            <w:hyperlink r:id="rId56" w:history="1">
              <w:r>
                <w:rPr>
                  <w:rStyle w:val="Hyperlink"/>
                </w:rPr>
                <w:t>ENERGY STAR</w:t>
              </w:r>
            </w:hyperlink>
            <w:r>
              <w:rPr>
                <w:color w:val="auto"/>
              </w:rPr>
              <w:t>)</w:t>
            </w:r>
          </w:p>
          <w:p w14:paraId="0A4DD2FA" w14:textId="77777777" w:rsidR="004B0751" w:rsidRPr="005862A9" w:rsidRDefault="004B0751" w:rsidP="0013785F">
            <w:pPr>
              <w:pStyle w:val="3Paragraph"/>
              <w:spacing w:line="260" w:lineRule="exact"/>
              <w:rPr>
                <w:color w:val="auto"/>
              </w:rPr>
            </w:pPr>
          </w:p>
        </w:tc>
      </w:tr>
      <w:tr w:rsidR="00B5589F" w:rsidRPr="005862A9" w14:paraId="6F3395B5" w14:textId="77777777" w:rsidTr="00B12D87">
        <w:tc>
          <w:tcPr>
            <w:tcW w:w="2705" w:type="dxa"/>
          </w:tcPr>
          <w:p w14:paraId="3CF33AC0" w14:textId="77777777" w:rsidR="00B5589F" w:rsidRPr="005862A9" w:rsidRDefault="00B5589F" w:rsidP="0013785F">
            <w:pPr>
              <w:pStyle w:val="3Paragraph"/>
              <w:spacing w:line="260" w:lineRule="exact"/>
              <w:rPr>
                <w:color w:val="auto"/>
              </w:rPr>
            </w:pPr>
            <w:r w:rsidRPr="005862A9">
              <w:rPr>
                <w:color w:val="auto"/>
              </w:rPr>
              <w:t>Energy Use Intensity</w:t>
            </w:r>
          </w:p>
        </w:tc>
        <w:tc>
          <w:tcPr>
            <w:tcW w:w="6655" w:type="dxa"/>
          </w:tcPr>
          <w:p w14:paraId="5A21AA8B" w14:textId="77777777" w:rsidR="00B5589F" w:rsidRPr="005862A9" w:rsidRDefault="00B5589F" w:rsidP="0013785F">
            <w:pPr>
              <w:pStyle w:val="3Paragraph"/>
              <w:spacing w:line="260" w:lineRule="exact"/>
              <w:rPr>
                <w:color w:val="auto"/>
              </w:rPr>
            </w:pPr>
            <w:r w:rsidRPr="005862A9">
              <w:rPr>
                <w:color w:val="auto"/>
              </w:rPr>
              <w:t>Energy per square foot per year. Calculated by dividing the total energy consumed by the building in one year (measured in kBtu or GJ) by the total gross floor area of the building. (</w:t>
            </w:r>
            <w:hyperlink r:id="rId57" w:history="1">
              <w:r w:rsidRPr="005862A9">
                <w:rPr>
                  <w:rStyle w:val="Hyperlink"/>
                </w:rPr>
                <w:t>EnergyStar</w:t>
              </w:r>
            </w:hyperlink>
            <w:r w:rsidRPr="005862A9">
              <w:rPr>
                <w:color w:val="auto"/>
              </w:rPr>
              <w:t>)</w:t>
            </w:r>
          </w:p>
          <w:p w14:paraId="58988BAF" w14:textId="77777777" w:rsidR="00B5589F" w:rsidRPr="005862A9" w:rsidRDefault="00B5589F" w:rsidP="0013785F">
            <w:pPr>
              <w:pStyle w:val="3Paragraph"/>
              <w:spacing w:line="260" w:lineRule="exact"/>
              <w:rPr>
                <w:color w:val="auto"/>
              </w:rPr>
            </w:pPr>
          </w:p>
        </w:tc>
      </w:tr>
      <w:tr w:rsidR="00B5589F" w:rsidRPr="005862A9" w14:paraId="094414EB" w14:textId="77777777" w:rsidTr="00B12D87">
        <w:tc>
          <w:tcPr>
            <w:tcW w:w="2705" w:type="dxa"/>
          </w:tcPr>
          <w:p w14:paraId="2903387E" w14:textId="77777777" w:rsidR="00B5589F" w:rsidRPr="005862A9" w:rsidRDefault="00B5589F" w:rsidP="0013785F">
            <w:pPr>
              <w:pStyle w:val="3Paragraph"/>
              <w:spacing w:line="260" w:lineRule="exact"/>
              <w:rPr>
                <w:color w:val="auto"/>
              </w:rPr>
            </w:pPr>
            <w:r w:rsidRPr="005862A9">
              <w:rPr>
                <w:color w:val="auto"/>
              </w:rPr>
              <w:t>Environmental Justice</w:t>
            </w:r>
          </w:p>
        </w:tc>
        <w:tc>
          <w:tcPr>
            <w:tcW w:w="6655" w:type="dxa"/>
          </w:tcPr>
          <w:p w14:paraId="7B9AF770"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The fair treatment and meaningful involvement of all people regardless of race, color, national origin, or income, with respect to the development, implementation, and enforcement of environmental laws, regulations, and policies. (</w:t>
            </w:r>
            <w:hyperlink r:id="rId58" w:history="1">
              <w:r w:rsidRPr="005862A9">
                <w:rPr>
                  <w:rStyle w:val="Hyperlink"/>
                  <w:rFonts w:ascii="Franklin Gothic Book" w:hAnsi="Franklin Gothic Book"/>
                  <w:sz w:val="22"/>
                  <w:szCs w:val="22"/>
                </w:rPr>
                <w:t>EPA</w:t>
              </w:r>
            </w:hyperlink>
            <w:r w:rsidRPr="005862A9">
              <w:rPr>
                <w:rFonts w:ascii="Franklin Gothic Book" w:hAnsi="Franklin Gothic Book"/>
                <w:color w:val="auto"/>
                <w:sz w:val="22"/>
                <w:szCs w:val="22"/>
              </w:rPr>
              <w:t>)</w:t>
            </w:r>
          </w:p>
          <w:p w14:paraId="15DE392C" w14:textId="77777777" w:rsidR="00B5589F" w:rsidRPr="005862A9" w:rsidRDefault="00B5589F" w:rsidP="007F0C66">
            <w:pPr>
              <w:spacing w:line="260" w:lineRule="exact"/>
              <w:rPr>
                <w:rFonts w:ascii="Franklin Gothic Book" w:hAnsi="Franklin Gothic Book"/>
                <w:color w:val="auto"/>
                <w:sz w:val="22"/>
                <w:szCs w:val="22"/>
              </w:rPr>
            </w:pPr>
          </w:p>
        </w:tc>
      </w:tr>
      <w:tr w:rsidR="00D61FCB" w:rsidRPr="005862A9" w14:paraId="099BE130" w14:textId="77777777" w:rsidTr="00B12D87">
        <w:tc>
          <w:tcPr>
            <w:tcW w:w="2705" w:type="dxa"/>
          </w:tcPr>
          <w:p w14:paraId="66119DDA" w14:textId="421E8B93" w:rsidR="00D61FCB" w:rsidRDefault="00D452B6" w:rsidP="0013785F">
            <w:pPr>
              <w:pStyle w:val="3Paragraph"/>
              <w:spacing w:line="260" w:lineRule="exact"/>
              <w:rPr>
                <w:color w:val="auto"/>
              </w:rPr>
            </w:pPr>
            <w:r>
              <w:rPr>
                <w:color w:val="auto"/>
              </w:rPr>
              <w:t xml:space="preserve">Equity </w:t>
            </w:r>
          </w:p>
        </w:tc>
        <w:tc>
          <w:tcPr>
            <w:tcW w:w="6655" w:type="dxa"/>
          </w:tcPr>
          <w:p w14:paraId="6B74DA88" w14:textId="29723898" w:rsidR="00D61FCB" w:rsidRDefault="00D61FCB" w:rsidP="00D452B6">
            <w:pPr>
              <w:spacing w:line="260" w:lineRule="exact"/>
              <w:rPr>
                <w:rFonts w:ascii="Franklin Gothic Book" w:hAnsi="Franklin Gothic Book"/>
                <w:sz w:val="22"/>
                <w:szCs w:val="22"/>
              </w:rPr>
            </w:pPr>
            <w:r w:rsidRPr="00D452B6">
              <w:rPr>
                <w:rFonts w:ascii="Franklin Gothic Book" w:hAnsi="Franklin Gothic Book"/>
                <w:sz w:val="22"/>
                <w:szCs w:val="22"/>
              </w:rPr>
              <w:t xml:space="preserve">Equity is a principle that calls for fairness, </w:t>
            </w:r>
            <w:proofErr w:type="gramStart"/>
            <w:r w:rsidRPr="00D452B6">
              <w:rPr>
                <w:rFonts w:ascii="Franklin Gothic Book" w:hAnsi="Franklin Gothic Book"/>
                <w:sz w:val="22"/>
                <w:szCs w:val="22"/>
              </w:rPr>
              <w:t>inclusion</w:t>
            </w:r>
            <w:proofErr w:type="gramEnd"/>
            <w:r w:rsidRPr="00D452B6">
              <w:rPr>
                <w:rFonts w:ascii="Franklin Gothic Book" w:hAnsi="Franklin Gothic Book"/>
                <w:sz w:val="22"/>
                <w:szCs w:val="22"/>
              </w:rPr>
              <w:t xml:space="preserve"> and justice. It can be distinguished from the principle of diversity, which is primarily about variety. Equitable policies often require concrete actions and steps beyond simply making everyone “equal before the law,” and accordingly are designed to take appropriate account of historical and contemporary injustices and unequal outcomes.</w:t>
            </w:r>
            <w:r w:rsidR="00D452B6">
              <w:rPr>
                <w:rFonts w:ascii="Franklin Gothic Book" w:hAnsi="Franklin Gothic Book"/>
                <w:sz w:val="22"/>
                <w:szCs w:val="22"/>
              </w:rPr>
              <w:t xml:space="preserve"> (</w:t>
            </w:r>
            <w:hyperlink r:id="rId59" w:history="1">
              <w:r w:rsidR="00D452B6" w:rsidRPr="00D452B6">
                <w:rPr>
                  <w:rStyle w:val="Hyperlink"/>
                  <w:rFonts w:ascii="Franklin Gothic Book" w:hAnsi="Franklin Gothic Book"/>
                  <w:sz w:val="22"/>
                  <w:szCs w:val="22"/>
                </w:rPr>
                <w:t>NAACP</w:t>
              </w:r>
            </w:hyperlink>
            <w:r w:rsidR="00D452B6">
              <w:rPr>
                <w:rFonts w:ascii="Franklin Gothic Book" w:hAnsi="Franklin Gothic Book"/>
                <w:sz w:val="22"/>
                <w:szCs w:val="22"/>
              </w:rPr>
              <w:t>)</w:t>
            </w:r>
          </w:p>
          <w:p w14:paraId="1DF1ED5F" w14:textId="652C1A4B" w:rsidR="00D452B6" w:rsidRDefault="00D452B6" w:rsidP="00D452B6">
            <w:pPr>
              <w:spacing w:line="260" w:lineRule="exact"/>
              <w:rPr>
                <w:rFonts w:ascii="Franklin Gothic Book" w:hAnsi="Franklin Gothic Book"/>
                <w:sz w:val="22"/>
                <w:szCs w:val="22"/>
              </w:rPr>
            </w:pPr>
          </w:p>
          <w:p w14:paraId="6F56F142" w14:textId="77777777" w:rsidR="00D452B6" w:rsidRPr="00916045" w:rsidRDefault="00D452B6" w:rsidP="00D452B6">
            <w:pPr>
              <w:spacing w:line="260" w:lineRule="exact"/>
              <w:rPr>
                <w:rFonts w:ascii="Franklin Gothic Book" w:hAnsi="Franklin Gothic Book"/>
                <w:color w:val="000000"/>
                <w:sz w:val="22"/>
                <w:szCs w:val="22"/>
                <w:shd w:val="clear" w:color="auto" w:fill="FFFFFF"/>
              </w:rPr>
            </w:pPr>
            <w:r w:rsidRPr="00916045">
              <w:rPr>
                <w:rFonts w:ascii="Franklin Gothic Book" w:hAnsi="Franklin Gothic Book"/>
                <w:color w:val="000000"/>
                <w:sz w:val="22"/>
                <w:szCs w:val="22"/>
                <w:shd w:val="clear" w:color="auto" w:fill="FFFFFF"/>
              </w:rPr>
              <w:t>Environmental equity means protection from environmental hazards as well as access to environmental benefits, regardless of income, race, and other characteristics. </w:t>
            </w:r>
            <w:r>
              <w:rPr>
                <w:rFonts w:ascii="Franklin Gothic Book" w:hAnsi="Franklin Gothic Book"/>
                <w:color w:val="000000"/>
                <w:sz w:val="22"/>
                <w:szCs w:val="22"/>
                <w:shd w:val="clear" w:color="auto" w:fill="FFFFFF"/>
              </w:rPr>
              <w:t>(</w:t>
            </w:r>
            <w:hyperlink r:id="rId60" w:anchor=":~:text=Environmental%20equity%20means%20protection%20from,%2C%20race%2C%20and%20other%20characteristics." w:history="1">
              <w:r w:rsidRPr="00916045">
                <w:rPr>
                  <w:rStyle w:val="Hyperlink"/>
                  <w:rFonts w:ascii="Franklin Gothic Book" w:hAnsi="Franklin Gothic Book"/>
                  <w:sz w:val="22"/>
                  <w:szCs w:val="22"/>
                  <w:shd w:val="clear" w:color="auto" w:fill="FFFFFF"/>
                </w:rPr>
                <w:t>UCLA</w:t>
              </w:r>
            </w:hyperlink>
            <w:r>
              <w:rPr>
                <w:rFonts w:ascii="Franklin Gothic Book" w:hAnsi="Franklin Gothic Book"/>
                <w:color w:val="000000"/>
                <w:sz w:val="22"/>
                <w:szCs w:val="22"/>
                <w:shd w:val="clear" w:color="auto" w:fill="FFFFFF"/>
              </w:rPr>
              <w:t>)</w:t>
            </w:r>
          </w:p>
          <w:p w14:paraId="4CE1B2F9" w14:textId="6D22CF3A" w:rsidR="00D452B6" w:rsidRPr="00D452B6" w:rsidRDefault="00D452B6" w:rsidP="00D452B6">
            <w:pPr>
              <w:spacing w:line="260" w:lineRule="exact"/>
              <w:rPr>
                <w:rFonts w:ascii="Franklin Gothic Book" w:hAnsi="Franklin Gothic Book"/>
                <w:sz w:val="22"/>
                <w:szCs w:val="22"/>
              </w:rPr>
            </w:pPr>
          </w:p>
        </w:tc>
      </w:tr>
      <w:tr w:rsidR="001D719A" w:rsidRPr="005862A9" w14:paraId="08DF5B10" w14:textId="77777777" w:rsidTr="00B12D87">
        <w:tc>
          <w:tcPr>
            <w:tcW w:w="2705" w:type="dxa"/>
          </w:tcPr>
          <w:p w14:paraId="16583A4E" w14:textId="7E7D0E87" w:rsidR="001D719A" w:rsidRPr="00A643BC" w:rsidRDefault="001D719A" w:rsidP="0013785F">
            <w:pPr>
              <w:pStyle w:val="3Paragraph"/>
              <w:spacing w:line="260" w:lineRule="exact"/>
              <w:rPr>
                <w:color w:val="auto"/>
              </w:rPr>
            </w:pPr>
            <w:r w:rsidRPr="00A643BC">
              <w:rPr>
                <w:color w:val="auto"/>
              </w:rPr>
              <w:t>Equity Emphasis Areas (EEAs)</w:t>
            </w:r>
          </w:p>
        </w:tc>
        <w:tc>
          <w:tcPr>
            <w:tcW w:w="6655" w:type="dxa"/>
          </w:tcPr>
          <w:p w14:paraId="6011EE87" w14:textId="7549AB0F" w:rsidR="001D719A" w:rsidRPr="00A643BC" w:rsidRDefault="00A643BC" w:rsidP="007A27E0">
            <w:pPr>
              <w:spacing w:line="260" w:lineRule="exact"/>
              <w:rPr>
                <w:rFonts w:ascii="Franklin Gothic Book" w:hAnsi="Franklin Gothic Book" w:cs="Arial"/>
                <w:color w:val="auto"/>
                <w:sz w:val="22"/>
                <w:szCs w:val="22"/>
                <w:shd w:val="clear" w:color="auto" w:fill="FFFFFF"/>
              </w:rPr>
            </w:pPr>
            <w:r w:rsidRPr="00A643BC">
              <w:rPr>
                <w:rFonts w:ascii="Franklin Gothic Book" w:hAnsi="Franklin Gothic Book" w:cs="Arial"/>
                <w:color w:val="auto"/>
                <w:sz w:val="22"/>
                <w:szCs w:val="22"/>
                <w:shd w:val="clear" w:color="auto" w:fill="FFFFFF"/>
              </w:rPr>
              <w:t>EEAs are small geographic areas</w:t>
            </w:r>
            <w:r>
              <w:rPr>
                <w:rFonts w:ascii="Franklin Gothic Book" w:hAnsi="Franklin Gothic Book" w:cs="Arial"/>
                <w:color w:val="auto"/>
                <w:sz w:val="22"/>
                <w:szCs w:val="22"/>
                <w:shd w:val="clear" w:color="auto" w:fill="FFFFFF"/>
              </w:rPr>
              <w:t xml:space="preserve"> in metropolitan Washington</w:t>
            </w:r>
            <w:r w:rsidRPr="00A643BC">
              <w:rPr>
                <w:rFonts w:ascii="Franklin Gothic Book" w:hAnsi="Franklin Gothic Book" w:cs="Arial"/>
                <w:color w:val="auto"/>
                <w:sz w:val="22"/>
                <w:szCs w:val="22"/>
                <w:shd w:val="clear" w:color="auto" w:fill="FFFFFF"/>
              </w:rPr>
              <w:t xml:space="preserve"> that have significant concentrations of low-income, minority populations, or both.</w:t>
            </w:r>
            <w:r>
              <w:rPr>
                <w:rFonts w:ascii="Franklin Gothic Book" w:hAnsi="Franklin Gothic Book" w:cs="Arial"/>
                <w:color w:val="auto"/>
                <w:sz w:val="22"/>
                <w:szCs w:val="22"/>
                <w:shd w:val="clear" w:color="auto" w:fill="FFFFFF"/>
              </w:rPr>
              <w:t xml:space="preserve"> (</w:t>
            </w:r>
            <w:hyperlink r:id="rId61" w:history="1">
              <w:r w:rsidRPr="00A643BC">
                <w:rPr>
                  <w:rStyle w:val="Hyperlink"/>
                  <w:rFonts w:ascii="Franklin Gothic Book" w:hAnsi="Franklin Gothic Book" w:cs="Arial"/>
                  <w:sz w:val="22"/>
                  <w:szCs w:val="22"/>
                  <w:shd w:val="clear" w:color="auto" w:fill="FFFFFF"/>
                </w:rPr>
                <w:t>COG</w:t>
              </w:r>
            </w:hyperlink>
            <w:r>
              <w:rPr>
                <w:rFonts w:ascii="Franklin Gothic Book" w:hAnsi="Franklin Gothic Book" w:cs="Arial"/>
                <w:color w:val="auto"/>
                <w:sz w:val="22"/>
                <w:szCs w:val="22"/>
                <w:shd w:val="clear" w:color="auto" w:fill="FFFFFF"/>
              </w:rPr>
              <w:t>)</w:t>
            </w:r>
            <w:r w:rsidRPr="00A643BC">
              <w:rPr>
                <w:rFonts w:ascii="Franklin Gothic Book" w:hAnsi="Franklin Gothic Book" w:cs="Arial"/>
                <w:color w:val="auto"/>
                <w:sz w:val="22"/>
                <w:szCs w:val="22"/>
                <w:shd w:val="clear" w:color="auto" w:fill="FFFFFF"/>
              </w:rPr>
              <w:t> </w:t>
            </w:r>
          </w:p>
          <w:p w14:paraId="51C18A31" w14:textId="6477B970" w:rsidR="00A643BC" w:rsidRPr="00A643BC" w:rsidRDefault="00A643BC" w:rsidP="007A27E0">
            <w:pPr>
              <w:spacing w:line="260" w:lineRule="exact"/>
              <w:rPr>
                <w:rFonts w:ascii="Franklin Gothic Book" w:hAnsi="Franklin Gothic Book"/>
                <w:color w:val="auto"/>
                <w:sz w:val="22"/>
                <w:szCs w:val="22"/>
              </w:rPr>
            </w:pPr>
          </w:p>
        </w:tc>
      </w:tr>
      <w:tr w:rsidR="007A27E0" w:rsidRPr="005862A9" w14:paraId="46D66C9F" w14:textId="77777777" w:rsidTr="00B12D87">
        <w:tc>
          <w:tcPr>
            <w:tcW w:w="2705" w:type="dxa"/>
          </w:tcPr>
          <w:p w14:paraId="51D36E2D" w14:textId="41BC7560" w:rsidR="007A27E0" w:rsidRPr="005862A9" w:rsidRDefault="007A27E0" w:rsidP="0013785F">
            <w:pPr>
              <w:pStyle w:val="3Paragraph"/>
              <w:spacing w:line="260" w:lineRule="exact"/>
              <w:rPr>
                <w:color w:val="auto"/>
              </w:rPr>
            </w:pPr>
            <w:r>
              <w:rPr>
                <w:color w:val="auto"/>
              </w:rPr>
              <w:t xml:space="preserve">Exposure </w:t>
            </w:r>
          </w:p>
        </w:tc>
        <w:tc>
          <w:tcPr>
            <w:tcW w:w="6655" w:type="dxa"/>
          </w:tcPr>
          <w:p w14:paraId="3320ABCA" w14:textId="60227704" w:rsidR="007A27E0" w:rsidRPr="007A27E0" w:rsidRDefault="007A27E0" w:rsidP="007A27E0">
            <w:pPr>
              <w:spacing w:line="260" w:lineRule="exact"/>
              <w:rPr>
                <w:rFonts w:ascii="Franklin Gothic Book" w:eastAsia="Times New Roman" w:hAnsi="Franklin Gothic Book"/>
                <w:b/>
                <w:sz w:val="22"/>
                <w:szCs w:val="22"/>
              </w:rPr>
            </w:pPr>
            <w:r w:rsidRPr="007A27E0">
              <w:rPr>
                <w:rFonts w:ascii="Franklin Gothic Book" w:hAnsi="Franklin Gothic Book"/>
                <w:sz w:val="22"/>
                <w:szCs w:val="22"/>
              </w:rPr>
              <w:t xml:space="preserve">The presence of people, livelihoods, species or ecosystems, environmental functions, services, resources, infrastructure or economic, </w:t>
            </w:r>
            <w:proofErr w:type="gramStart"/>
            <w:r w:rsidRPr="007A27E0">
              <w:rPr>
                <w:rFonts w:ascii="Franklin Gothic Book" w:hAnsi="Franklin Gothic Book"/>
                <w:sz w:val="22"/>
                <w:szCs w:val="22"/>
              </w:rPr>
              <w:t>social</w:t>
            </w:r>
            <w:proofErr w:type="gramEnd"/>
            <w:r w:rsidRPr="007A27E0">
              <w:rPr>
                <w:rFonts w:ascii="Franklin Gothic Book" w:hAnsi="Franklin Gothic Book"/>
                <w:sz w:val="22"/>
                <w:szCs w:val="22"/>
              </w:rPr>
              <w:t xml:space="preserve"> or cultural assets in places and settings that could be adversely affected</w:t>
            </w:r>
            <w:r>
              <w:rPr>
                <w:rFonts w:ascii="Franklin Gothic Book" w:hAnsi="Franklin Gothic Book"/>
                <w:sz w:val="22"/>
                <w:szCs w:val="22"/>
              </w:rPr>
              <w:t xml:space="preserve"> by climate change.</w:t>
            </w:r>
            <w:r w:rsidRPr="007A27E0">
              <w:rPr>
                <w:rFonts w:ascii="Franklin Gothic Book" w:hAnsi="Franklin Gothic Book"/>
                <w:sz w:val="22"/>
                <w:szCs w:val="22"/>
              </w:rPr>
              <w:t xml:space="preserve"> (</w:t>
            </w:r>
            <w:hyperlink r:id="rId62" w:history="1">
              <w:r w:rsidRPr="007A27E0">
                <w:rPr>
                  <w:rStyle w:val="Hyperlink"/>
                  <w:rFonts w:ascii="Franklin Gothic Book" w:hAnsi="Franklin Gothic Book"/>
                  <w:sz w:val="22"/>
                  <w:szCs w:val="22"/>
                </w:rPr>
                <w:t>GCoM</w:t>
              </w:r>
            </w:hyperlink>
            <w:r w:rsidRPr="007A27E0">
              <w:rPr>
                <w:rFonts w:ascii="Franklin Gothic Book" w:hAnsi="Franklin Gothic Book"/>
                <w:sz w:val="22"/>
                <w:szCs w:val="22"/>
              </w:rPr>
              <w:t>).</w:t>
            </w:r>
          </w:p>
          <w:p w14:paraId="3736A7F6" w14:textId="77777777" w:rsidR="007A27E0" w:rsidRPr="007A27E0" w:rsidRDefault="007A27E0" w:rsidP="007A27E0">
            <w:pPr>
              <w:spacing w:line="260" w:lineRule="exact"/>
              <w:rPr>
                <w:rFonts w:ascii="Franklin Gothic Book" w:hAnsi="Franklin Gothic Book"/>
                <w:color w:val="auto"/>
                <w:sz w:val="22"/>
                <w:szCs w:val="22"/>
              </w:rPr>
            </w:pPr>
          </w:p>
        </w:tc>
      </w:tr>
      <w:tr w:rsidR="00AB53AB" w:rsidRPr="005862A9" w14:paraId="664874E9" w14:textId="77777777" w:rsidTr="00B12D87">
        <w:tc>
          <w:tcPr>
            <w:tcW w:w="2705" w:type="dxa"/>
          </w:tcPr>
          <w:p w14:paraId="45EF299C" w14:textId="176E819D" w:rsidR="00AB53AB" w:rsidRPr="005862A9" w:rsidRDefault="00AB53AB" w:rsidP="0013785F">
            <w:pPr>
              <w:pStyle w:val="3Paragraph"/>
              <w:spacing w:line="260" w:lineRule="exact"/>
              <w:rPr>
                <w:color w:val="auto"/>
              </w:rPr>
            </w:pPr>
            <w:r>
              <w:rPr>
                <w:color w:val="auto"/>
              </w:rPr>
              <w:t>E</w:t>
            </w:r>
            <w:r>
              <w:t>xtreme Heat</w:t>
            </w:r>
          </w:p>
        </w:tc>
        <w:tc>
          <w:tcPr>
            <w:tcW w:w="6655" w:type="dxa"/>
          </w:tcPr>
          <w:p w14:paraId="2AF7976C" w14:textId="431F0CC2" w:rsidR="00AB53AB" w:rsidRPr="00AB53AB" w:rsidRDefault="00AB53AB" w:rsidP="00AB53AB">
            <w:pPr>
              <w:rPr>
                <w:rFonts w:ascii="Times New Roman" w:eastAsia="Calibri" w:hAnsi="Times New Roman" w:cs="Times New Roman"/>
                <w:color w:val="auto"/>
                <w:sz w:val="24"/>
              </w:rPr>
            </w:pPr>
            <w:r w:rsidRPr="00AB53AB">
              <w:rPr>
                <w:rFonts w:ascii="Franklin Gothic Book" w:eastAsia="Calibri" w:hAnsi="Franklin Gothic Book" w:cs="Times New Roman"/>
                <w:color w:val="auto"/>
                <w:sz w:val="22"/>
                <w:szCs w:val="22"/>
              </w:rPr>
              <w:t>Extreme heat is defined as s</w:t>
            </w:r>
            <w:r w:rsidRPr="00711AD4">
              <w:rPr>
                <w:rFonts w:ascii="Franklin Gothic Book" w:eastAsia="Calibri" w:hAnsi="Franklin Gothic Book" w:cs="Times New Roman"/>
                <w:color w:val="auto"/>
                <w:sz w:val="22"/>
                <w:szCs w:val="22"/>
              </w:rPr>
              <w:t>ummertime temperatures that are much hotter and/or humid than average. (</w:t>
            </w:r>
            <w:hyperlink r:id="rId63" w:history="1">
              <w:r w:rsidRPr="00711AD4">
                <w:rPr>
                  <w:rStyle w:val="Hyperlink"/>
                  <w:rFonts w:ascii="Franklin Gothic Book" w:eastAsia="Calibri" w:hAnsi="Franklin Gothic Book" w:cs="Times New Roman"/>
                  <w:sz w:val="22"/>
                  <w:szCs w:val="22"/>
                </w:rPr>
                <w:t>CDC</w:t>
              </w:r>
            </w:hyperlink>
            <w:r w:rsidRPr="00711AD4">
              <w:rPr>
                <w:rFonts w:ascii="Franklin Gothic Book" w:eastAsia="Calibri" w:hAnsi="Franklin Gothic Book" w:cs="Times New Roman"/>
                <w:color w:val="auto"/>
                <w:sz w:val="22"/>
                <w:szCs w:val="22"/>
              </w:rPr>
              <w:t>)</w:t>
            </w:r>
            <w:r w:rsidRPr="00AB53AB">
              <w:rPr>
                <w:rFonts w:ascii="Franklin Gothic Book" w:eastAsia="Calibri" w:hAnsi="Franklin Gothic Book" w:cs="Times New Roman"/>
                <w:color w:val="auto"/>
                <w:sz w:val="22"/>
                <w:szCs w:val="22"/>
              </w:rPr>
              <w:t xml:space="preserve"> </w:t>
            </w:r>
          </w:p>
          <w:p w14:paraId="031C0DC2" w14:textId="77777777" w:rsidR="00AB53AB" w:rsidRPr="00AB53AB" w:rsidRDefault="00AB53AB" w:rsidP="0013785F">
            <w:pPr>
              <w:spacing w:line="260" w:lineRule="exact"/>
              <w:rPr>
                <w:rFonts w:ascii="Franklin Gothic Book" w:hAnsi="Franklin Gothic Book"/>
                <w:color w:val="auto"/>
                <w:sz w:val="22"/>
                <w:szCs w:val="22"/>
              </w:rPr>
            </w:pPr>
          </w:p>
        </w:tc>
      </w:tr>
      <w:tr w:rsidR="00AB53AB" w:rsidRPr="005862A9" w14:paraId="6279C982" w14:textId="77777777" w:rsidTr="00B12D87">
        <w:tc>
          <w:tcPr>
            <w:tcW w:w="2705" w:type="dxa"/>
          </w:tcPr>
          <w:p w14:paraId="04643B05" w14:textId="7C68F271" w:rsidR="00AB53AB" w:rsidRPr="005862A9" w:rsidRDefault="00AB53AB" w:rsidP="0013785F">
            <w:pPr>
              <w:pStyle w:val="3Paragraph"/>
              <w:spacing w:line="260" w:lineRule="exact"/>
              <w:rPr>
                <w:color w:val="auto"/>
              </w:rPr>
            </w:pPr>
            <w:r>
              <w:rPr>
                <w:color w:val="auto"/>
              </w:rPr>
              <w:t>Extreme Winter Conditions</w:t>
            </w:r>
          </w:p>
        </w:tc>
        <w:tc>
          <w:tcPr>
            <w:tcW w:w="6655" w:type="dxa"/>
          </w:tcPr>
          <w:p w14:paraId="68FAE9AD" w14:textId="33A3F468" w:rsidR="00AB53AB" w:rsidRDefault="00AB53AB" w:rsidP="0013785F">
            <w:pPr>
              <w:spacing w:line="260" w:lineRule="exact"/>
              <w:rPr>
                <w:rFonts w:ascii="Franklin Gothic Book" w:hAnsi="Franklin Gothic Book"/>
                <w:sz w:val="22"/>
                <w:szCs w:val="22"/>
              </w:rPr>
            </w:pPr>
            <w:r w:rsidRPr="00AB53AB">
              <w:rPr>
                <w:rFonts w:ascii="Franklin Gothic Book" w:hAnsi="Franklin Gothic Book"/>
                <w:sz w:val="22"/>
                <w:szCs w:val="22"/>
              </w:rPr>
              <w:t xml:space="preserve">A winter storm is a combination of heavy snow, blowing snow and/or dangerous wind chills. A winter storm is life-threatening. </w:t>
            </w:r>
            <w:r w:rsidRPr="00AB53AB">
              <w:rPr>
                <w:rFonts w:ascii="Franklin Gothic Book" w:hAnsi="Franklin Gothic Book"/>
                <w:bCs/>
                <w:i/>
                <w:iCs/>
                <w:sz w:val="22"/>
                <w:szCs w:val="22"/>
              </w:rPr>
              <w:t>Blizzards</w:t>
            </w:r>
            <w:r w:rsidRPr="00AB53AB">
              <w:rPr>
                <w:rFonts w:ascii="Franklin Gothic Book" w:hAnsi="Franklin Gothic Book"/>
                <w:sz w:val="22"/>
                <w:szCs w:val="22"/>
              </w:rPr>
              <w:t xml:space="preserve"> are dangerous winter storms that are a combination of blowing snow and wind resulting in very low visibilities. While heavy snowfalls and severe cold often accompany blizzards, they are not required. Sometimes strong winds pick up snow that has already fallen, </w:t>
            </w:r>
            <w:r w:rsidRPr="00AB53AB">
              <w:rPr>
                <w:rFonts w:ascii="Franklin Gothic Book" w:hAnsi="Franklin Gothic Book"/>
                <w:sz w:val="22"/>
                <w:szCs w:val="22"/>
              </w:rPr>
              <w:lastRenderedPageBreak/>
              <w:t>creating a ground blizzard. An</w:t>
            </w:r>
            <w:r w:rsidRPr="00AB53AB">
              <w:rPr>
                <w:rFonts w:ascii="Franklin Gothic Book" w:hAnsi="Franklin Gothic Book"/>
                <w:bCs/>
                <w:i/>
                <w:iCs/>
                <w:sz w:val="22"/>
                <w:szCs w:val="22"/>
              </w:rPr>
              <w:t xml:space="preserve"> ice storm</w:t>
            </w:r>
            <w:r w:rsidRPr="00AB53AB">
              <w:rPr>
                <w:rFonts w:ascii="Franklin Gothic Book" w:hAnsi="Franklin Gothic Book"/>
                <w:sz w:val="22"/>
                <w:szCs w:val="22"/>
              </w:rPr>
              <w:t xml:space="preserve"> is a storm which results in the accumulation of at least .25” of ice on exposed surfaces. They create hazardous driving and walking conditions. Tree branches and power lines can easily snap under the weight of the ice. </w:t>
            </w:r>
            <w:r w:rsidRPr="00AB53AB">
              <w:rPr>
                <w:rFonts w:ascii="Franklin Gothic Book" w:hAnsi="Franklin Gothic Book"/>
                <w:bCs/>
                <w:i/>
                <w:iCs/>
                <w:sz w:val="22"/>
                <w:szCs w:val="22"/>
              </w:rPr>
              <w:t xml:space="preserve">Snow squalls </w:t>
            </w:r>
            <w:r w:rsidRPr="00AB53AB">
              <w:rPr>
                <w:rFonts w:ascii="Franklin Gothic Book" w:hAnsi="Franklin Gothic Book"/>
                <w:sz w:val="22"/>
                <w:szCs w:val="22"/>
              </w:rPr>
              <w:t>are br</w:t>
            </w:r>
            <w:r w:rsidRPr="001914CF">
              <w:rPr>
                <w:rFonts w:ascii="Franklin Gothic Book" w:hAnsi="Franklin Gothic Book"/>
                <w:sz w:val="22"/>
                <w:szCs w:val="22"/>
              </w:rPr>
              <w:t>ief, intense snow showers accompanied by strong, gusty winds. Accumulation may be significant. Snow squalls are best known in the Great Lakes region. (</w:t>
            </w:r>
            <w:hyperlink r:id="rId64" w:history="1">
              <w:r w:rsidRPr="001914CF">
                <w:rPr>
                  <w:rStyle w:val="Hyperlink"/>
                  <w:rFonts w:ascii="Franklin Gothic Book" w:hAnsi="Franklin Gothic Book"/>
                  <w:sz w:val="22"/>
                  <w:szCs w:val="22"/>
                </w:rPr>
                <w:t>NOAA</w:t>
              </w:r>
            </w:hyperlink>
            <w:r w:rsidRPr="001914CF">
              <w:rPr>
                <w:rFonts w:ascii="Franklin Gothic Book" w:hAnsi="Franklin Gothic Book"/>
                <w:sz w:val="22"/>
                <w:szCs w:val="22"/>
              </w:rPr>
              <w:t>)</w:t>
            </w:r>
          </w:p>
          <w:p w14:paraId="1438CF6A" w14:textId="56F0A51B" w:rsidR="00AB53AB" w:rsidRPr="00AB53AB" w:rsidRDefault="00AB53AB" w:rsidP="0013785F">
            <w:pPr>
              <w:spacing w:line="260" w:lineRule="exact"/>
              <w:rPr>
                <w:rFonts w:ascii="Franklin Gothic Book" w:hAnsi="Franklin Gothic Book"/>
                <w:color w:val="auto"/>
                <w:sz w:val="22"/>
                <w:szCs w:val="22"/>
              </w:rPr>
            </w:pPr>
          </w:p>
        </w:tc>
      </w:tr>
      <w:tr w:rsidR="006D7F53" w:rsidRPr="005862A9" w14:paraId="2707CB80" w14:textId="77777777" w:rsidTr="006D7F53">
        <w:tc>
          <w:tcPr>
            <w:tcW w:w="2705" w:type="dxa"/>
          </w:tcPr>
          <w:p w14:paraId="5AB44987" w14:textId="620B429B" w:rsidR="006D7F53" w:rsidRPr="005862A9" w:rsidRDefault="006D7F53" w:rsidP="0013785F">
            <w:pPr>
              <w:pStyle w:val="3Paragraph"/>
              <w:spacing w:line="260" w:lineRule="exact"/>
              <w:rPr>
                <w:color w:val="auto"/>
              </w:rPr>
            </w:pPr>
            <w:r>
              <w:rPr>
                <w:color w:val="auto"/>
              </w:rPr>
              <w:lastRenderedPageBreak/>
              <w:t xml:space="preserve">Flash Flood </w:t>
            </w:r>
          </w:p>
        </w:tc>
        <w:tc>
          <w:tcPr>
            <w:tcW w:w="6655" w:type="dxa"/>
            <w:shd w:val="clear" w:color="auto" w:fill="auto"/>
          </w:tcPr>
          <w:p w14:paraId="5EF20924" w14:textId="01A96DFD" w:rsidR="006D7F53" w:rsidRPr="006D7F53" w:rsidRDefault="006D7F53" w:rsidP="006D7F53">
            <w:pPr>
              <w:rPr>
                <w:rFonts w:ascii="Franklin Gothic Book" w:eastAsiaTheme="minorHAnsi" w:hAnsi="Franklin Gothic Book" w:cs="Times New Roman"/>
                <w:color w:val="auto"/>
                <w:sz w:val="22"/>
                <w:szCs w:val="22"/>
              </w:rPr>
            </w:pPr>
            <w:r w:rsidRPr="006D7F53">
              <w:rPr>
                <w:rFonts w:ascii="Franklin Gothic Book" w:hAnsi="Franklin Gothic Book"/>
                <w:sz w:val="22"/>
                <w:szCs w:val="22"/>
              </w:rPr>
              <w:t>A flood caused by heavy or excessive rainfall in a short period of time, generally less than 6 hours. Flash floods are usually characterized by raging torrents after heavy rains that rip through riverbeds, urban streets, or mountain canyons sweeping everything before them. They can occur within minutes or a few hours of excessive rainfall. They can also occur even if no rain has fallen, for instance after a levee or d</w:t>
            </w:r>
            <w:r w:rsidRPr="00360515">
              <w:rPr>
                <w:rFonts w:ascii="Franklin Gothic Book" w:hAnsi="Franklin Gothic Book"/>
                <w:sz w:val="22"/>
                <w:szCs w:val="22"/>
              </w:rPr>
              <w:t>am has failed, or after a sudden release of water by a debris or ice jam. (</w:t>
            </w:r>
            <w:hyperlink r:id="rId65" w:anchor=":~:text=Flash%20flood%3A%20A%20flood%20caused,canyons%20sweeping%20everything%20before%20them." w:history="1">
              <w:r w:rsidRPr="00360515">
                <w:rPr>
                  <w:rStyle w:val="Hyperlink"/>
                  <w:rFonts w:ascii="Franklin Gothic Book" w:hAnsi="Franklin Gothic Book"/>
                  <w:sz w:val="22"/>
                  <w:szCs w:val="22"/>
                </w:rPr>
                <w:t>NOAA</w:t>
              </w:r>
            </w:hyperlink>
            <w:r w:rsidRPr="00360515">
              <w:rPr>
                <w:rFonts w:ascii="Franklin Gothic Book" w:hAnsi="Franklin Gothic Book"/>
                <w:sz w:val="22"/>
                <w:szCs w:val="22"/>
              </w:rPr>
              <w:t>)</w:t>
            </w:r>
            <w:r w:rsidRPr="006D7F53">
              <w:rPr>
                <w:rFonts w:ascii="Franklin Gothic Book" w:hAnsi="Franklin Gothic Book" w:cs="Times New Roman"/>
                <w:sz w:val="22"/>
                <w:szCs w:val="22"/>
              </w:rPr>
              <w:t xml:space="preserve"> </w:t>
            </w:r>
          </w:p>
          <w:p w14:paraId="517595FC" w14:textId="77777777" w:rsidR="006D7F53" w:rsidRPr="006D7F53" w:rsidRDefault="006D7F53" w:rsidP="0013785F">
            <w:pPr>
              <w:spacing w:line="260" w:lineRule="exact"/>
              <w:rPr>
                <w:rFonts w:ascii="Franklin Gothic Book" w:hAnsi="Franklin Gothic Book"/>
                <w:color w:val="auto"/>
                <w:sz w:val="22"/>
                <w:szCs w:val="22"/>
              </w:rPr>
            </w:pPr>
          </w:p>
        </w:tc>
      </w:tr>
      <w:tr w:rsidR="002746A7" w:rsidRPr="005862A9" w14:paraId="2636DACA" w14:textId="77777777" w:rsidTr="00B12D87">
        <w:tc>
          <w:tcPr>
            <w:tcW w:w="2705" w:type="dxa"/>
          </w:tcPr>
          <w:p w14:paraId="50C6FC57" w14:textId="15310F0B" w:rsidR="002746A7" w:rsidRPr="002746A7" w:rsidRDefault="002746A7" w:rsidP="0013785F">
            <w:pPr>
              <w:pStyle w:val="3Paragraph"/>
              <w:spacing w:line="260" w:lineRule="exact"/>
              <w:rPr>
                <w:color w:val="auto"/>
              </w:rPr>
            </w:pPr>
            <w:r>
              <w:rPr>
                <w:color w:val="auto"/>
              </w:rPr>
              <w:t xml:space="preserve">Flood </w:t>
            </w:r>
          </w:p>
        </w:tc>
        <w:tc>
          <w:tcPr>
            <w:tcW w:w="6655" w:type="dxa"/>
          </w:tcPr>
          <w:p w14:paraId="1C2EBAA0" w14:textId="27D879E3" w:rsidR="002746A7" w:rsidRDefault="002746A7" w:rsidP="0013785F">
            <w:pPr>
              <w:spacing w:line="260" w:lineRule="exact"/>
              <w:rPr>
                <w:rFonts w:ascii="Franklin Gothic Book" w:hAnsi="Franklin Gothic Book"/>
                <w:sz w:val="22"/>
                <w:szCs w:val="22"/>
              </w:rPr>
            </w:pPr>
            <w:r w:rsidRPr="002746A7">
              <w:rPr>
                <w:rFonts w:ascii="Franklin Gothic Book" w:hAnsi="Franklin Gothic Book"/>
                <w:sz w:val="22"/>
                <w:szCs w:val="22"/>
              </w:rPr>
              <w:t xml:space="preserve">An overflow of water onto normally dry land. The inundation of a normally dry area </w:t>
            </w:r>
            <w:r w:rsidRPr="00E56448">
              <w:rPr>
                <w:rFonts w:ascii="Franklin Gothic Book" w:hAnsi="Franklin Gothic Book"/>
                <w:sz w:val="22"/>
                <w:szCs w:val="22"/>
              </w:rPr>
              <w:t xml:space="preserve">caused by rising water in an existing waterway, such as a river, stream, or drainage ditch. Ponding of water at or near the point where the rain fell. Flooding is a </w:t>
            </w:r>
            <w:proofErr w:type="gramStart"/>
            <w:r w:rsidRPr="00E56448">
              <w:rPr>
                <w:rFonts w:ascii="Franklin Gothic Book" w:hAnsi="Franklin Gothic Book"/>
                <w:sz w:val="22"/>
                <w:szCs w:val="22"/>
              </w:rPr>
              <w:t>longer term</w:t>
            </w:r>
            <w:proofErr w:type="gramEnd"/>
            <w:r w:rsidRPr="00E56448">
              <w:rPr>
                <w:rFonts w:ascii="Franklin Gothic Book" w:hAnsi="Franklin Gothic Book"/>
                <w:sz w:val="22"/>
                <w:szCs w:val="22"/>
              </w:rPr>
              <w:t xml:space="preserve"> event than flash flooding: it may last days or weeks. (</w:t>
            </w:r>
            <w:hyperlink r:id="rId66" w:history="1">
              <w:r w:rsidRPr="00E56448">
                <w:rPr>
                  <w:rStyle w:val="Hyperlink"/>
                  <w:rFonts w:ascii="Franklin Gothic Book" w:hAnsi="Franklin Gothic Book"/>
                  <w:sz w:val="22"/>
                  <w:szCs w:val="22"/>
                </w:rPr>
                <w:t>NOAA</w:t>
              </w:r>
            </w:hyperlink>
            <w:r w:rsidRPr="00E56448">
              <w:rPr>
                <w:rFonts w:ascii="Franklin Gothic Book" w:hAnsi="Franklin Gothic Book"/>
                <w:sz w:val="22"/>
                <w:szCs w:val="22"/>
              </w:rPr>
              <w:t>)</w:t>
            </w:r>
          </w:p>
          <w:p w14:paraId="7CCB8193" w14:textId="161AC61B" w:rsidR="002746A7" w:rsidRPr="002746A7" w:rsidRDefault="002746A7" w:rsidP="0013785F">
            <w:pPr>
              <w:spacing w:line="260" w:lineRule="exact"/>
              <w:rPr>
                <w:rFonts w:ascii="Franklin Gothic Book" w:hAnsi="Franklin Gothic Book"/>
                <w:color w:val="auto"/>
                <w:sz w:val="22"/>
                <w:szCs w:val="22"/>
              </w:rPr>
            </w:pPr>
          </w:p>
        </w:tc>
      </w:tr>
      <w:tr w:rsidR="00B5589F" w:rsidRPr="005862A9" w14:paraId="5A45DE02" w14:textId="77777777" w:rsidTr="00B12D87">
        <w:tc>
          <w:tcPr>
            <w:tcW w:w="2705" w:type="dxa"/>
          </w:tcPr>
          <w:p w14:paraId="13E33D3C" w14:textId="77777777" w:rsidR="00B5589F" w:rsidRPr="005862A9" w:rsidRDefault="00B5589F" w:rsidP="0013785F">
            <w:pPr>
              <w:pStyle w:val="3Paragraph"/>
              <w:spacing w:line="260" w:lineRule="exact"/>
              <w:rPr>
                <w:color w:val="auto"/>
              </w:rPr>
            </w:pPr>
            <w:r w:rsidRPr="005862A9">
              <w:rPr>
                <w:color w:val="auto"/>
              </w:rPr>
              <w:t>Fugitive Emissions</w:t>
            </w:r>
          </w:p>
        </w:tc>
        <w:tc>
          <w:tcPr>
            <w:tcW w:w="6655" w:type="dxa"/>
          </w:tcPr>
          <w:p w14:paraId="0FB0F3AD"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Non-stack emissions that escape during material transfer, from buildings that contain the process, or directly from process equipment. (</w:t>
            </w:r>
            <w:hyperlink r:id="rId67" w:history="1">
              <w:r w:rsidRPr="005862A9">
                <w:rPr>
                  <w:rStyle w:val="Hyperlink"/>
                  <w:rFonts w:ascii="Franklin Gothic Book" w:hAnsi="Franklin Gothic Book"/>
                  <w:sz w:val="22"/>
                  <w:szCs w:val="22"/>
                </w:rPr>
                <w:t>EPA</w:t>
              </w:r>
            </w:hyperlink>
            <w:r w:rsidRPr="005862A9">
              <w:rPr>
                <w:rFonts w:ascii="Franklin Gothic Book" w:hAnsi="Franklin Gothic Book"/>
                <w:color w:val="auto"/>
                <w:sz w:val="22"/>
                <w:szCs w:val="22"/>
              </w:rPr>
              <w:t>)</w:t>
            </w:r>
          </w:p>
          <w:p w14:paraId="1280F543" w14:textId="77777777" w:rsidR="00B5589F" w:rsidRPr="005862A9" w:rsidRDefault="00B5589F" w:rsidP="0013785F">
            <w:pPr>
              <w:spacing w:line="260" w:lineRule="exact"/>
              <w:rPr>
                <w:rFonts w:ascii="Franklin Gothic Book" w:hAnsi="Franklin Gothic Book"/>
                <w:color w:val="auto"/>
                <w:sz w:val="22"/>
                <w:szCs w:val="22"/>
              </w:rPr>
            </w:pPr>
          </w:p>
          <w:p w14:paraId="784DD4C4" w14:textId="398C73F4"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Emissions that are not physically controlled but result from the intentional or unintentional release of GHGs. They commonly arise from the production, processing, transmission, storage and use of fuels or other substances, often through joints, seals, packing, gaskets, etc. Examples include</w:t>
            </w:r>
            <w:r w:rsidR="00A77A01">
              <w:rPr>
                <w:rFonts w:ascii="Franklin Gothic Book" w:hAnsi="Franklin Gothic Book"/>
                <w:color w:val="auto"/>
                <w:sz w:val="22"/>
                <w:szCs w:val="22"/>
              </w:rPr>
              <w:t xml:space="preserve"> </w:t>
            </w:r>
            <w:r w:rsidR="00A77A01">
              <w:rPr>
                <w:rFonts w:ascii="Franklin Gothic Book" w:hAnsi="Franklin Gothic Book"/>
                <w:sz w:val="22"/>
                <w:szCs w:val="22"/>
              </w:rPr>
              <w:t>hydrofluorocarbons</w:t>
            </w:r>
            <w:r w:rsidRPr="005862A9">
              <w:rPr>
                <w:rFonts w:ascii="Franklin Gothic Book" w:hAnsi="Franklin Gothic Book"/>
                <w:color w:val="auto"/>
                <w:sz w:val="22"/>
                <w:szCs w:val="22"/>
              </w:rPr>
              <w:t xml:space="preserve"> </w:t>
            </w:r>
            <w:r w:rsidR="00A77A01">
              <w:rPr>
                <w:rFonts w:ascii="Franklin Gothic Book" w:hAnsi="Franklin Gothic Book"/>
                <w:color w:val="auto"/>
                <w:sz w:val="22"/>
                <w:szCs w:val="22"/>
              </w:rPr>
              <w:t>(</w:t>
            </w:r>
            <w:r w:rsidRPr="005862A9">
              <w:rPr>
                <w:rFonts w:ascii="Franklin Gothic Book" w:hAnsi="Franklin Gothic Book"/>
                <w:color w:val="auto"/>
                <w:sz w:val="22"/>
                <w:szCs w:val="22"/>
              </w:rPr>
              <w:t>HFCs</w:t>
            </w:r>
            <w:r w:rsidR="00A77A01">
              <w:rPr>
                <w:rFonts w:ascii="Franklin Gothic Book" w:hAnsi="Franklin Gothic Book"/>
                <w:color w:val="auto"/>
                <w:sz w:val="22"/>
                <w:szCs w:val="22"/>
              </w:rPr>
              <w:t>)</w:t>
            </w:r>
            <w:r w:rsidRPr="005862A9">
              <w:rPr>
                <w:rFonts w:ascii="Franklin Gothic Book" w:hAnsi="Franklin Gothic Book"/>
                <w:color w:val="auto"/>
                <w:sz w:val="22"/>
                <w:szCs w:val="22"/>
              </w:rPr>
              <w:t xml:space="preserve"> from refrigeration leaks, SF6 from electrical power distributors, and CH4 from solid waste landfills. </w:t>
            </w:r>
            <w:r w:rsidR="00DE3C6B">
              <w:rPr>
                <w:rFonts w:ascii="Franklin Gothic Book" w:hAnsi="Franklin Gothic Book"/>
                <w:sz w:val="22"/>
                <w:szCs w:val="22"/>
              </w:rPr>
              <w:t>(</w:t>
            </w:r>
            <w:hyperlink r:id="rId68" w:history="1">
              <w:r w:rsidR="00DE3C6B">
                <w:rPr>
                  <w:rStyle w:val="Hyperlink"/>
                  <w:rFonts w:ascii="Franklin Gothic Book" w:hAnsi="Franklin Gothic Book"/>
                  <w:sz w:val="22"/>
                  <w:szCs w:val="22"/>
                </w:rPr>
                <w:t>ICLEI</w:t>
              </w:r>
            </w:hyperlink>
            <w:r w:rsidR="00DE3C6B">
              <w:rPr>
                <w:rFonts w:ascii="Franklin Gothic Book" w:hAnsi="Franklin Gothic Book"/>
                <w:sz w:val="22"/>
                <w:szCs w:val="22"/>
              </w:rPr>
              <w:t>)</w:t>
            </w:r>
          </w:p>
          <w:p w14:paraId="5CE863B4" w14:textId="77777777" w:rsidR="00B5589F" w:rsidRPr="005862A9" w:rsidRDefault="00B5589F" w:rsidP="0013785F">
            <w:pPr>
              <w:pStyle w:val="3Paragraph"/>
              <w:spacing w:line="260" w:lineRule="exact"/>
              <w:rPr>
                <w:color w:val="auto"/>
              </w:rPr>
            </w:pPr>
          </w:p>
        </w:tc>
      </w:tr>
      <w:tr w:rsidR="00A33014" w:rsidRPr="005862A9" w14:paraId="5B412785" w14:textId="77777777" w:rsidTr="00B12D87">
        <w:tc>
          <w:tcPr>
            <w:tcW w:w="2705" w:type="dxa"/>
          </w:tcPr>
          <w:p w14:paraId="3FA65A86" w14:textId="77777777" w:rsidR="00A33014" w:rsidRDefault="00A33014" w:rsidP="00A33014">
            <w:pPr>
              <w:pStyle w:val="3Paragraph"/>
              <w:spacing w:line="260" w:lineRule="exact"/>
              <w:rPr>
                <w:color w:val="auto"/>
              </w:rPr>
            </w:pPr>
            <w:r>
              <w:rPr>
                <w:color w:val="auto"/>
              </w:rPr>
              <w:t>Green Building Codes</w:t>
            </w:r>
          </w:p>
          <w:p w14:paraId="36C22E26" w14:textId="77777777" w:rsidR="00A33014" w:rsidRDefault="00A33014" w:rsidP="0013785F">
            <w:pPr>
              <w:pStyle w:val="3Paragraph"/>
              <w:spacing w:line="260" w:lineRule="exact"/>
              <w:rPr>
                <w:color w:val="auto"/>
              </w:rPr>
            </w:pPr>
          </w:p>
        </w:tc>
        <w:tc>
          <w:tcPr>
            <w:tcW w:w="6655" w:type="dxa"/>
          </w:tcPr>
          <w:p w14:paraId="23C113B8" w14:textId="77777777" w:rsidR="00A33014" w:rsidRDefault="00A33014" w:rsidP="00A33014">
            <w:pPr>
              <w:spacing w:line="260" w:lineRule="exact"/>
              <w:rPr>
                <w:rFonts w:ascii="Franklin Gothic Book" w:hAnsi="Franklin Gothic Book"/>
                <w:color w:val="auto"/>
                <w:sz w:val="22"/>
                <w:szCs w:val="22"/>
              </w:rPr>
            </w:pPr>
            <w:r>
              <w:rPr>
                <w:rFonts w:ascii="Franklin Gothic Book" w:hAnsi="Franklin Gothic Book"/>
                <w:color w:val="auto"/>
                <w:sz w:val="22"/>
                <w:szCs w:val="22"/>
              </w:rPr>
              <w:t>Green Building Codes or Standards are used to enforce requirements that increase the environmental performance of buildings. There are a number of different codes that achieve this including, the International Green Construction Code (</w:t>
            </w:r>
            <w:proofErr w:type="spellStart"/>
            <w:r>
              <w:rPr>
                <w:rFonts w:ascii="Franklin Gothic Book" w:hAnsi="Franklin Gothic Book"/>
                <w:color w:val="auto"/>
                <w:sz w:val="22"/>
                <w:szCs w:val="22"/>
              </w:rPr>
              <w:t>IgCC</w:t>
            </w:r>
            <w:proofErr w:type="spellEnd"/>
            <w:r>
              <w:rPr>
                <w:rFonts w:ascii="Franklin Gothic Book" w:hAnsi="Franklin Gothic Book"/>
                <w:color w:val="auto"/>
                <w:sz w:val="22"/>
                <w:szCs w:val="22"/>
              </w:rPr>
              <w:t>), the International Energy Conservation Code (IECC), the ASHRAE Standard, etc. (</w:t>
            </w:r>
            <w:hyperlink r:id="rId69" w:history="1">
              <w:r>
                <w:rPr>
                  <w:rStyle w:val="Hyperlink"/>
                  <w:rFonts w:ascii="Franklin Gothic Book" w:hAnsi="Franklin Gothic Book"/>
                  <w:sz w:val="22"/>
                  <w:szCs w:val="22"/>
                </w:rPr>
                <w:t>EPA</w:t>
              </w:r>
            </w:hyperlink>
            <w:r>
              <w:rPr>
                <w:rFonts w:ascii="Franklin Gothic Book" w:hAnsi="Franklin Gothic Book"/>
                <w:color w:val="auto"/>
                <w:sz w:val="22"/>
                <w:szCs w:val="22"/>
              </w:rPr>
              <w:t>)</w:t>
            </w:r>
          </w:p>
          <w:p w14:paraId="52712FBC" w14:textId="77777777" w:rsidR="00A33014" w:rsidRPr="005862A9" w:rsidRDefault="00A33014" w:rsidP="007342C4">
            <w:pPr>
              <w:spacing w:line="260" w:lineRule="exact"/>
              <w:rPr>
                <w:rFonts w:ascii="Franklin Gothic Book" w:hAnsi="Franklin Gothic Book"/>
                <w:color w:val="auto"/>
                <w:sz w:val="22"/>
                <w:szCs w:val="22"/>
              </w:rPr>
            </w:pPr>
          </w:p>
        </w:tc>
      </w:tr>
      <w:tr w:rsidR="006D7124" w:rsidRPr="005862A9" w14:paraId="757B1633" w14:textId="77777777" w:rsidTr="00B12D87">
        <w:tc>
          <w:tcPr>
            <w:tcW w:w="2705" w:type="dxa"/>
          </w:tcPr>
          <w:p w14:paraId="030360E6" w14:textId="39977417" w:rsidR="006D7124" w:rsidRPr="005862A9" w:rsidRDefault="006D7124" w:rsidP="0013785F">
            <w:pPr>
              <w:pStyle w:val="3Paragraph"/>
              <w:spacing w:line="260" w:lineRule="exact"/>
              <w:rPr>
                <w:color w:val="auto"/>
              </w:rPr>
            </w:pPr>
            <w:r>
              <w:rPr>
                <w:color w:val="auto"/>
              </w:rPr>
              <w:t xml:space="preserve">Greenhouse Gas </w:t>
            </w:r>
            <w:r w:rsidR="00F57C31">
              <w:rPr>
                <w:color w:val="auto"/>
              </w:rPr>
              <w:t xml:space="preserve">(GHG) </w:t>
            </w:r>
            <w:r>
              <w:rPr>
                <w:color w:val="auto"/>
              </w:rPr>
              <w:t>Emissions</w:t>
            </w:r>
            <w:r w:rsidR="00870CEB">
              <w:rPr>
                <w:color w:val="auto"/>
              </w:rPr>
              <w:t xml:space="preserve"> </w:t>
            </w:r>
          </w:p>
        </w:tc>
        <w:tc>
          <w:tcPr>
            <w:tcW w:w="6655" w:type="dxa"/>
          </w:tcPr>
          <w:p w14:paraId="2D15DB02" w14:textId="77777777" w:rsidR="007342C4" w:rsidRPr="005862A9" w:rsidRDefault="007342C4" w:rsidP="007342C4">
            <w:pPr>
              <w:spacing w:line="260" w:lineRule="exact"/>
              <w:rPr>
                <w:rStyle w:val="Hyperlink"/>
                <w:rFonts w:ascii="Franklin Gothic Book" w:hAnsi="Franklin Gothic Book"/>
                <w:sz w:val="22"/>
                <w:szCs w:val="22"/>
              </w:rPr>
            </w:pPr>
            <w:r w:rsidRPr="005862A9">
              <w:rPr>
                <w:rFonts w:ascii="Franklin Gothic Book" w:hAnsi="Franklin Gothic Book"/>
                <w:color w:val="auto"/>
                <w:sz w:val="22"/>
                <w:szCs w:val="22"/>
              </w:rPr>
              <w:t>Sometimes known as “heat trapping gases,” greenhouse gases are natural or manmade gases that trap heat in the atmosphere and contribute to the greenhouse effect. Greenhouse gases include water vapor, carbon dioxide, methane, nitrous oxide, and fluorinated gases. (</w:t>
            </w:r>
            <w:hyperlink r:id="rId70" w:history="1">
              <w:r w:rsidRPr="005862A9">
                <w:rPr>
                  <w:rStyle w:val="Hyperlink"/>
                  <w:rFonts w:ascii="Franklin Gothic Book" w:hAnsi="Franklin Gothic Book"/>
                  <w:sz w:val="22"/>
                  <w:szCs w:val="22"/>
                </w:rPr>
                <w:t>EPA</w:t>
              </w:r>
            </w:hyperlink>
            <w:r w:rsidRPr="005862A9">
              <w:rPr>
                <w:rStyle w:val="Hyperlink"/>
                <w:rFonts w:ascii="Franklin Gothic Book" w:hAnsi="Franklin Gothic Book"/>
                <w:sz w:val="22"/>
                <w:szCs w:val="22"/>
              </w:rPr>
              <w:t>)</w:t>
            </w:r>
          </w:p>
          <w:p w14:paraId="4E2672B7" w14:textId="77777777" w:rsidR="007342C4" w:rsidRDefault="007342C4" w:rsidP="006D7124">
            <w:pPr>
              <w:pStyle w:val="Default"/>
              <w:rPr>
                <w:rFonts w:ascii="Franklin Gothic Book" w:hAnsi="Franklin Gothic Book"/>
                <w:sz w:val="22"/>
                <w:szCs w:val="22"/>
              </w:rPr>
            </w:pPr>
          </w:p>
          <w:p w14:paraId="49EFE25B" w14:textId="0946591C" w:rsidR="006D7124" w:rsidRPr="006D7124" w:rsidRDefault="006D7124" w:rsidP="006D7124">
            <w:pPr>
              <w:pStyle w:val="Default"/>
              <w:rPr>
                <w:rFonts w:ascii="Franklin Gothic Book" w:hAnsi="Franklin Gothic Book"/>
                <w:sz w:val="22"/>
                <w:szCs w:val="22"/>
              </w:rPr>
            </w:pPr>
            <w:r w:rsidRPr="006D7124">
              <w:rPr>
                <w:rFonts w:ascii="Franklin Gothic Book" w:hAnsi="Franklin Gothic Book"/>
                <w:sz w:val="22"/>
                <w:szCs w:val="22"/>
              </w:rPr>
              <w:t xml:space="preserve">Greenhouse gas emissions are gases that trap heat in the atmosphere. Some greenhouse gases such as carbon dioxide occur naturally and are emitted into the atmosphere through natural </w:t>
            </w:r>
            <w:r w:rsidRPr="006D7124">
              <w:rPr>
                <w:rFonts w:ascii="Franklin Gothic Book" w:hAnsi="Franklin Gothic Book"/>
                <w:sz w:val="22"/>
                <w:szCs w:val="22"/>
              </w:rPr>
              <w:lastRenderedPageBreak/>
              <w:t xml:space="preserve">processes and human activities. Other greenhouse gases are created and emitted solely through human activities. The principal greenhouse gases that enter the atmosphere because of human activities are carbon dioxide (CO2), methane (CH4), nitrous oxide (N2O), and fluorinated gases (hydrofluorocarbons, perfluorocarbons, and sulfur hexafluoride). </w:t>
            </w:r>
            <w:r w:rsidR="00DE3C6B">
              <w:rPr>
                <w:rFonts w:ascii="Franklin Gothic Book" w:hAnsi="Franklin Gothic Book"/>
                <w:sz w:val="22"/>
                <w:szCs w:val="22"/>
              </w:rPr>
              <w:t>(</w:t>
            </w:r>
            <w:hyperlink r:id="rId71" w:history="1">
              <w:r w:rsidR="00DE3C6B">
                <w:rPr>
                  <w:rStyle w:val="Hyperlink"/>
                  <w:rFonts w:ascii="Franklin Gothic Book" w:hAnsi="Franklin Gothic Book"/>
                  <w:sz w:val="22"/>
                  <w:szCs w:val="22"/>
                </w:rPr>
                <w:t>ICLEI</w:t>
              </w:r>
            </w:hyperlink>
            <w:r w:rsidR="00DE3C6B">
              <w:rPr>
                <w:rFonts w:ascii="Franklin Gothic Book" w:hAnsi="Franklin Gothic Book"/>
                <w:sz w:val="22"/>
                <w:szCs w:val="22"/>
              </w:rPr>
              <w:t>)</w:t>
            </w:r>
          </w:p>
          <w:p w14:paraId="33A9003E" w14:textId="77777777" w:rsidR="006D7124" w:rsidRPr="006D7124" w:rsidRDefault="006D7124" w:rsidP="0013785F">
            <w:pPr>
              <w:spacing w:line="260" w:lineRule="exact"/>
              <w:rPr>
                <w:rFonts w:ascii="Franklin Gothic Book" w:hAnsi="Franklin Gothic Book"/>
                <w:color w:val="auto"/>
                <w:sz w:val="22"/>
                <w:szCs w:val="22"/>
              </w:rPr>
            </w:pPr>
          </w:p>
        </w:tc>
      </w:tr>
      <w:tr w:rsidR="00870CEB" w:rsidRPr="005862A9" w14:paraId="25176CD3" w14:textId="77777777" w:rsidTr="00B12D87">
        <w:tc>
          <w:tcPr>
            <w:tcW w:w="2705" w:type="dxa"/>
          </w:tcPr>
          <w:p w14:paraId="32269EC0" w14:textId="58D49731" w:rsidR="00870CEB" w:rsidRPr="00870CEB" w:rsidRDefault="00870CEB" w:rsidP="00870CEB">
            <w:pPr>
              <w:pStyle w:val="Default"/>
              <w:rPr>
                <w:rFonts w:ascii="Franklin Gothic Book" w:hAnsi="Franklin Gothic Book"/>
                <w:sz w:val="22"/>
                <w:szCs w:val="22"/>
              </w:rPr>
            </w:pPr>
            <w:r w:rsidRPr="00870CEB">
              <w:rPr>
                <w:rFonts w:ascii="Franklin Gothic Book" w:hAnsi="Franklin Gothic Book"/>
                <w:sz w:val="22"/>
                <w:szCs w:val="22"/>
              </w:rPr>
              <w:lastRenderedPageBreak/>
              <w:t xml:space="preserve">GHG Emission Sources and Associated Activities </w:t>
            </w:r>
          </w:p>
          <w:p w14:paraId="64BE1499" w14:textId="77777777" w:rsidR="00870CEB" w:rsidRPr="00870CEB" w:rsidRDefault="00870CEB" w:rsidP="0013785F">
            <w:pPr>
              <w:pStyle w:val="3Paragraph"/>
              <w:spacing w:line="260" w:lineRule="exact"/>
              <w:rPr>
                <w:color w:val="auto"/>
              </w:rPr>
            </w:pPr>
          </w:p>
        </w:tc>
        <w:tc>
          <w:tcPr>
            <w:tcW w:w="6655" w:type="dxa"/>
          </w:tcPr>
          <w:p w14:paraId="1470109D" w14:textId="09A61EB4" w:rsidR="00870CEB" w:rsidRPr="00870CEB" w:rsidRDefault="00870CEB" w:rsidP="00870CEB">
            <w:pPr>
              <w:pStyle w:val="Default"/>
              <w:rPr>
                <w:rFonts w:ascii="Franklin Gothic Book" w:hAnsi="Franklin Gothic Book"/>
                <w:sz w:val="22"/>
                <w:szCs w:val="22"/>
              </w:rPr>
            </w:pPr>
            <w:r w:rsidRPr="00870CEB">
              <w:rPr>
                <w:rFonts w:ascii="Franklin Gothic Book" w:hAnsi="Franklin Gothic Book"/>
                <w:sz w:val="22"/>
                <w:szCs w:val="22"/>
              </w:rPr>
              <w:t xml:space="preserve">GHG emission sources are any physical process or activity that releases GHG emissions into the atmosphere. Examples of emission sources </w:t>
            </w:r>
            <w:r w:rsidR="000C64D0" w:rsidRPr="00870CEB">
              <w:rPr>
                <w:rFonts w:ascii="Franklin Gothic Book" w:hAnsi="Franklin Gothic Book"/>
                <w:sz w:val="22"/>
                <w:szCs w:val="22"/>
              </w:rPr>
              <w:t>include</w:t>
            </w:r>
            <w:r w:rsidRPr="00870CEB">
              <w:rPr>
                <w:rFonts w:ascii="Franklin Gothic Book" w:hAnsi="Franklin Gothic Book"/>
                <w:sz w:val="22"/>
                <w:szCs w:val="22"/>
              </w:rPr>
              <w:t xml:space="preserve"> vehicle exhaust from combustion of gasoline, furnace exhaust from the combustion of natural gas, power plant exhaust from the combustion of coal </w:t>
            </w:r>
            <w:proofErr w:type="gramStart"/>
            <w:r w:rsidRPr="00870CEB">
              <w:rPr>
                <w:rFonts w:ascii="Franklin Gothic Book" w:hAnsi="Franklin Gothic Book"/>
                <w:sz w:val="22"/>
                <w:szCs w:val="22"/>
              </w:rPr>
              <w:t>for the production of</w:t>
            </w:r>
            <w:proofErr w:type="gramEnd"/>
            <w:r w:rsidRPr="00870CEB">
              <w:rPr>
                <w:rFonts w:ascii="Franklin Gothic Book" w:hAnsi="Franklin Gothic Book"/>
                <w:sz w:val="22"/>
                <w:szCs w:val="22"/>
              </w:rPr>
              <w:t xml:space="preserve"> electricity, fugitive emissions from leaking refrigerants, and methane emissions from a landfill. Activities associated with GHG emission sources are human activities that result in the production of GHG emissions. An example is electricity use, which requires the generation of electricity at a power plant that may produce a quantity of GHG emissions in the process of generating the electricity. </w:t>
            </w:r>
            <w:r>
              <w:rPr>
                <w:rFonts w:ascii="Franklin Gothic Book" w:hAnsi="Franklin Gothic Book"/>
                <w:sz w:val="22"/>
                <w:szCs w:val="22"/>
              </w:rPr>
              <w:t>(</w:t>
            </w:r>
            <w:hyperlink r:id="rId72" w:history="1">
              <w:r w:rsidR="00DE3C6B">
                <w:rPr>
                  <w:rStyle w:val="Hyperlink"/>
                  <w:rFonts w:ascii="Franklin Gothic Book" w:hAnsi="Franklin Gothic Book"/>
                  <w:sz w:val="22"/>
                  <w:szCs w:val="22"/>
                </w:rPr>
                <w:t>ICLEI</w:t>
              </w:r>
            </w:hyperlink>
            <w:r>
              <w:rPr>
                <w:rFonts w:ascii="Franklin Gothic Book" w:hAnsi="Franklin Gothic Book"/>
                <w:sz w:val="22"/>
                <w:szCs w:val="22"/>
              </w:rPr>
              <w:t>)</w:t>
            </w:r>
          </w:p>
          <w:p w14:paraId="6B292904" w14:textId="77777777" w:rsidR="00870CEB" w:rsidRPr="00870CEB" w:rsidRDefault="00870CEB" w:rsidP="0013785F">
            <w:pPr>
              <w:spacing w:line="260" w:lineRule="exact"/>
              <w:rPr>
                <w:rFonts w:ascii="Franklin Gothic Book" w:hAnsi="Franklin Gothic Book"/>
                <w:color w:val="auto"/>
                <w:sz w:val="22"/>
                <w:szCs w:val="22"/>
              </w:rPr>
            </w:pPr>
          </w:p>
        </w:tc>
      </w:tr>
      <w:tr w:rsidR="00B5589F" w:rsidRPr="005862A9" w14:paraId="490A8100" w14:textId="77777777" w:rsidTr="00B12D87">
        <w:tc>
          <w:tcPr>
            <w:tcW w:w="2705" w:type="dxa"/>
          </w:tcPr>
          <w:p w14:paraId="4562E8F7" w14:textId="77777777" w:rsidR="00B5589F" w:rsidRPr="005862A9" w:rsidRDefault="00B5589F" w:rsidP="0013785F">
            <w:pPr>
              <w:pStyle w:val="3Paragraph"/>
              <w:spacing w:line="260" w:lineRule="exact"/>
              <w:rPr>
                <w:color w:val="auto"/>
              </w:rPr>
            </w:pPr>
            <w:r w:rsidRPr="005862A9">
              <w:rPr>
                <w:color w:val="auto"/>
              </w:rPr>
              <w:t>Green Bank</w:t>
            </w:r>
          </w:p>
          <w:p w14:paraId="7E901754" w14:textId="77777777" w:rsidR="00B5589F" w:rsidRPr="005862A9" w:rsidRDefault="00B5589F" w:rsidP="0013785F">
            <w:pPr>
              <w:pStyle w:val="3Paragraph"/>
              <w:spacing w:line="260" w:lineRule="exact"/>
              <w:rPr>
                <w:color w:val="auto"/>
              </w:rPr>
            </w:pPr>
          </w:p>
        </w:tc>
        <w:tc>
          <w:tcPr>
            <w:tcW w:w="6655" w:type="dxa"/>
          </w:tcPr>
          <w:p w14:paraId="78DBFC48"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Green Bank is a dedicated public or non-profit finance entity designed to drive private capital into market gaps. It is a finance institution dedicated to increasing and accelerating investment in clean power goods and services. Its mission is to use finance tools to mitigate climate change. Unlike typical “banks” it does not take deposits, and its operations can be funded by governments or charitable contributions or both. It may deploy capital from public or private sources, invest on its own or in conjunction with private sector investors. (</w:t>
            </w:r>
            <w:hyperlink r:id="rId73" w:history="1">
              <w:r w:rsidRPr="005862A9">
                <w:rPr>
                  <w:rStyle w:val="Hyperlink"/>
                  <w:rFonts w:ascii="Franklin Gothic Book" w:hAnsi="Franklin Gothic Book"/>
                  <w:sz w:val="22"/>
                  <w:szCs w:val="22"/>
                </w:rPr>
                <w:t>Coalition for Green Capital</w:t>
              </w:r>
            </w:hyperlink>
            <w:r w:rsidRPr="005862A9">
              <w:rPr>
                <w:rFonts w:ascii="Franklin Gothic Book" w:hAnsi="Franklin Gothic Book"/>
                <w:color w:val="auto"/>
                <w:sz w:val="22"/>
                <w:szCs w:val="22"/>
              </w:rPr>
              <w:t>)</w:t>
            </w:r>
          </w:p>
          <w:p w14:paraId="2A6A3F48"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179B4A91" w14:textId="77777777" w:rsidTr="00B12D87">
        <w:tc>
          <w:tcPr>
            <w:tcW w:w="2705" w:type="dxa"/>
          </w:tcPr>
          <w:p w14:paraId="3303C0A8" w14:textId="77777777" w:rsidR="00B5589F" w:rsidRPr="005862A9" w:rsidRDefault="00B5589F" w:rsidP="0013785F">
            <w:pPr>
              <w:pStyle w:val="3Paragraph"/>
              <w:spacing w:line="260" w:lineRule="exact"/>
              <w:rPr>
                <w:color w:val="auto"/>
              </w:rPr>
            </w:pPr>
            <w:r w:rsidRPr="005862A9">
              <w:rPr>
                <w:color w:val="auto"/>
              </w:rPr>
              <w:t>Green Bonds</w:t>
            </w:r>
          </w:p>
          <w:p w14:paraId="3202B6D6" w14:textId="77777777" w:rsidR="00B5589F" w:rsidRPr="005862A9" w:rsidRDefault="00B5589F" w:rsidP="0013785F">
            <w:pPr>
              <w:pStyle w:val="3Paragraph"/>
              <w:spacing w:line="260" w:lineRule="exact"/>
              <w:rPr>
                <w:color w:val="auto"/>
              </w:rPr>
            </w:pPr>
          </w:p>
        </w:tc>
        <w:tc>
          <w:tcPr>
            <w:tcW w:w="6655" w:type="dxa"/>
          </w:tcPr>
          <w:p w14:paraId="2D2D065C" w14:textId="5BD77148"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green bond is a bond specifically earmarked to be used for climate and environmental projects. These bonds are typically asset-linked and backed by the issuer's balance sheet and are also referred to as climate bonds. Green bonds are designated bonds intended to encourage sustainability and to support climate-related or other types of special environmental projects. More specifically, green bonds finance projects aimed at energy efficiency, pollution prevention, sustainable agriculture, fishery and forestry, the protection of aquatic and terrestrial ecosystems, clean transportation, sustainable water management and the cultivation of environmentally friendly technologies. (</w:t>
            </w:r>
            <w:hyperlink r:id="rId74" w:history="1">
              <w:r w:rsidRPr="005862A9">
                <w:rPr>
                  <w:rStyle w:val="Hyperlink"/>
                  <w:rFonts w:ascii="Franklin Gothic Book" w:hAnsi="Franklin Gothic Book"/>
                  <w:sz w:val="22"/>
                  <w:szCs w:val="22"/>
                </w:rPr>
                <w:t>Investopedia</w:t>
              </w:r>
            </w:hyperlink>
            <w:r w:rsidRPr="005862A9">
              <w:rPr>
                <w:rFonts w:ascii="Franklin Gothic Book" w:hAnsi="Franklin Gothic Book"/>
                <w:color w:val="auto"/>
                <w:sz w:val="22"/>
                <w:szCs w:val="22"/>
              </w:rPr>
              <w:t>)</w:t>
            </w:r>
          </w:p>
          <w:p w14:paraId="3359D05D"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0DEF3397" w14:textId="77777777" w:rsidTr="00B12D87">
        <w:tc>
          <w:tcPr>
            <w:tcW w:w="2705" w:type="dxa"/>
          </w:tcPr>
          <w:p w14:paraId="3B885ACB" w14:textId="278F909D" w:rsidR="00B5589F" w:rsidRPr="005862A9" w:rsidRDefault="007342C4" w:rsidP="0013785F">
            <w:pPr>
              <w:pStyle w:val="3Paragraph"/>
              <w:spacing w:line="260" w:lineRule="exact"/>
              <w:rPr>
                <w:color w:val="auto"/>
              </w:rPr>
            </w:pPr>
            <w:r>
              <w:rPr>
                <w:color w:val="auto"/>
              </w:rPr>
              <w:t>Grid-Connected Renewable Energy System</w:t>
            </w:r>
          </w:p>
        </w:tc>
        <w:tc>
          <w:tcPr>
            <w:tcW w:w="6655" w:type="dxa"/>
          </w:tcPr>
          <w:p w14:paraId="6D00DB05" w14:textId="4E7D2489" w:rsidR="00B5589F" w:rsidRPr="007342C4" w:rsidRDefault="007342C4" w:rsidP="0013785F">
            <w:pPr>
              <w:spacing w:line="260" w:lineRule="exact"/>
              <w:rPr>
                <w:rFonts w:ascii="Franklin Gothic Book" w:hAnsi="Franklin Gothic Book" w:cs="Arial"/>
                <w:color w:val="222222"/>
                <w:sz w:val="22"/>
                <w:szCs w:val="22"/>
                <w:shd w:val="clear" w:color="auto" w:fill="FFFFFF"/>
              </w:rPr>
            </w:pPr>
            <w:r w:rsidRPr="007342C4">
              <w:rPr>
                <w:rFonts w:ascii="Franklin Gothic Book" w:hAnsi="Franklin Gothic Book" w:cs="Arial"/>
                <w:color w:val="222222"/>
                <w:sz w:val="22"/>
                <w:szCs w:val="22"/>
                <w:shd w:val="clear" w:color="auto" w:fill="FFFFFF"/>
              </w:rPr>
              <w:t>A grid-connected system allows you to power your home or small business with renewable energy during those periods (daily as well as seasonally) when the sun is shining, the water is running, or the wind is blowing. Any excess electricity you produce is fed back into the grid.</w:t>
            </w:r>
            <w:r>
              <w:rPr>
                <w:rFonts w:ascii="Franklin Gothic Book" w:hAnsi="Franklin Gothic Book" w:cs="Arial"/>
                <w:color w:val="222222"/>
                <w:sz w:val="22"/>
                <w:szCs w:val="22"/>
                <w:shd w:val="clear" w:color="auto" w:fill="FFFFFF"/>
              </w:rPr>
              <w:t xml:space="preserve"> (</w:t>
            </w:r>
            <w:hyperlink r:id="rId75" w:anchor=":~:text=A%20grid%2Dconnected%20system%20allows,fed%20back%20into%20the%20grid." w:history="1">
              <w:r w:rsidRPr="007342C4">
                <w:rPr>
                  <w:rStyle w:val="Hyperlink"/>
                  <w:rFonts w:ascii="Franklin Gothic Book" w:hAnsi="Franklin Gothic Book" w:cs="Arial"/>
                  <w:sz w:val="22"/>
                  <w:szCs w:val="22"/>
                  <w:shd w:val="clear" w:color="auto" w:fill="FFFFFF"/>
                </w:rPr>
                <w:t>DOE</w:t>
              </w:r>
            </w:hyperlink>
            <w:r>
              <w:rPr>
                <w:rFonts w:ascii="Franklin Gothic Book" w:hAnsi="Franklin Gothic Book" w:cs="Arial"/>
                <w:color w:val="222222"/>
                <w:sz w:val="22"/>
                <w:szCs w:val="22"/>
                <w:shd w:val="clear" w:color="auto" w:fill="FFFFFF"/>
              </w:rPr>
              <w:t>)</w:t>
            </w:r>
          </w:p>
          <w:p w14:paraId="0077C5E3" w14:textId="766071F6" w:rsidR="007342C4" w:rsidRPr="007342C4" w:rsidRDefault="007342C4" w:rsidP="0013785F">
            <w:pPr>
              <w:spacing w:line="260" w:lineRule="exact"/>
              <w:rPr>
                <w:rFonts w:ascii="Franklin Gothic Book" w:hAnsi="Franklin Gothic Book"/>
                <w:color w:val="auto"/>
                <w:sz w:val="22"/>
                <w:szCs w:val="22"/>
              </w:rPr>
            </w:pPr>
          </w:p>
        </w:tc>
      </w:tr>
      <w:tr w:rsidR="00F36D33" w:rsidRPr="005862A9" w14:paraId="1ABBA59A" w14:textId="77777777" w:rsidTr="00B12D87">
        <w:tc>
          <w:tcPr>
            <w:tcW w:w="2705" w:type="dxa"/>
          </w:tcPr>
          <w:p w14:paraId="26A3D372" w14:textId="2D131815" w:rsidR="00F36D33" w:rsidRPr="005862A9" w:rsidRDefault="00F36D33" w:rsidP="0013785F">
            <w:pPr>
              <w:pStyle w:val="3Paragraph"/>
              <w:spacing w:line="260" w:lineRule="exact"/>
              <w:rPr>
                <w:color w:val="auto"/>
              </w:rPr>
            </w:pPr>
            <w:r>
              <w:rPr>
                <w:color w:val="auto"/>
              </w:rPr>
              <w:t>Hazard</w:t>
            </w:r>
          </w:p>
        </w:tc>
        <w:tc>
          <w:tcPr>
            <w:tcW w:w="6655" w:type="dxa"/>
          </w:tcPr>
          <w:p w14:paraId="2C66D639" w14:textId="53AE639F" w:rsidR="00F36D33" w:rsidRDefault="00F36D33" w:rsidP="0013785F">
            <w:pPr>
              <w:pStyle w:val="3Paragraph"/>
              <w:spacing w:line="260" w:lineRule="exact"/>
              <w:rPr>
                <w:szCs w:val="18"/>
              </w:rPr>
            </w:pPr>
            <w:r>
              <w:rPr>
                <w:szCs w:val="18"/>
              </w:rPr>
              <w:t xml:space="preserve">The potential occurrence of a natural or human-induced physical event or trend or physical impact that may cause loss of life, injury or other health impacts, as well as damage and loss to property, </w:t>
            </w:r>
            <w:r>
              <w:rPr>
                <w:szCs w:val="18"/>
              </w:rPr>
              <w:lastRenderedPageBreak/>
              <w:t>infrastructure, livelihoods, service provision, ecosystems, and environmental resources. The term hazard usually refers to climate-related physical events or trends or their physical impacts. (</w:t>
            </w:r>
            <w:hyperlink r:id="rId76" w:history="1">
              <w:r w:rsidRPr="00F36D33">
                <w:rPr>
                  <w:rStyle w:val="Hyperlink"/>
                  <w:szCs w:val="18"/>
                </w:rPr>
                <w:t>GCoM</w:t>
              </w:r>
            </w:hyperlink>
            <w:r>
              <w:rPr>
                <w:szCs w:val="18"/>
              </w:rPr>
              <w:t>)</w:t>
            </w:r>
          </w:p>
          <w:p w14:paraId="75F3882A" w14:textId="5590BB1B" w:rsidR="00F36D33" w:rsidRPr="005862A9" w:rsidRDefault="00F36D33" w:rsidP="0013785F">
            <w:pPr>
              <w:pStyle w:val="3Paragraph"/>
              <w:spacing w:line="260" w:lineRule="exact"/>
              <w:rPr>
                <w:color w:val="auto"/>
                <w:lang w:val="en-GB"/>
              </w:rPr>
            </w:pPr>
          </w:p>
        </w:tc>
      </w:tr>
      <w:tr w:rsidR="00B268BD" w:rsidRPr="005862A9" w14:paraId="128C910D" w14:textId="77777777" w:rsidTr="00B12D87">
        <w:tc>
          <w:tcPr>
            <w:tcW w:w="2705" w:type="dxa"/>
          </w:tcPr>
          <w:p w14:paraId="3DBB0A79" w14:textId="5AE3539D" w:rsidR="00B268BD" w:rsidRPr="005862A9" w:rsidRDefault="00B268BD" w:rsidP="0013785F">
            <w:pPr>
              <w:pStyle w:val="3Paragraph"/>
              <w:spacing w:line="260" w:lineRule="exact"/>
              <w:rPr>
                <w:color w:val="auto"/>
              </w:rPr>
            </w:pPr>
            <w:r>
              <w:rPr>
                <w:color w:val="auto"/>
              </w:rPr>
              <w:lastRenderedPageBreak/>
              <w:t xml:space="preserve">Heat Wave </w:t>
            </w:r>
          </w:p>
        </w:tc>
        <w:tc>
          <w:tcPr>
            <w:tcW w:w="6655" w:type="dxa"/>
          </w:tcPr>
          <w:p w14:paraId="3E032E4E" w14:textId="72B10E5A" w:rsidR="00B268BD" w:rsidRPr="004A0F94" w:rsidRDefault="00B268BD" w:rsidP="00B268BD">
            <w:pPr>
              <w:pStyle w:val="3Paragraph"/>
              <w:spacing w:line="260" w:lineRule="exact"/>
              <w:rPr>
                <w:color w:val="auto"/>
                <w:lang w:val="en-GB"/>
              </w:rPr>
            </w:pPr>
            <w:r w:rsidRPr="004A0F94">
              <w:rPr>
                <w:color w:val="auto"/>
                <w:lang w:val="en-GB"/>
              </w:rPr>
              <w:t>Prolonged periods of extreme heat. (</w:t>
            </w:r>
            <w:hyperlink r:id="rId77" w:history="1">
              <w:r w:rsidRPr="004A0F94">
                <w:rPr>
                  <w:rStyle w:val="Hyperlink"/>
                  <w:lang w:val="en-GB"/>
                </w:rPr>
                <w:t>CDC</w:t>
              </w:r>
            </w:hyperlink>
            <w:r w:rsidRPr="004A0F94">
              <w:rPr>
                <w:color w:val="auto"/>
                <w:lang w:val="en-GB"/>
              </w:rPr>
              <w:t xml:space="preserve">) </w:t>
            </w:r>
          </w:p>
          <w:p w14:paraId="51E1FBAE" w14:textId="77777777" w:rsidR="00B268BD" w:rsidRPr="004A0F94" w:rsidRDefault="00B268BD" w:rsidP="00B268BD">
            <w:pPr>
              <w:pStyle w:val="3Paragraph"/>
              <w:spacing w:line="260" w:lineRule="exact"/>
              <w:rPr>
                <w:color w:val="auto"/>
                <w:lang w:val="en-GB"/>
              </w:rPr>
            </w:pPr>
          </w:p>
          <w:p w14:paraId="1B144A5E" w14:textId="0FE079DD" w:rsidR="00B268BD" w:rsidRPr="004A0F94" w:rsidRDefault="00B268BD" w:rsidP="00B268BD">
            <w:pPr>
              <w:rPr>
                <w:rFonts w:ascii="Franklin Gothic Book" w:hAnsi="Franklin Gothic Book" w:cs="Times New Roman"/>
                <w:color w:val="auto"/>
                <w:sz w:val="22"/>
                <w:szCs w:val="22"/>
              </w:rPr>
            </w:pPr>
            <w:r w:rsidRPr="004A0F94">
              <w:rPr>
                <w:rFonts w:ascii="Franklin Gothic Book" w:hAnsi="Franklin Gothic Book"/>
                <w:sz w:val="22"/>
                <w:szCs w:val="22"/>
                <w:lang w:val="en-GB"/>
              </w:rPr>
              <w:t xml:space="preserve">A heat wave is a period of unusually hot weather that typically lasts two or more days. To be considered a heat wave, the temperatures </w:t>
            </w:r>
            <w:proofErr w:type="gramStart"/>
            <w:r w:rsidRPr="004A0F94">
              <w:rPr>
                <w:rFonts w:ascii="Franklin Gothic Book" w:hAnsi="Franklin Gothic Book"/>
                <w:sz w:val="22"/>
                <w:szCs w:val="22"/>
                <w:lang w:val="en-GB"/>
              </w:rPr>
              <w:t>have to</w:t>
            </w:r>
            <w:proofErr w:type="gramEnd"/>
            <w:r w:rsidRPr="004A0F94">
              <w:rPr>
                <w:rFonts w:ascii="Franklin Gothic Book" w:hAnsi="Franklin Gothic Book"/>
                <w:sz w:val="22"/>
                <w:szCs w:val="22"/>
                <w:lang w:val="en-GB"/>
              </w:rPr>
              <w:t xml:space="preserve"> be outside the historical averages for a given area. (</w:t>
            </w:r>
            <w:hyperlink r:id="rId78" w:history="1">
              <w:r w:rsidRPr="004A0F94">
                <w:rPr>
                  <w:rStyle w:val="Hyperlink"/>
                  <w:rFonts w:ascii="Franklin Gothic Book" w:hAnsi="Franklin Gothic Book"/>
                  <w:sz w:val="22"/>
                  <w:szCs w:val="22"/>
                  <w:lang w:val="en-GB"/>
                </w:rPr>
                <w:t>NOAA</w:t>
              </w:r>
            </w:hyperlink>
            <w:r w:rsidRPr="004A0F94">
              <w:rPr>
                <w:rFonts w:ascii="Franklin Gothic Book" w:hAnsi="Franklin Gothic Book"/>
                <w:sz w:val="22"/>
                <w:szCs w:val="22"/>
                <w:lang w:val="en-GB"/>
              </w:rPr>
              <w:t xml:space="preserve">) </w:t>
            </w:r>
          </w:p>
          <w:p w14:paraId="4B8D9B53" w14:textId="77777777" w:rsidR="00B268BD" w:rsidRPr="004A0F94" w:rsidRDefault="00B268BD" w:rsidP="0013785F">
            <w:pPr>
              <w:pStyle w:val="3Paragraph"/>
              <w:spacing w:line="260" w:lineRule="exact"/>
              <w:rPr>
                <w:color w:val="auto"/>
                <w:lang w:val="en-GB"/>
              </w:rPr>
            </w:pPr>
          </w:p>
        </w:tc>
      </w:tr>
      <w:tr w:rsidR="005463B5" w:rsidRPr="005862A9" w14:paraId="30EDD455" w14:textId="77777777" w:rsidTr="00B12D87">
        <w:tc>
          <w:tcPr>
            <w:tcW w:w="2705" w:type="dxa"/>
          </w:tcPr>
          <w:p w14:paraId="54FBA8B1" w14:textId="5E2A4D33" w:rsidR="005463B5" w:rsidRPr="005862A9" w:rsidRDefault="005463B5" w:rsidP="0013785F">
            <w:pPr>
              <w:pStyle w:val="3Paragraph"/>
              <w:spacing w:line="260" w:lineRule="exact"/>
              <w:rPr>
                <w:color w:val="auto"/>
              </w:rPr>
            </w:pPr>
            <w:r>
              <w:rPr>
                <w:color w:val="auto"/>
              </w:rPr>
              <w:t>Hurricane</w:t>
            </w:r>
          </w:p>
        </w:tc>
        <w:tc>
          <w:tcPr>
            <w:tcW w:w="6655" w:type="dxa"/>
          </w:tcPr>
          <w:p w14:paraId="03EB9B09" w14:textId="28883D86" w:rsidR="005463B5" w:rsidRPr="004A0F94" w:rsidRDefault="005463B5" w:rsidP="005463B5">
            <w:pPr>
              <w:rPr>
                <w:rFonts w:ascii="Franklin Gothic Book" w:hAnsi="Franklin Gothic Book"/>
                <w:sz w:val="22"/>
                <w:szCs w:val="22"/>
                <w:lang w:val="en-GB"/>
              </w:rPr>
            </w:pPr>
            <w:r w:rsidRPr="004A0F94">
              <w:rPr>
                <w:rFonts w:ascii="Franklin Gothic Book" w:hAnsi="Franklin Gothic Book"/>
                <w:sz w:val="22"/>
                <w:szCs w:val="22"/>
                <w:lang w:val="en-GB"/>
              </w:rPr>
              <w:t>A hurricane is a type of storm called a tropical cyclone, which forms over tropical or subtropical waters.</w:t>
            </w:r>
            <w:r w:rsidRPr="004A0F94">
              <w:rPr>
                <w:rFonts w:ascii="Franklin Gothic Book" w:hAnsi="Franklin Gothic Book"/>
                <w:sz w:val="22"/>
                <w:szCs w:val="22"/>
              </w:rPr>
              <w:t xml:space="preserve"> </w:t>
            </w:r>
            <w:r w:rsidRPr="004A0F94">
              <w:rPr>
                <w:rFonts w:ascii="Franklin Gothic Book" w:hAnsi="Franklin Gothic Book"/>
                <w:sz w:val="22"/>
                <w:szCs w:val="22"/>
                <w:lang w:val="en-GB"/>
              </w:rPr>
              <w:t>A tropical cyclone is a rotating pressure weather system that has organized thunderstorms but no fronts (a boundary separating two air masses of different densities). Tropical cyclones with maximum sustained surface winds of less than 39 miles per hour (mph) are called tropical depressions. Those with maximum sustained winds of 39 mph or higher are called tropical storms. When a storm's maximum sustained winds reach 74 mph, it is called a hurricane. The Saffir-Simpson Hurricane Wind Scale is a 1 to 5 rating, or category, based on a hurricane's maximum sustained winds. (</w:t>
            </w:r>
            <w:hyperlink r:id="rId79" w:anchor=":~:text=A%20hurricane%20is%20a%20type,over%20tropical%20or%20subtropical%20waters.&amp;text=When%20a%20storm's%20maximum%20sustained,a%20hurricane's%20maximum%20sustained%20winds." w:history="1">
              <w:r w:rsidRPr="004A0F94">
                <w:rPr>
                  <w:rStyle w:val="Hyperlink"/>
                  <w:rFonts w:ascii="Franklin Gothic Book" w:hAnsi="Franklin Gothic Book"/>
                  <w:sz w:val="22"/>
                  <w:szCs w:val="22"/>
                  <w:lang w:val="en-GB"/>
                </w:rPr>
                <w:t>NOAA</w:t>
              </w:r>
            </w:hyperlink>
            <w:r w:rsidRPr="004A0F94">
              <w:rPr>
                <w:rFonts w:ascii="Franklin Gothic Book" w:hAnsi="Franklin Gothic Book"/>
                <w:sz w:val="22"/>
                <w:szCs w:val="22"/>
                <w:lang w:val="en-GB"/>
              </w:rPr>
              <w:t>)</w:t>
            </w:r>
          </w:p>
          <w:p w14:paraId="558380B7" w14:textId="6F72030A" w:rsidR="005463B5" w:rsidRPr="004A0F94" w:rsidRDefault="005463B5" w:rsidP="005463B5">
            <w:pPr>
              <w:rPr>
                <w:rFonts w:ascii="Franklin Gothic Book" w:hAnsi="Franklin Gothic Book"/>
                <w:color w:val="auto"/>
                <w:sz w:val="22"/>
                <w:szCs w:val="22"/>
                <w:lang w:val="en-GB"/>
              </w:rPr>
            </w:pPr>
          </w:p>
        </w:tc>
      </w:tr>
      <w:tr w:rsidR="00B5589F" w:rsidRPr="005862A9" w14:paraId="62AC82D7" w14:textId="77777777" w:rsidTr="00B12D87">
        <w:tc>
          <w:tcPr>
            <w:tcW w:w="2705" w:type="dxa"/>
          </w:tcPr>
          <w:p w14:paraId="2C9ADC15" w14:textId="77777777" w:rsidR="00B5589F" w:rsidRPr="005862A9" w:rsidRDefault="00B5589F" w:rsidP="0013785F">
            <w:pPr>
              <w:pStyle w:val="3Paragraph"/>
              <w:spacing w:line="260" w:lineRule="exact"/>
              <w:rPr>
                <w:color w:val="auto"/>
              </w:rPr>
            </w:pPr>
            <w:r w:rsidRPr="005862A9">
              <w:rPr>
                <w:color w:val="auto"/>
              </w:rPr>
              <w:t>Hybrid Electric Vehicle (HEV)</w:t>
            </w:r>
          </w:p>
          <w:p w14:paraId="4BF9E7C2" w14:textId="77777777" w:rsidR="00B5589F" w:rsidRPr="005862A9" w:rsidRDefault="00B5589F" w:rsidP="0013785F">
            <w:pPr>
              <w:pStyle w:val="3Paragraph"/>
              <w:spacing w:line="260" w:lineRule="exact"/>
              <w:rPr>
                <w:color w:val="auto"/>
              </w:rPr>
            </w:pPr>
          </w:p>
        </w:tc>
        <w:tc>
          <w:tcPr>
            <w:tcW w:w="6655" w:type="dxa"/>
          </w:tcPr>
          <w:p w14:paraId="4D3CE2AB" w14:textId="77777777" w:rsidR="00B5589F" w:rsidRPr="005862A9" w:rsidRDefault="00B5589F" w:rsidP="0013785F">
            <w:pPr>
              <w:pStyle w:val="3Paragraph"/>
              <w:spacing w:line="260" w:lineRule="exact"/>
              <w:rPr>
                <w:color w:val="auto"/>
                <w:lang w:val="en-GB"/>
              </w:rPr>
            </w:pPr>
            <w:r w:rsidRPr="005862A9">
              <w:rPr>
                <w:color w:val="auto"/>
                <w:lang w:val="en-GB"/>
              </w:rPr>
              <w:t>HEVs have an Internal Combustion Engine (ICE) and no plug-in capability. The “electric” component of HEVs is derived from the charging of a battery via regenerative braking, which reduces gasoline consumption. (</w:t>
            </w:r>
            <w:hyperlink r:id="rId80" w:history="1">
              <w:r w:rsidRPr="005862A9">
                <w:rPr>
                  <w:rStyle w:val="Hyperlink"/>
                  <w:lang w:val="en-GB"/>
                </w:rPr>
                <w:t>Adapted from Cadmus Pathways to EV</w:t>
              </w:r>
            </w:hyperlink>
            <w:r w:rsidRPr="005862A9">
              <w:rPr>
                <w:color w:val="auto"/>
                <w:lang w:val="en-GB"/>
              </w:rPr>
              <w:t>)</w:t>
            </w:r>
          </w:p>
          <w:p w14:paraId="33D08C8B" w14:textId="77777777" w:rsidR="00B5589F" w:rsidRPr="005862A9" w:rsidRDefault="00B5589F" w:rsidP="0013785F">
            <w:pPr>
              <w:spacing w:line="260" w:lineRule="exact"/>
              <w:rPr>
                <w:rFonts w:ascii="Franklin Gothic Book" w:hAnsi="Franklin Gothic Book"/>
                <w:color w:val="auto"/>
                <w:sz w:val="22"/>
                <w:szCs w:val="22"/>
              </w:rPr>
            </w:pPr>
          </w:p>
        </w:tc>
      </w:tr>
      <w:tr w:rsidR="004071D7" w:rsidRPr="005862A9" w14:paraId="4B463540" w14:textId="77777777" w:rsidTr="00B12D87">
        <w:tc>
          <w:tcPr>
            <w:tcW w:w="2705" w:type="dxa"/>
          </w:tcPr>
          <w:p w14:paraId="10CD2EF4" w14:textId="38CDED79" w:rsidR="004071D7" w:rsidRDefault="004071D7" w:rsidP="0013785F">
            <w:pPr>
              <w:pStyle w:val="3Paragraph"/>
              <w:spacing w:line="260" w:lineRule="exact"/>
              <w:rPr>
                <w:color w:val="auto"/>
              </w:rPr>
            </w:pPr>
            <w:r>
              <w:rPr>
                <w:color w:val="auto"/>
              </w:rPr>
              <w:t xml:space="preserve">Impact </w:t>
            </w:r>
          </w:p>
        </w:tc>
        <w:tc>
          <w:tcPr>
            <w:tcW w:w="6655" w:type="dxa"/>
          </w:tcPr>
          <w:p w14:paraId="70F0A8C7" w14:textId="701CD007" w:rsidR="004071D7" w:rsidRPr="004071D7" w:rsidRDefault="004071D7" w:rsidP="00CA0ECB">
            <w:pPr>
              <w:spacing w:line="260" w:lineRule="exact"/>
              <w:rPr>
                <w:rFonts w:ascii="Franklin Gothic Book" w:hAnsi="Franklin Gothic Book"/>
                <w:sz w:val="22"/>
                <w:szCs w:val="22"/>
              </w:rPr>
            </w:pPr>
            <w:r w:rsidRPr="004071D7">
              <w:rPr>
                <w:rFonts w:ascii="Franklin Gothic Book" w:hAnsi="Franklin Gothic Book"/>
                <w:sz w:val="22"/>
                <w:szCs w:val="22"/>
              </w:rPr>
              <w:t xml:space="preserve">Climate change impacts are effects of extreme weather and climate events and of climate change on humans and natural systems. Impacts generally refer to effects on lives, livelihoods, health, ecosystems, economies, societies, cultures, </w:t>
            </w:r>
            <w:proofErr w:type="gramStart"/>
            <w:r w:rsidRPr="004071D7">
              <w:rPr>
                <w:rFonts w:ascii="Franklin Gothic Book" w:hAnsi="Franklin Gothic Book"/>
                <w:sz w:val="22"/>
                <w:szCs w:val="22"/>
              </w:rPr>
              <w:t>services</w:t>
            </w:r>
            <w:proofErr w:type="gramEnd"/>
            <w:r w:rsidRPr="004071D7">
              <w:rPr>
                <w:rFonts w:ascii="Franklin Gothic Book" w:hAnsi="Franklin Gothic Book"/>
                <w:sz w:val="22"/>
                <w:szCs w:val="22"/>
              </w:rPr>
              <w:t xml:space="preserve"> and infrastructure due to the interaction of climate changes or hazardous climate events occurring within a specific time period and the vulnerability of an exposed society or system.</w:t>
            </w:r>
            <w:r>
              <w:rPr>
                <w:rFonts w:ascii="Franklin Gothic Book" w:hAnsi="Franklin Gothic Book"/>
                <w:sz w:val="22"/>
                <w:szCs w:val="22"/>
              </w:rPr>
              <w:t xml:space="preserve"> (</w:t>
            </w:r>
            <w:hyperlink r:id="rId81" w:history="1">
              <w:r w:rsidRPr="00C54E83">
                <w:rPr>
                  <w:rStyle w:val="Hyperlink"/>
                  <w:rFonts w:ascii="Franklin Gothic Book" w:hAnsi="Franklin Gothic Book"/>
                  <w:sz w:val="22"/>
                  <w:szCs w:val="22"/>
                </w:rPr>
                <w:t>GCoM</w:t>
              </w:r>
            </w:hyperlink>
            <w:r>
              <w:rPr>
                <w:rFonts w:ascii="Franklin Gothic Book" w:hAnsi="Franklin Gothic Book"/>
                <w:sz w:val="22"/>
                <w:szCs w:val="22"/>
              </w:rPr>
              <w:t>)</w:t>
            </w:r>
          </w:p>
          <w:p w14:paraId="2A8F01D6" w14:textId="5772FA14" w:rsidR="004071D7" w:rsidRPr="00CA0ECB" w:rsidRDefault="004071D7" w:rsidP="00CA0ECB">
            <w:pPr>
              <w:spacing w:line="260" w:lineRule="exact"/>
              <w:rPr>
                <w:rFonts w:ascii="Franklin Gothic Book" w:hAnsi="Franklin Gothic Book"/>
                <w:color w:val="auto"/>
                <w:sz w:val="22"/>
                <w:szCs w:val="22"/>
              </w:rPr>
            </w:pPr>
          </w:p>
        </w:tc>
      </w:tr>
      <w:tr w:rsidR="002A7332" w:rsidRPr="005862A9" w14:paraId="56BC786D" w14:textId="77777777" w:rsidTr="00B12D87">
        <w:tc>
          <w:tcPr>
            <w:tcW w:w="2705" w:type="dxa"/>
          </w:tcPr>
          <w:p w14:paraId="74B35292" w14:textId="263C0283" w:rsidR="002A7332" w:rsidRDefault="002A7332" w:rsidP="0013785F">
            <w:pPr>
              <w:pStyle w:val="3Paragraph"/>
              <w:spacing w:line="260" w:lineRule="exact"/>
              <w:rPr>
                <w:color w:val="auto"/>
              </w:rPr>
            </w:pPr>
            <w:r>
              <w:rPr>
                <w:color w:val="auto"/>
              </w:rPr>
              <w:t xml:space="preserve">Kigali Amendment </w:t>
            </w:r>
          </w:p>
        </w:tc>
        <w:tc>
          <w:tcPr>
            <w:tcW w:w="6655" w:type="dxa"/>
          </w:tcPr>
          <w:p w14:paraId="31323655" w14:textId="77777777" w:rsidR="00CA0ECB" w:rsidRPr="00CA0ECB" w:rsidRDefault="00CA0ECB" w:rsidP="00CA0ECB">
            <w:pPr>
              <w:spacing w:line="260" w:lineRule="exact"/>
              <w:rPr>
                <w:rFonts w:ascii="Franklin Gothic Book" w:hAnsi="Franklin Gothic Book"/>
                <w:color w:val="auto"/>
                <w:sz w:val="22"/>
                <w:szCs w:val="22"/>
              </w:rPr>
            </w:pPr>
            <w:r w:rsidRPr="00CA0ECB">
              <w:rPr>
                <w:rFonts w:ascii="Franklin Gothic Book" w:hAnsi="Franklin Gothic Book"/>
                <w:color w:val="auto"/>
                <w:sz w:val="22"/>
                <w:szCs w:val="22"/>
              </w:rPr>
              <w:t xml:space="preserve">The Kigali Amendment to the Montreal Protocol is an international agreement between 99 countries and the European Union to gradually reduce the consumption and production of HFCs, the group of chemicals </w:t>
            </w:r>
            <w:proofErr w:type="gramStart"/>
            <w:r w:rsidRPr="00CA0ECB">
              <w:rPr>
                <w:rFonts w:ascii="Franklin Gothic Book" w:hAnsi="Franklin Gothic Book"/>
                <w:color w:val="auto"/>
                <w:sz w:val="22"/>
                <w:szCs w:val="22"/>
              </w:rPr>
              <w:t>most commonly used</w:t>
            </w:r>
            <w:proofErr w:type="gramEnd"/>
            <w:r w:rsidRPr="00CA0ECB">
              <w:rPr>
                <w:rFonts w:ascii="Franklin Gothic Book" w:hAnsi="Franklin Gothic Book"/>
                <w:color w:val="auto"/>
                <w:sz w:val="22"/>
                <w:szCs w:val="22"/>
              </w:rPr>
              <w:t xml:space="preserve"> today for refrigeration. The United States has not ratified the Kigali Amendment.</w:t>
            </w:r>
          </w:p>
          <w:p w14:paraId="3AD1A1BA" w14:textId="77777777" w:rsidR="00CA0ECB" w:rsidRDefault="00CA0ECB" w:rsidP="00CA0ECB">
            <w:pPr>
              <w:spacing w:line="260" w:lineRule="exact"/>
              <w:rPr>
                <w:rFonts w:ascii="Franklin Gothic Book" w:hAnsi="Franklin Gothic Book"/>
                <w:sz w:val="22"/>
                <w:szCs w:val="22"/>
              </w:rPr>
            </w:pPr>
          </w:p>
          <w:p w14:paraId="50CC7FDF" w14:textId="32A5D9F6" w:rsidR="00CA0ECB" w:rsidRDefault="00CA0ECB" w:rsidP="00CA0ECB">
            <w:pPr>
              <w:spacing w:line="260" w:lineRule="exact"/>
              <w:rPr>
                <w:rFonts w:ascii="Franklin Gothic Book" w:hAnsi="Franklin Gothic Book"/>
                <w:sz w:val="22"/>
                <w:szCs w:val="22"/>
              </w:rPr>
            </w:pPr>
            <w:r w:rsidRPr="00CA0ECB">
              <w:rPr>
                <w:rFonts w:ascii="Franklin Gothic Book" w:hAnsi="Franklin Gothic Book"/>
                <w:sz w:val="22"/>
                <w:szCs w:val="22"/>
              </w:rPr>
              <w:t xml:space="preserve">Following the implementation of the Montreal Protocol, </w:t>
            </w:r>
            <w:r w:rsidRPr="00CA0ECB">
              <w:rPr>
                <w:rFonts w:ascii="Franklin Gothic Book" w:hAnsi="Franklin Gothic Book"/>
                <w:color w:val="auto"/>
                <w:sz w:val="22"/>
                <w:szCs w:val="22"/>
              </w:rPr>
              <w:t>hydrofluorocarbons</w:t>
            </w:r>
            <w:r w:rsidRPr="00CA0ECB">
              <w:rPr>
                <w:rFonts w:ascii="Franklin Gothic Book" w:hAnsi="Franklin Gothic Book"/>
                <w:sz w:val="22"/>
                <w:szCs w:val="22"/>
              </w:rPr>
              <w:t xml:space="preserve"> </w:t>
            </w:r>
            <w:r>
              <w:rPr>
                <w:rFonts w:ascii="Franklin Gothic Book" w:hAnsi="Franklin Gothic Book"/>
                <w:sz w:val="22"/>
                <w:szCs w:val="22"/>
              </w:rPr>
              <w:t>(</w:t>
            </w:r>
            <w:r w:rsidRPr="00CA0ECB">
              <w:rPr>
                <w:rFonts w:ascii="Franklin Gothic Book" w:hAnsi="Franklin Gothic Book"/>
                <w:sz w:val="22"/>
                <w:szCs w:val="22"/>
              </w:rPr>
              <w:t>HFCs</w:t>
            </w:r>
            <w:r>
              <w:rPr>
                <w:rFonts w:ascii="Franklin Gothic Book" w:hAnsi="Franklin Gothic Book"/>
                <w:sz w:val="22"/>
                <w:szCs w:val="22"/>
              </w:rPr>
              <w:t>)</w:t>
            </w:r>
            <w:r w:rsidRPr="00CA0ECB">
              <w:rPr>
                <w:rFonts w:ascii="Franklin Gothic Book" w:hAnsi="Franklin Gothic Book"/>
                <w:sz w:val="22"/>
                <w:szCs w:val="22"/>
              </w:rPr>
              <w:t xml:space="preserve"> gradually replaced chlorofluorocarbons</w:t>
            </w:r>
            <w:r>
              <w:rPr>
                <w:rFonts w:ascii="Franklin Gothic Book" w:hAnsi="Franklin Gothic Book"/>
                <w:sz w:val="22"/>
                <w:szCs w:val="22"/>
              </w:rPr>
              <w:t xml:space="preserve"> (</w:t>
            </w:r>
            <w:r w:rsidRPr="00CA0ECB">
              <w:rPr>
                <w:rFonts w:ascii="Franklin Gothic Book" w:hAnsi="Franklin Gothic Book"/>
                <w:sz w:val="22"/>
                <w:szCs w:val="22"/>
              </w:rPr>
              <w:t>CFC’s</w:t>
            </w:r>
            <w:r>
              <w:rPr>
                <w:rFonts w:ascii="Franklin Gothic Book" w:hAnsi="Franklin Gothic Book"/>
                <w:sz w:val="22"/>
                <w:szCs w:val="22"/>
              </w:rPr>
              <w:t>)</w:t>
            </w:r>
            <w:r w:rsidRPr="00CA0ECB">
              <w:rPr>
                <w:rFonts w:ascii="Franklin Gothic Book" w:hAnsi="Franklin Gothic Book"/>
                <w:sz w:val="22"/>
                <w:szCs w:val="22"/>
              </w:rPr>
              <w:t xml:space="preserve"> because of their minimal impact on the Ozone layer, having an Ozone depletion potential of zero. However, HFC’s are potent greenhouse gases (HFC’s are 3,830 times more potent than CO</w:t>
            </w:r>
            <w:r w:rsidRPr="00CA0ECB">
              <w:rPr>
                <w:rFonts w:ascii="Franklin Gothic Book" w:hAnsi="Franklin Gothic Book"/>
                <w:sz w:val="22"/>
                <w:szCs w:val="22"/>
                <w:vertAlign w:val="subscript"/>
              </w:rPr>
              <w:t>2</w:t>
            </w:r>
            <w:r>
              <w:rPr>
                <w:rFonts w:ascii="Franklin Gothic Book" w:hAnsi="Franklin Gothic Book"/>
                <w:sz w:val="22"/>
                <w:szCs w:val="22"/>
              </w:rPr>
              <w:t xml:space="preserve">) </w:t>
            </w:r>
            <w:r w:rsidRPr="00CA0ECB">
              <w:rPr>
                <w:rFonts w:ascii="Franklin Gothic Book" w:hAnsi="Franklin Gothic Book"/>
                <w:sz w:val="22"/>
                <w:szCs w:val="22"/>
              </w:rPr>
              <w:t>with high global warming potentials.</w:t>
            </w:r>
            <w:r>
              <w:rPr>
                <w:rFonts w:ascii="Franklin Gothic Book" w:hAnsi="Franklin Gothic Book"/>
                <w:sz w:val="22"/>
                <w:szCs w:val="22"/>
              </w:rPr>
              <w:t xml:space="preserve"> (</w:t>
            </w:r>
            <w:hyperlink r:id="rId82" w:history="1">
              <w:r w:rsidRPr="00CA0ECB">
                <w:rPr>
                  <w:rStyle w:val="Hyperlink"/>
                  <w:rFonts w:ascii="Franklin Gothic Book" w:hAnsi="Franklin Gothic Book"/>
                  <w:sz w:val="22"/>
                  <w:szCs w:val="22"/>
                </w:rPr>
                <w:t xml:space="preserve">UN Environment </w:t>
              </w:r>
              <w:proofErr w:type="spellStart"/>
              <w:r w:rsidRPr="00CA0ECB">
                <w:rPr>
                  <w:rStyle w:val="Hyperlink"/>
                  <w:rFonts w:ascii="Franklin Gothic Book" w:hAnsi="Franklin Gothic Book"/>
                  <w:sz w:val="22"/>
                  <w:szCs w:val="22"/>
                </w:rPr>
                <w:t>Programme</w:t>
              </w:r>
              <w:proofErr w:type="spellEnd"/>
            </w:hyperlink>
            <w:r>
              <w:rPr>
                <w:rFonts w:ascii="Franklin Gothic Book" w:hAnsi="Franklin Gothic Book"/>
                <w:sz w:val="22"/>
                <w:szCs w:val="22"/>
              </w:rPr>
              <w:t>)</w:t>
            </w:r>
          </w:p>
          <w:p w14:paraId="1E73ACE4" w14:textId="146DBBDB" w:rsidR="00CA0ECB" w:rsidRPr="00CA0ECB" w:rsidRDefault="00CA0ECB" w:rsidP="00CA0ECB">
            <w:pPr>
              <w:spacing w:line="260" w:lineRule="exact"/>
              <w:rPr>
                <w:rFonts w:ascii="Franklin Gothic Book" w:hAnsi="Franklin Gothic Book"/>
                <w:color w:val="auto"/>
                <w:sz w:val="22"/>
                <w:szCs w:val="22"/>
              </w:rPr>
            </w:pPr>
          </w:p>
        </w:tc>
      </w:tr>
      <w:tr w:rsidR="006A58E2" w:rsidRPr="005862A9" w14:paraId="0ADCCB62" w14:textId="77777777" w:rsidTr="00B12D87">
        <w:tc>
          <w:tcPr>
            <w:tcW w:w="2705" w:type="dxa"/>
          </w:tcPr>
          <w:p w14:paraId="1DE2A865" w14:textId="77777777" w:rsidR="006A58E2" w:rsidRDefault="006A58E2" w:rsidP="006A58E2">
            <w:pPr>
              <w:pStyle w:val="3Paragraph"/>
              <w:spacing w:line="260" w:lineRule="exact"/>
              <w:rPr>
                <w:color w:val="auto"/>
              </w:rPr>
            </w:pPr>
            <w:r>
              <w:rPr>
                <w:color w:val="auto"/>
              </w:rPr>
              <w:t>LEED</w:t>
            </w:r>
          </w:p>
          <w:p w14:paraId="719D8E4C" w14:textId="77777777" w:rsidR="006A58E2" w:rsidRDefault="006A58E2" w:rsidP="0013785F">
            <w:pPr>
              <w:pStyle w:val="3Paragraph"/>
              <w:spacing w:line="260" w:lineRule="exact"/>
              <w:rPr>
                <w:color w:val="auto"/>
              </w:rPr>
            </w:pPr>
          </w:p>
        </w:tc>
        <w:tc>
          <w:tcPr>
            <w:tcW w:w="6655" w:type="dxa"/>
          </w:tcPr>
          <w:p w14:paraId="248F2F05" w14:textId="77777777" w:rsidR="006A58E2" w:rsidRDefault="006A58E2" w:rsidP="006A58E2">
            <w:pPr>
              <w:spacing w:line="260" w:lineRule="exact"/>
              <w:rPr>
                <w:rFonts w:ascii="Franklin Gothic Book" w:hAnsi="Franklin Gothic Book"/>
                <w:color w:val="auto"/>
                <w:sz w:val="22"/>
                <w:szCs w:val="22"/>
              </w:rPr>
            </w:pPr>
            <w:r>
              <w:rPr>
                <w:rFonts w:ascii="Franklin Gothic Book" w:hAnsi="Franklin Gothic Book"/>
                <w:color w:val="auto"/>
                <w:sz w:val="22"/>
                <w:szCs w:val="22"/>
              </w:rPr>
              <w:t xml:space="preserve">LEED (Leadership in Energy and Environmental Design) is a green building certification program developed by the U.S. Green Building </w:t>
            </w:r>
            <w:r>
              <w:rPr>
                <w:rFonts w:ascii="Franklin Gothic Book" w:hAnsi="Franklin Gothic Book"/>
                <w:color w:val="auto"/>
                <w:sz w:val="22"/>
                <w:szCs w:val="22"/>
              </w:rPr>
              <w:lastRenderedPageBreak/>
              <w:t xml:space="preserve">Council (USGBC). It provides verification of a building or neighborhood’s green features, allowing for the design, construction, </w:t>
            </w:r>
            <w:proofErr w:type="gramStart"/>
            <w:r>
              <w:rPr>
                <w:rFonts w:ascii="Franklin Gothic Book" w:hAnsi="Franklin Gothic Book"/>
                <w:color w:val="auto"/>
                <w:sz w:val="22"/>
                <w:szCs w:val="22"/>
              </w:rPr>
              <w:t>operations</w:t>
            </w:r>
            <w:proofErr w:type="gramEnd"/>
            <w:r>
              <w:rPr>
                <w:rFonts w:ascii="Franklin Gothic Book" w:hAnsi="Franklin Gothic Book"/>
                <w:color w:val="auto"/>
                <w:sz w:val="22"/>
                <w:szCs w:val="22"/>
              </w:rPr>
              <w:t xml:space="preserve"> and maintenance of resource-efficient, high-performing, healthy, cost-effective buildings. (</w:t>
            </w:r>
            <w:hyperlink r:id="rId83" w:history="1">
              <w:r>
                <w:rPr>
                  <w:rStyle w:val="Hyperlink"/>
                  <w:rFonts w:ascii="Franklin Gothic Book" w:hAnsi="Franklin Gothic Book"/>
                  <w:sz w:val="22"/>
                  <w:szCs w:val="22"/>
                </w:rPr>
                <w:t>USGBC</w:t>
              </w:r>
            </w:hyperlink>
            <w:r>
              <w:rPr>
                <w:rFonts w:ascii="Franklin Gothic Book" w:hAnsi="Franklin Gothic Book"/>
                <w:color w:val="auto"/>
                <w:sz w:val="22"/>
                <w:szCs w:val="22"/>
              </w:rPr>
              <w:t>)</w:t>
            </w:r>
          </w:p>
          <w:p w14:paraId="4468FDC8" w14:textId="77777777" w:rsidR="006A58E2" w:rsidRDefault="006A58E2" w:rsidP="00644408">
            <w:pPr>
              <w:spacing w:line="260" w:lineRule="exact"/>
              <w:rPr>
                <w:rFonts w:ascii="Franklin Gothic Book" w:hAnsi="Franklin Gothic Book"/>
                <w:color w:val="auto"/>
                <w:sz w:val="22"/>
                <w:szCs w:val="22"/>
              </w:rPr>
            </w:pPr>
          </w:p>
        </w:tc>
      </w:tr>
      <w:tr w:rsidR="007B49BC" w:rsidRPr="007B49BC" w14:paraId="60377750" w14:textId="77777777" w:rsidTr="00B12D87">
        <w:tc>
          <w:tcPr>
            <w:tcW w:w="2705" w:type="dxa"/>
          </w:tcPr>
          <w:p w14:paraId="5793EE2C" w14:textId="3BDECE75" w:rsidR="007B49BC" w:rsidRDefault="007B49BC" w:rsidP="0013785F">
            <w:pPr>
              <w:pStyle w:val="3Paragraph"/>
              <w:spacing w:line="260" w:lineRule="exact"/>
              <w:rPr>
                <w:color w:val="auto"/>
              </w:rPr>
            </w:pPr>
            <w:r>
              <w:rPr>
                <w:color w:val="auto"/>
              </w:rPr>
              <w:lastRenderedPageBreak/>
              <w:t xml:space="preserve">Lightning </w:t>
            </w:r>
          </w:p>
        </w:tc>
        <w:tc>
          <w:tcPr>
            <w:tcW w:w="6655" w:type="dxa"/>
          </w:tcPr>
          <w:p w14:paraId="490E0C43" w14:textId="66D18302" w:rsidR="007B49BC" w:rsidRPr="007B49BC" w:rsidRDefault="007B49BC" w:rsidP="007B49BC">
            <w:pPr>
              <w:rPr>
                <w:rFonts w:ascii="Franklin Gothic Book" w:eastAsiaTheme="minorHAnsi" w:hAnsi="Franklin Gothic Book" w:cs="Times New Roman"/>
                <w:color w:val="auto"/>
                <w:sz w:val="22"/>
                <w:szCs w:val="22"/>
              </w:rPr>
            </w:pPr>
            <w:r w:rsidRPr="007B49BC">
              <w:rPr>
                <w:rFonts w:ascii="Franklin Gothic Book" w:hAnsi="Franklin Gothic Book"/>
                <w:sz w:val="22"/>
                <w:szCs w:val="22"/>
              </w:rPr>
              <w:t xml:space="preserve">Lightning is a giant spark of electricity in the atmosphere between clouds, the air, or the ground. In the early stages of development, air </w:t>
            </w:r>
            <w:r>
              <w:rPr>
                <w:rFonts w:ascii="Franklin Gothic Book" w:hAnsi="Franklin Gothic Book"/>
                <w:sz w:val="22"/>
                <w:szCs w:val="22"/>
              </w:rPr>
              <w:t>[</w:t>
            </w:r>
            <w:r w:rsidRPr="007B49BC">
              <w:rPr>
                <w:rFonts w:ascii="Franklin Gothic Book" w:hAnsi="Franklin Gothic Book"/>
                <w:sz w:val="22"/>
                <w:szCs w:val="22"/>
              </w:rPr>
              <w:t>acts</w:t>
            </w:r>
            <w:r>
              <w:rPr>
                <w:rFonts w:ascii="Franklin Gothic Book" w:hAnsi="Franklin Gothic Book"/>
                <w:sz w:val="22"/>
                <w:szCs w:val="22"/>
              </w:rPr>
              <w:t>]</w:t>
            </w:r>
            <w:r w:rsidRPr="007B49BC">
              <w:rPr>
                <w:rFonts w:ascii="Franklin Gothic Book" w:hAnsi="Franklin Gothic Book"/>
                <w:sz w:val="22"/>
                <w:szCs w:val="22"/>
              </w:rPr>
              <w:t xml:space="preserve"> as an insulator between the positive and negative charges in the cloud and between the cloud and the ground. When the opposite charges build up enough, this insulating capacity of the air </w:t>
            </w:r>
            <w:proofErr w:type="gramStart"/>
            <w:r w:rsidRPr="007B49BC">
              <w:rPr>
                <w:rFonts w:ascii="Franklin Gothic Book" w:hAnsi="Franklin Gothic Book"/>
                <w:sz w:val="22"/>
                <w:szCs w:val="22"/>
              </w:rPr>
              <w:t>breaks</w:t>
            </w:r>
            <w:proofErr w:type="gramEnd"/>
            <w:r w:rsidRPr="007B49BC">
              <w:rPr>
                <w:rFonts w:ascii="Franklin Gothic Book" w:hAnsi="Franklin Gothic Book"/>
                <w:sz w:val="22"/>
                <w:szCs w:val="22"/>
              </w:rPr>
              <w:t xml:space="preserve"> down and there is a rapid discharge of electricity that we know as lightning. The flash of lightning temporarily equalizes the charged regions in the atmosphere until the opposite charges build up again. Lightning can occur between opposite charges within the </w:t>
            </w:r>
            <w:r w:rsidRPr="00CD59B8">
              <w:rPr>
                <w:rFonts w:ascii="Franklin Gothic Book" w:hAnsi="Franklin Gothic Book"/>
                <w:sz w:val="22"/>
                <w:szCs w:val="22"/>
              </w:rPr>
              <w:t>thunderstorm cloud (intra-cloud lightning) or between opposite charges in the cloud and on the ground (cloud-to-ground lightning). (</w:t>
            </w:r>
            <w:hyperlink r:id="rId84" w:history="1">
              <w:r w:rsidRPr="00CD59B8">
                <w:rPr>
                  <w:rStyle w:val="Hyperlink"/>
                  <w:rFonts w:ascii="Franklin Gothic Book" w:hAnsi="Franklin Gothic Book"/>
                  <w:sz w:val="22"/>
                  <w:szCs w:val="22"/>
                </w:rPr>
                <w:t>NOAA</w:t>
              </w:r>
            </w:hyperlink>
            <w:r w:rsidRPr="00CD59B8">
              <w:rPr>
                <w:rFonts w:ascii="Franklin Gothic Book" w:hAnsi="Franklin Gothic Book"/>
                <w:sz w:val="22"/>
                <w:szCs w:val="22"/>
              </w:rPr>
              <w:t>)</w:t>
            </w:r>
            <w:r w:rsidRPr="007B49BC">
              <w:rPr>
                <w:rFonts w:ascii="Franklin Gothic Book" w:hAnsi="Franklin Gothic Book" w:cs="Times New Roman"/>
                <w:sz w:val="22"/>
                <w:szCs w:val="22"/>
              </w:rPr>
              <w:t xml:space="preserve"> </w:t>
            </w:r>
          </w:p>
          <w:p w14:paraId="6124EA25" w14:textId="77777777" w:rsidR="007B49BC" w:rsidRPr="007B49BC" w:rsidRDefault="007B49BC" w:rsidP="00644408">
            <w:pPr>
              <w:spacing w:line="260" w:lineRule="exact"/>
              <w:rPr>
                <w:rFonts w:ascii="Franklin Gothic Book" w:hAnsi="Franklin Gothic Book"/>
                <w:color w:val="auto"/>
                <w:sz w:val="22"/>
                <w:szCs w:val="22"/>
              </w:rPr>
            </w:pPr>
          </w:p>
        </w:tc>
      </w:tr>
      <w:tr w:rsidR="00115A10" w:rsidRPr="005862A9" w14:paraId="44981025" w14:textId="77777777" w:rsidTr="00B12D87">
        <w:tc>
          <w:tcPr>
            <w:tcW w:w="2705" w:type="dxa"/>
          </w:tcPr>
          <w:p w14:paraId="047C6921" w14:textId="23BAC87C" w:rsidR="00115A10" w:rsidRDefault="00115A10" w:rsidP="0013785F">
            <w:pPr>
              <w:pStyle w:val="3Paragraph"/>
              <w:spacing w:line="260" w:lineRule="exact"/>
              <w:rPr>
                <w:color w:val="auto"/>
              </w:rPr>
            </w:pPr>
            <w:r>
              <w:rPr>
                <w:color w:val="auto"/>
              </w:rPr>
              <w:t xml:space="preserve">Living Buildings Challenge </w:t>
            </w:r>
          </w:p>
        </w:tc>
        <w:tc>
          <w:tcPr>
            <w:tcW w:w="6655" w:type="dxa"/>
          </w:tcPr>
          <w:p w14:paraId="2C91C8D1" w14:textId="41CC7A8B" w:rsidR="00115A10" w:rsidRDefault="00C11BBF" w:rsidP="00644408">
            <w:pPr>
              <w:spacing w:line="260" w:lineRule="exact"/>
              <w:rPr>
                <w:rFonts w:ascii="Franklin Gothic Book" w:hAnsi="Franklin Gothic Book"/>
                <w:color w:val="auto"/>
                <w:sz w:val="22"/>
                <w:szCs w:val="22"/>
              </w:rPr>
            </w:pPr>
            <w:r>
              <w:rPr>
                <w:rFonts w:ascii="Franklin Gothic Book" w:hAnsi="Franklin Gothic Book"/>
                <w:color w:val="auto"/>
                <w:sz w:val="22"/>
                <w:szCs w:val="22"/>
              </w:rPr>
              <w:t xml:space="preserve">The Living Building Challenge framework helps to create spaces that reconnect occupants with nature by creating buildings that generate more energy than they use, </w:t>
            </w:r>
            <w:proofErr w:type="gramStart"/>
            <w:r>
              <w:rPr>
                <w:rFonts w:ascii="Franklin Gothic Book" w:hAnsi="Franklin Gothic Book"/>
                <w:color w:val="auto"/>
                <w:sz w:val="22"/>
                <w:szCs w:val="22"/>
              </w:rPr>
              <w:t>capture</w:t>
            </w:r>
            <w:proofErr w:type="gramEnd"/>
            <w:r>
              <w:rPr>
                <w:rFonts w:ascii="Franklin Gothic Book" w:hAnsi="Franklin Gothic Book"/>
                <w:color w:val="auto"/>
                <w:sz w:val="22"/>
                <w:szCs w:val="22"/>
              </w:rPr>
              <w:t xml:space="preserve"> and treat all water on site, and are made using healthy materials. (</w:t>
            </w:r>
            <w:hyperlink r:id="rId85" w:history="1">
              <w:r w:rsidRPr="00C11BBF">
                <w:rPr>
                  <w:rStyle w:val="Hyperlink"/>
                  <w:rFonts w:ascii="Franklin Gothic Book" w:hAnsi="Franklin Gothic Book"/>
                  <w:sz w:val="22"/>
                  <w:szCs w:val="22"/>
                </w:rPr>
                <w:t>Living Future Institute</w:t>
              </w:r>
            </w:hyperlink>
            <w:r>
              <w:rPr>
                <w:rFonts w:ascii="Franklin Gothic Book" w:hAnsi="Franklin Gothic Book"/>
                <w:color w:val="auto"/>
                <w:sz w:val="22"/>
                <w:szCs w:val="22"/>
              </w:rPr>
              <w:t>)</w:t>
            </w:r>
          </w:p>
          <w:p w14:paraId="33D9C645" w14:textId="63396984" w:rsidR="00C11BBF" w:rsidRPr="00644408" w:rsidRDefault="00C11BBF" w:rsidP="00644408">
            <w:pPr>
              <w:spacing w:line="260" w:lineRule="exact"/>
              <w:rPr>
                <w:rFonts w:ascii="Franklin Gothic Book" w:hAnsi="Franklin Gothic Book"/>
                <w:color w:val="auto"/>
                <w:sz w:val="22"/>
                <w:szCs w:val="22"/>
              </w:rPr>
            </w:pPr>
          </w:p>
        </w:tc>
      </w:tr>
      <w:tr w:rsidR="00644408" w:rsidRPr="005862A9" w14:paraId="78D3C04E" w14:textId="77777777" w:rsidTr="00B12D87">
        <w:tc>
          <w:tcPr>
            <w:tcW w:w="2705" w:type="dxa"/>
          </w:tcPr>
          <w:p w14:paraId="4A16CC13" w14:textId="50372D5D" w:rsidR="00644408" w:rsidRPr="005862A9" w:rsidRDefault="00644408" w:rsidP="0013785F">
            <w:pPr>
              <w:pStyle w:val="3Paragraph"/>
              <w:spacing w:line="260" w:lineRule="exact"/>
              <w:rPr>
                <w:color w:val="auto"/>
              </w:rPr>
            </w:pPr>
            <w:r>
              <w:rPr>
                <w:color w:val="auto"/>
              </w:rPr>
              <w:t>Microgrids</w:t>
            </w:r>
          </w:p>
        </w:tc>
        <w:tc>
          <w:tcPr>
            <w:tcW w:w="6655" w:type="dxa"/>
          </w:tcPr>
          <w:p w14:paraId="34542265" w14:textId="625D5F71" w:rsidR="00644408" w:rsidRDefault="00644408" w:rsidP="00644408">
            <w:pPr>
              <w:spacing w:line="260" w:lineRule="exact"/>
              <w:rPr>
                <w:rFonts w:ascii="Franklin Gothic Book" w:hAnsi="Franklin Gothic Book"/>
                <w:color w:val="auto"/>
                <w:sz w:val="22"/>
                <w:szCs w:val="22"/>
              </w:rPr>
            </w:pPr>
            <w:r w:rsidRPr="00644408">
              <w:rPr>
                <w:rFonts w:ascii="Franklin Gothic Book" w:hAnsi="Franklin Gothic Book"/>
                <w:color w:val="auto"/>
                <w:sz w:val="22"/>
                <w:szCs w:val="22"/>
              </w:rPr>
              <w:t>Microgrids are small</w:t>
            </w:r>
            <w:r w:rsidRPr="00644408">
              <w:rPr>
                <w:rFonts w:ascii="Cambria Math" w:hAnsi="Cambria Math" w:cs="Cambria Math"/>
                <w:color w:val="auto"/>
                <w:sz w:val="22"/>
                <w:szCs w:val="22"/>
              </w:rPr>
              <w:t>‐</w:t>
            </w:r>
            <w:r w:rsidRPr="00644408">
              <w:rPr>
                <w:rFonts w:ascii="Franklin Gothic Book" w:hAnsi="Franklin Gothic Book"/>
                <w:color w:val="auto"/>
                <w:sz w:val="22"/>
                <w:szCs w:val="22"/>
              </w:rPr>
              <w:t>scale electricity distribution systems that link and coordinate multiple</w:t>
            </w:r>
            <w:r>
              <w:rPr>
                <w:rFonts w:ascii="Franklin Gothic Book" w:hAnsi="Franklin Gothic Book"/>
                <w:color w:val="auto"/>
                <w:sz w:val="22"/>
                <w:szCs w:val="22"/>
              </w:rPr>
              <w:t xml:space="preserve"> </w:t>
            </w:r>
            <w:r w:rsidRPr="00644408">
              <w:rPr>
                <w:rFonts w:ascii="Franklin Gothic Book" w:hAnsi="Franklin Gothic Book"/>
                <w:color w:val="auto"/>
                <w:sz w:val="22"/>
                <w:szCs w:val="22"/>
              </w:rPr>
              <w:t>distributed energy resources into a network serving some or all of the energy needs of one or</w:t>
            </w:r>
            <w:r>
              <w:rPr>
                <w:rFonts w:ascii="Franklin Gothic Book" w:hAnsi="Franklin Gothic Book"/>
                <w:color w:val="auto"/>
                <w:sz w:val="22"/>
                <w:szCs w:val="22"/>
              </w:rPr>
              <w:t xml:space="preserve"> </w:t>
            </w:r>
            <w:r w:rsidRPr="00644408">
              <w:rPr>
                <w:rFonts w:ascii="Franklin Gothic Book" w:hAnsi="Franklin Gothic Book"/>
                <w:color w:val="auto"/>
                <w:sz w:val="22"/>
                <w:szCs w:val="22"/>
              </w:rPr>
              <w:t>more users located in close proximity, which can operate connected to the traditional centralized</w:t>
            </w:r>
            <w:r>
              <w:rPr>
                <w:rFonts w:ascii="Franklin Gothic Book" w:hAnsi="Franklin Gothic Book"/>
                <w:color w:val="auto"/>
                <w:sz w:val="22"/>
                <w:szCs w:val="22"/>
              </w:rPr>
              <w:t xml:space="preserve"> </w:t>
            </w:r>
            <w:r w:rsidRPr="00644408">
              <w:rPr>
                <w:rFonts w:ascii="Franklin Gothic Book" w:hAnsi="Franklin Gothic Book"/>
                <w:color w:val="auto"/>
                <w:sz w:val="22"/>
                <w:szCs w:val="22"/>
              </w:rPr>
              <w:t>electric grid or autonomously from it, in an intentional island mode.</w:t>
            </w:r>
            <w:r>
              <w:rPr>
                <w:rFonts w:ascii="Franklin Gothic Book" w:hAnsi="Franklin Gothic Book"/>
                <w:color w:val="auto"/>
                <w:sz w:val="22"/>
                <w:szCs w:val="22"/>
              </w:rPr>
              <w:t xml:space="preserve"> (</w:t>
            </w:r>
            <w:hyperlink r:id="rId86" w:history="1">
              <w:r w:rsidRPr="00644408">
                <w:rPr>
                  <w:rStyle w:val="Hyperlink"/>
                  <w:rFonts w:ascii="Franklin Gothic Book" w:hAnsi="Franklin Gothic Book"/>
                  <w:sz w:val="22"/>
                  <w:szCs w:val="22"/>
                </w:rPr>
                <w:t>COG</w:t>
              </w:r>
            </w:hyperlink>
            <w:r>
              <w:rPr>
                <w:rFonts w:ascii="Franklin Gothic Book" w:hAnsi="Franklin Gothic Book"/>
                <w:color w:val="auto"/>
                <w:sz w:val="22"/>
                <w:szCs w:val="22"/>
              </w:rPr>
              <w:t>)</w:t>
            </w:r>
          </w:p>
          <w:p w14:paraId="679FCEF7" w14:textId="2E5CAC8B" w:rsidR="00644408" w:rsidRPr="005862A9" w:rsidRDefault="00644408" w:rsidP="00644408">
            <w:pPr>
              <w:spacing w:line="260" w:lineRule="exact"/>
              <w:rPr>
                <w:rFonts w:ascii="Franklin Gothic Book" w:hAnsi="Franklin Gothic Book"/>
                <w:color w:val="auto"/>
                <w:sz w:val="22"/>
                <w:szCs w:val="22"/>
              </w:rPr>
            </w:pPr>
          </w:p>
        </w:tc>
      </w:tr>
      <w:tr w:rsidR="00B5589F" w:rsidRPr="005862A9" w14:paraId="09C5B804" w14:textId="77777777" w:rsidTr="00B12D87">
        <w:tc>
          <w:tcPr>
            <w:tcW w:w="2705" w:type="dxa"/>
          </w:tcPr>
          <w:p w14:paraId="0F2463DA" w14:textId="77777777" w:rsidR="00B5589F" w:rsidRPr="005862A9" w:rsidRDefault="00B5589F" w:rsidP="0013785F">
            <w:pPr>
              <w:pStyle w:val="3Paragraph"/>
              <w:spacing w:line="260" w:lineRule="exact"/>
              <w:rPr>
                <w:color w:val="auto"/>
              </w:rPr>
            </w:pPr>
            <w:r w:rsidRPr="005862A9">
              <w:rPr>
                <w:color w:val="auto"/>
              </w:rPr>
              <w:t>Mitigation</w:t>
            </w:r>
          </w:p>
        </w:tc>
        <w:tc>
          <w:tcPr>
            <w:tcW w:w="6655" w:type="dxa"/>
          </w:tcPr>
          <w:p w14:paraId="02174B56"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human intervention to reduce the human impact on the climate system; it includes strategies to reduce greenhouse gas sources and emissions and enhancing greenhouse gas sinks. (</w:t>
            </w:r>
            <w:hyperlink r:id="rId87" w:history="1">
              <w:r w:rsidRPr="005862A9">
                <w:rPr>
                  <w:rStyle w:val="Hyperlink"/>
                  <w:rFonts w:ascii="Franklin Gothic Book" w:hAnsi="Franklin Gothic Book"/>
                  <w:sz w:val="22"/>
                  <w:szCs w:val="22"/>
                </w:rPr>
                <w:t>EPA</w:t>
              </w:r>
            </w:hyperlink>
            <w:r w:rsidRPr="005862A9">
              <w:rPr>
                <w:rFonts w:ascii="Franklin Gothic Book" w:hAnsi="Franklin Gothic Book"/>
                <w:color w:val="auto"/>
                <w:sz w:val="22"/>
                <w:szCs w:val="22"/>
              </w:rPr>
              <w:t>)</w:t>
            </w:r>
          </w:p>
          <w:p w14:paraId="52B1CB01" w14:textId="77777777" w:rsidR="00B5589F" w:rsidRPr="005862A9" w:rsidRDefault="00B5589F" w:rsidP="0013785F">
            <w:pPr>
              <w:pStyle w:val="3Paragraph"/>
              <w:spacing w:line="260" w:lineRule="exact"/>
              <w:rPr>
                <w:color w:val="auto"/>
              </w:rPr>
            </w:pPr>
          </w:p>
        </w:tc>
      </w:tr>
      <w:tr w:rsidR="00B5589F" w:rsidRPr="005862A9" w14:paraId="197123A0" w14:textId="77777777" w:rsidTr="00B12D87">
        <w:tc>
          <w:tcPr>
            <w:tcW w:w="2705" w:type="dxa"/>
          </w:tcPr>
          <w:p w14:paraId="013122FC" w14:textId="77777777" w:rsidR="00B5589F" w:rsidRPr="005862A9" w:rsidRDefault="00B5589F" w:rsidP="0013785F">
            <w:pPr>
              <w:pStyle w:val="3Paragraph"/>
              <w:spacing w:line="260" w:lineRule="exact"/>
              <w:rPr>
                <w:color w:val="auto"/>
              </w:rPr>
            </w:pPr>
            <w:r w:rsidRPr="005862A9">
              <w:rPr>
                <w:color w:val="auto"/>
              </w:rPr>
              <w:t>Net Metering</w:t>
            </w:r>
          </w:p>
          <w:p w14:paraId="5517D37F" w14:textId="77777777" w:rsidR="00B5589F" w:rsidRPr="005862A9" w:rsidRDefault="00B5589F" w:rsidP="0013785F">
            <w:pPr>
              <w:pStyle w:val="3Paragraph"/>
              <w:spacing w:line="260" w:lineRule="exact"/>
              <w:rPr>
                <w:color w:val="auto"/>
              </w:rPr>
            </w:pPr>
          </w:p>
        </w:tc>
        <w:tc>
          <w:tcPr>
            <w:tcW w:w="6655" w:type="dxa"/>
          </w:tcPr>
          <w:p w14:paraId="0E198097" w14:textId="6A2C516F" w:rsidR="00B5589F" w:rsidRPr="005862A9" w:rsidRDefault="00B5589F" w:rsidP="0013785F">
            <w:pPr>
              <w:pStyle w:val="3Paragraph"/>
              <w:spacing w:line="260" w:lineRule="exact"/>
              <w:rPr>
                <w:color w:val="auto"/>
                <w:lang w:val="en-GB"/>
              </w:rPr>
            </w:pPr>
            <w:r w:rsidRPr="005862A9">
              <w:rPr>
                <w:color w:val="auto"/>
                <w:lang w:val="en-GB"/>
              </w:rPr>
              <w:t>A state policy allowing a single customer to apply credits earned from excess generation at one site where electricity is generated towards the electricity bill for a second geographically distinct account, also sometimes referred to as Virtual Net Metering</w:t>
            </w:r>
            <w:r w:rsidRPr="00FA05DF">
              <w:rPr>
                <w:color w:val="auto"/>
                <w:lang w:val="en-GB"/>
              </w:rPr>
              <w:t>. (</w:t>
            </w:r>
            <w:hyperlink r:id="rId88" w:history="1">
              <w:r w:rsidRPr="00FA05DF">
                <w:rPr>
                  <w:rStyle w:val="Hyperlink"/>
                  <w:lang w:val="en-GB"/>
                </w:rPr>
                <w:t>Pathways to 100</w:t>
              </w:r>
            </w:hyperlink>
            <w:r w:rsidRPr="00FA05DF">
              <w:rPr>
                <w:color w:val="auto"/>
                <w:lang w:val="en-GB"/>
              </w:rPr>
              <w:t>)</w:t>
            </w:r>
          </w:p>
          <w:p w14:paraId="0366CA72"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7050A987" w14:textId="77777777" w:rsidTr="00B12D87">
        <w:tc>
          <w:tcPr>
            <w:tcW w:w="2705" w:type="dxa"/>
          </w:tcPr>
          <w:p w14:paraId="24706B0C" w14:textId="77777777" w:rsidR="00B5589F" w:rsidRPr="005862A9" w:rsidRDefault="00B5589F" w:rsidP="0013785F">
            <w:pPr>
              <w:pStyle w:val="3Paragraph"/>
              <w:spacing w:line="260" w:lineRule="exact"/>
              <w:rPr>
                <w:color w:val="auto"/>
              </w:rPr>
            </w:pPr>
            <w:r w:rsidRPr="005862A9">
              <w:rPr>
                <w:color w:val="auto"/>
              </w:rPr>
              <w:t>Net Zero City/Community</w:t>
            </w:r>
          </w:p>
        </w:tc>
        <w:tc>
          <w:tcPr>
            <w:tcW w:w="6655" w:type="dxa"/>
          </w:tcPr>
          <w:p w14:paraId="07C76E80"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community of buildings for which, on an annual basis, all greenhouse gas emissions produced through building operations are offset by carbon-free energy production. (</w:t>
            </w:r>
            <w:hyperlink r:id="rId89" w:history="1">
              <w:r w:rsidRPr="005862A9">
                <w:rPr>
                  <w:rStyle w:val="Hyperlink"/>
                  <w:rFonts w:ascii="Franklin Gothic Book" w:hAnsi="Franklin Gothic Book"/>
                  <w:sz w:val="22"/>
                  <w:szCs w:val="22"/>
                </w:rPr>
                <w:t>Cambridge, MA</w:t>
              </w:r>
            </w:hyperlink>
            <w:r w:rsidRPr="005862A9">
              <w:rPr>
                <w:rFonts w:ascii="Franklin Gothic Book" w:hAnsi="Franklin Gothic Book"/>
                <w:color w:val="auto"/>
                <w:sz w:val="22"/>
                <w:szCs w:val="22"/>
              </w:rPr>
              <w:t>)</w:t>
            </w:r>
          </w:p>
          <w:p w14:paraId="08E6CE63" w14:textId="77777777" w:rsidR="00B5589F" w:rsidRPr="005862A9" w:rsidRDefault="00B5589F" w:rsidP="0013785F">
            <w:pPr>
              <w:pStyle w:val="3Paragraph"/>
              <w:spacing w:line="260" w:lineRule="exact"/>
              <w:rPr>
                <w:color w:val="auto"/>
              </w:rPr>
            </w:pPr>
          </w:p>
          <w:p w14:paraId="1988740C" w14:textId="77777777" w:rsidR="00B5589F" w:rsidRPr="005862A9" w:rsidRDefault="00B5589F" w:rsidP="0013785F">
            <w:pPr>
              <w:spacing w:line="260" w:lineRule="exact"/>
              <w:rPr>
                <w:rFonts w:ascii="Franklin Gothic Book" w:hAnsi="Franklin Gothic Book"/>
                <w:iCs/>
                <w:color w:val="auto"/>
                <w:sz w:val="22"/>
                <w:szCs w:val="22"/>
              </w:rPr>
            </w:pPr>
            <w:r w:rsidRPr="005862A9">
              <w:rPr>
                <w:rFonts w:ascii="Franklin Gothic Book" w:hAnsi="Franklin Gothic Book"/>
                <w:color w:val="auto"/>
                <w:sz w:val="22"/>
                <w:szCs w:val="22"/>
              </w:rPr>
              <w:t>The total amount of energy used by the entire infrastructure of the city on an annual basis is roughly equal to the amount of renewable energy created on the site, or nearby. That includes energy used by all vehicles, construction, public works, buildings, homes, maintenance, etc. Every kWh of energy that the city uses, it would need to produce and/or offset at an equal equivalent. (</w:t>
            </w:r>
            <w:proofErr w:type="spellStart"/>
            <w:r w:rsidR="001A3892">
              <w:fldChar w:fldCharType="begin"/>
            </w:r>
            <w:r w:rsidR="001A3892">
              <w:instrText xml:space="preserve"> HYPERLINK "https://www.solarponics.com/learning-resources/what-is-net-zero/" </w:instrText>
            </w:r>
            <w:r w:rsidR="001A3892">
              <w:fldChar w:fldCharType="separate"/>
            </w:r>
            <w:r w:rsidRPr="005862A9">
              <w:rPr>
                <w:rStyle w:val="Hyperlink"/>
                <w:rFonts w:ascii="Franklin Gothic Book" w:hAnsi="Franklin Gothic Book"/>
                <w:iCs/>
                <w:sz w:val="22"/>
                <w:szCs w:val="22"/>
              </w:rPr>
              <w:t>Solarponics</w:t>
            </w:r>
            <w:proofErr w:type="spellEnd"/>
            <w:r w:rsidRPr="005862A9">
              <w:rPr>
                <w:rStyle w:val="Hyperlink"/>
                <w:rFonts w:ascii="Franklin Gothic Book" w:hAnsi="Franklin Gothic Book"/>
                <w:iCs/>
                <w:sz w:val="22"/>
                <w:szCs w:val="22"/>
              </w:rPr>
              <w:t xml:space="preserve"> Energy Management Systems</w:t>
            </w:r>
            <w:r w:rsidR="001A3892">
              <w:rPr>
                <w:rStyle w:val="Hyperlink"/>
                <w:rFonts w:ascii="Franklin Gothic Book" w:hAnsi="Franklin Gothic Book"/>
                <w:iCs/>
                <w:sz w:val="22"/>
                <w:szCs w:val="22"/>
              </w:rPr>
              <w:fldChar w:fldCharType="end"/>
            </w:r>
            <w:r w:rsidRPr="005862A9">
              <w:rPr>
                <w:rFonts w:ascii="Franklin Gothic Book" w:hAnsi="Franklin Gothic Book"/>
                <w:iCs/>
                <w:color w:val="auto"/>
                <w:sz w:val="22"/>
                <w:szCs w:val="22"/>
              </w:rPr>
              <w:t>)</w:t>
            </w:r>
          </w:p>
          <w:p w14:paraId="22D8C029"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1D0DB423" w14:textId="77777777" w:rsidTr="00B12D87">
        <w:tc>
          <w:tcPr>
            <w:tcW w:w="2705" w:type="dxa"/>
          </w:tcPr>
          <w:p w14:paraId="61848891" w14:textId="77777777" w:rsidR="00B5589F" w:rsidRPr="005862A9" w:rsidRDefault="00B5589F" w:rsidP="0013785F">
            <w:pPr>
              <w:pStyle w:val="3Paragraph"/>
              <w:spacing w:line="260" w:lineRule="exact"/>
              <w:rPr>
                <w:color w:val="auto"/>
              </w:rPr>
            </w:pPr>
            <w:r w:rsidRPr="005862A9">
              <w:rPr>
                <w:color w:val="auto"/>
              </w:rPr>
              <w:lastRenderedPageBreak/>
              <w:t>Net Zero Energy Buildings</w:t>
            </w:r>
          </w:p>
        </w:tc>
        <w:tc>
          <w:tcPr>
            <w:tcW w:w="6655" w:type="dxa"/>
          </w:tcPr>
          <w:p w14:paraId="34780B80" w14:textId="0D867C39"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Buildings that produce at least as much energy as they consume on an annual basis. They do this by incorporating state-of-the-art energy efficiency and renewable energy technologies. (</w:t>
            </w:r>
            <w:hyperlink r:id="rId90" w:history="1">
              <w:r w:rsidR="00DE3C6B">
                <w:rPr>
                  <w:rStyle w:val="Hyperlink"/>
                  <w:rFonts w:ascii="Franklin Gothic Book" w:hAnsi="Franklin Gothic Book"/>
                  <w:sz w:val="22"/>
                  <w:szCs w:val="22"/>
                </w:rPr>
                <w:t>NREL</w:t>
              </w:r>
            </w:hyperlink>
            <w:r w:rsidRPr="005862A9">
              <w:rPr>
                <w:rFonts w:ascii="Franklin Gothic Book" w:hAnsi="Franklin Gothic Book"/>
                <w:color w:val="auto"/>
                <w:sz w:val="22"/>
                <w:szCs w:val="22"/>
              </w:rPr>
              <w:t>)</w:t>
            </w:r>
          </w:p>
          <w:p w14:paraId="7C5E0BC2" w14:textId="77777777" w:rsidR="00B5589F" w:rsidRPr="005862A9" w:rsidRDefault="00B5589F" w:rsidP="0013785F">
            <w:pPr>
              <w:spacing w:line="260" w:lineRule="exact"/>
              <w:rPr>
                <w:rFonts w:ascii="Franklin Gothic Book" w:hAnsi="Franklin Gothic Book"/>
                <w:color w:val="auto"/>
                <w:sz w:val="22"/>
                <w:szCs w:val="22"/>
              </w:rPr>
            </w:pPr>
          </w:p>
          <w:p w14:paraId="3EF5FEA6" w14:textId="777777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residential or commercial building with greatly reduced energy needs through efficiency gains such that the balance of energy needs can be supplied with renewable technologies. (</w:t>
            </w:r>
            <w:hyperlink r:id="rId91" w:history="1">
              <w:r w:rsidRPr="005862A9">
                <w:rPr>
                  <w:rStyle w:val="Hyperlink"/>
                  <w:rFonts w:ascii="Franklin Gothic Book" w:hAnsi="Franklin Gothic Book"/>
                  <w:sz w:val="22"/>
                  <w:szCs w:val="22"/>
                </w:rPr>
                <w:t>NREL</w:t>
              </w:r>
            </w:hyperlink>
            <w:r w:rsidRPr="005862A9">
              <w:rPr>
                <w:rFonts w:ascii="Franklin Gothic Book" w:hAnsi="Franklin Gothic Book"/>
                <w:color w:val="auto"/>
                <w:sz w:val="22"/>
                <w:szCs w:val="22"/>
              </w:rPr>
              <w:t>)</w:t>
            </w:r>
          </w:p>
          <w:p w14:paraId="7E36F2CE" w14:textId="77777777" w:rsidR="00B5589F" w:rsidRPr="005862A9" w:rsidRDefault="00B5589F" w:rsidP="0013785F">
            <w:pPr>
              <w:pStyle w:val="3Paragraph"/>
              <w:spacing w:line="260" w:lineRule="exact"/>
              <w:rPr>
                <w:color w:val="auto"/>
              </w:rPr>
            </w:pPr>
          </w:p>
        </w:tc>
      </w:tr>
      <w:tr w:rsidR="00B5589F" w:rsidRPr="005862A9" w14:paraId="416DBDEA" w14:textId="77777777" w:rsidTr="00B12D87">
        <w:tc>
          <w:tcPr>
            <w:tcW w:w="2705" w:type="dxa"/>
          </w:tcPr>
          <w:p w14:paraId="31C45A63" w14:textId="77777777" w:rsidR="00B5589F" w:rsidRPr="005862A9" w:rsidRDefault="00B5589F" w:rsidP="0013785F">
            <w:pPr>
              <w:pStyle w:val="3Paragraph"/>
              <w:spacing w:line="260" w:lineRule="exact"/>
              <w:rPr>
                <w:color w:val="auto"/>
              </w:rPr>
            </w:pPr>
            <w:r w:rsidRPr="005862A9">
              <w:rPr>
                <w:color w:val="auto"/>
              </w:rPr>
              <w:t>Offsets</w:t>
            </w:r>
          </w:p>
        </w:tc>
        <w:tc>
          <w:tcPr>
            <w:tcW w:w="6655" w:type="dxa"/>
          </w:tcPr>
          <w:p w14:paraId="54CC603B" w14:textId="77777777" w:rsidR="00B5589F" w:rsidRPr="005862A9" w:rsidRDefault="00B5589F" w:rsidP="0013785F">
            <w:pPr>
              <w:pStyle w:val="3Paragraph"/>
              <w:spacing w:line="260" w:lineRule="exact"/>
              <w:rPr>
                <w:color w:val="auto"/>
              </w:rPr>
            </w:pPr>
            <w:r w:rsidRPr="005862A9">
              <w:rPr>
                <w:color w:val="auto"/>
              </w:rPr>
              <w:t>Credits issued for real, permanent, and verified emissions reductions that are enforceable. Organizations may purchase credits (offsets) to address direct and indirect emissions associated with their operations (e.g., emissions from a boiler used to heat an office building). The reduction in GHG emissions from one place can be used to “offset” the emissions taking place somewhere else. (</w:t>
            </w:r>
            <w:hyperlink r:id="rId92" w:history="1">
              <w:r w:rsidRPr="005862A9">
                <w:rPr>
                  <w:rStyle w:val="Hyperlink"/>
                </w:rPr>
                <w:t>EPA</w:t>
              </w:r>
            </w:hyperlink>
            <w:r w:rsidRPr="005862A9">
              <w:rPr>
                <w:color w:val="auto"/>
              </w:rPr>
              <w:t>)</w:t>
            </w:r>
          </w:p>
          <w:p w14:paraId="3F949039" w14:textId="77777777" w:rsidR="00B5589F" w:rsidRPr="005862A9" w:rsidRDefault="00B5589F" w:rsidP="0013785F">
            <w:pPr>
              <w:pStyle w:val="3Paragraph"/>
              <w:spacing w:line="260" w:lineRule="exact"/>
              <w:rPr>
                <w:color w:val="auto"/>
              </w:rPr>
            </w:pPr>
          </w:p>
        </w:tc>
      </w:tr>
      <w:tr w:rsidR="00D6787E" w:rsidRPr="005862A9" w14:paraId="2826A8EB" w14:textId="77777777" w:rsidTr="00B12D87">
        <w:tc>
          <w:tcPr>
            <w:tcW w:w="2705" w:type="dxa"/>
          </w:tcPr>
          <w:p w14:paraId="7481916F" w14:textId="60351796" w:rsidR="00D6787E" w:rsidRPr="005862A9" w:rsidRDefault="00D6787E" w:rsidP="0013785F">
            <w:pPr>
              <w:pStyle w:val="3Paragraph"/>
              <w:spacing w:line="260" w:lineRule="exact"/>
              <w:rPr>
                <w:color w:val="auto"/>
              </w:rPr>
            </w:pPr>
            <w:r>
              <w:rPr>
                <w:color w:val="auto"/>
              </w:rPr>
              <w:t>Organic Composting</w:t>
            </w:r>
          </w:p>
        </w:tc>
        <w:tc>
          <w:tcPr>
            <w:tcW w:w="6655" w:type="dxa"/>
          </w:tcPr>
          <w:p w14:paraId="6E7C5D3A" w14:textId="77777777" w:rsidR="00D6787E" w:rsidRDefault="00D6787E" w:rsidP="00D6787E">
            <w:pPr>
              <w:spacing w:line="260" w:lineRule="exact"/>
              <w:rPr>
                <w:rFonts w:ascii="Franklin Gothic Book" w:hAnsi="Franklin Gothic Book"/>
                <w:color w:val="auto"/>
                <w:sz w:val="22"/>
                <w:szCs w:val="22"/>
                <w:lang w:val="en-GB"/>
              </w:rPr>
            </w:pPr>
            <w:r>
              <w:rPr>
                <w:rFonts w:ascii="Franklin Gothic Book" w:hAnsi="Franklin Gothic Book"/>
                <w:color w:val="auto"/>
                <w:sz w:val="22"/>
                <w:szCs w:val="22"/>
              </w:rPr>
              <w:t xml:space="preserve">Compost is organic material that can be added to soil to maintain healthy, fertile soils. </w:t>
            </w:r>
            <w:r>
              <w:rPr>
                <w:rFonts w:ascii="Franklin Gothic Book" w:hAnsi="Franklin Gothic Book"/>
                <w:color w:val="auto"/>
                <w:sz w:val="22"/>
                <w:szCs w:val="22"/>
                <w:lang w:val="en-GB"/>
              </w:rPr>
              <w:t>Food scraps and yard waste together currently make up more than 28 percent of what we throw away, which could be composted instead. Organic composting keeps these materials out of landfills where they take up space and release methane, a potent greenhouse gas. (</w:t>
            </w:r>
            <w:hyperlink r:id="rId93" w:history="1">
              <w:r>
                <w:rPr>
                  <w:rStyle w:val="Hyperlink"/>
                  <w:rFonts w:ascii="Franklin Gothic Book" w:hAnsi="Franklin Gothic Book"/>
                  <w:sz w:val="22"/>
                  <w:szCs w:val="22"/>
                  <w:lang w:val="en-GB"/>
                </w:rPr>
                <w:t>EPA</w:t>
              </w:r>
            </w:hyperlink>
            <w:r>
              <w:rPr>
                <w:rFonts w:ascii="Franklin Gothic Book" w:hAnsi="Franklin Gothic Book"/>
                <w:color w:val="auto"/>
                <w:sz w:val="22"/>
                <w:szCs w:val="22"/>
                <w:lang w:val="en-GB"/>
              </w:rPr>
              <w:t>)</w:t>
            </w:r>
          </w:p>
          <w:p w14:paraId="29B537B3" w14:textId="77777777" w:rsidR="00D6787E" w:rsidRPr="005862A9" w:rsidRDefault="00D6787E" w:rsidP="0013785F">
            <w:pPr>
              <w:spacing w:line="260" w:lineRule="exact"/>
              <w:rPr>
                <w:rFonts w:ascii="Franklin Gothic Book" w:hAnsi="Franklin Gothic Book"/>
                <w:color w:val="auto"/>
                <w:sz w:val="22"/>
                <w:szCs w:val="22"/>
              </w:rPr>
            </w:pPr>
          </w:p>
        </w:tc>
      </w:tr>
      <w:tr w:rsidR="00C50C9E" w:rsidRPr="005862A9" w14:paraId="168AE212" w14:textId="77777777" w:rsidTr="00B12D87">
        <w:tc>
          <w:tcPr>
            <w:tcW w:w="2705" w:type="dxa"/>
          </w:tcPr>
          <w:p w14:paraId="22B102AB" w14:textId="3571CBA5" w:rsidR="00C50C9E" w:rsidRPr="005862A9" w:rsidRDefault="00C50C9E" w:rsidP="0013785F">
            <w:pPr>
              <w:pStyle w:val="3Paragraph"/>
              <w:spacing w:line="260" w:lineRule="exact"/>
              <w:rPr>
                <w:color w:val="auto"/>
              </w:rPr>
            </w:pPr>
            <w:r>
              <w:rPr>
                <w:color w:val="auto"/>
              </w:rPr>
              <w:t>Passive House</w:t>
            </w:r>
          </w:p>
        </w:tc>
        <w:tc>
          <w:tcPr>
            <w:tcW w:w="6655" w:type="dxa"/>
          </w:tcPr>
          <w:p w14:paraId="617F9ADD" w14:textId="77777777" w:rsidR="00C50C9E" w:rsidRDefault="00C50C9E" w:rsidP="00C50C9E">
            <w:pPr>
              <w:spacing w:line="260" w:lineRule="exact"/>
              <w:rPr>
                <w:rFonts w:ascii="Franklin Gothic Book" w:hAnsi="Franklin Gothic Book"/>
                <w:color w:val="auto"/>
                <w:sz w:val="22"/>
                <w:szCs w:val="22"/>
              </w:rPr>
            </w:pPr>
            <w:r>
              <w:rPr>
                <w:rFonts w:ascii="Franklin Gothic Book" w:hAnsi="Franklin Gothic Book"/>
                <w:color w:val="auto"/>
                <w:sz w:val="22"/>
                <w:szCs w:val="22"/>
              </w:rPr>
              <w:t>Passive House is a building standard developed by the Passive House Institute US (PHIUS) that promotes high-performance passive building standards. PHIUS certifies and quality assures passive buildings. These buildings use 40-60 percent less energy for space conditioning than conventional buildings. (</w:t>
            </w:r>
            <w:hyperlink r:id="rId94" w:history="1">
              <w:r>
                <w:rPr>
                  <w:rStyle w:val="Hyperlink"/>
                  <w:rFonts w:ascii="Franklin Gothic Book" w:hAnsi="Franklin Gothic Book"/>
                  <w:sz w:val="22"/>
                  <w:szCs w:val="22"/>
                </w:rPr>
                <w:t>PHIUS</w:t>
              </w:r>
            </w:hyperlink>
            <w:r>
              <w:rPr>
                <w:rFonts w:ascii="Franklin Gothic Book" w:hAnsi="Franklin Gothic Book"/>
                <w:color w:val="auto"/>
                <w:sz w:val="22"/>
                <w:szCs w:val="22"/>
              </w:rPr>
              <w:t>)</w:t>
            </w:r>
          </w:p>
          <w:p w14:paraId="7BC02CFD" w14:textId="77777777" w:rsidR="00C50C9E" w:rsidRPr="005862A9" w:rsidRDefault="00C50C9E" w:rsidP="0013785F">
            <w:pPr>
              <w:spacing w:line="260" w:lineRule="exact"/>
              <w:rPr>
                <w:rFonts w:ascii="Franklin Gothic Book" w:hAnsi="Franklin Gothic Book"/>
                <w:color w:val="auto"/>
                <w:sz w:val="22"/>
                <w:szCs w:val="22"/>
              </w:rPr>
            </w:pPr>
          </w:p>
        </w:tc>
      </w:tr>
      <w:tr w:rsidR="00B5589F" w:rsidRPr="005862A9" w14:paraId="1D9C75CB" w14:textId="77777777" w:rsidTr="00B12D87">
        <w:tc>
          <w:tcPr>
            <w:tcW w:w="2705" w:type="dxa"/>
          </w:tcPr>
          <w:p w14:paraId="2A1B805E" w14:textId="77777777" w:rsidR="00B5589F" w:rsidRPr="005862A9" w:rsidRDefault="00B5589F" w:rsidP="0013785F">
            <w:pPr>
              <w:pStyle w:val="3Paragraph"/>
              <w:spacing w:line="260" w:lineRule="exact"/>
              <w:rPr>
                <w:color w:val="auto"/>
              </w:rPr>
            </w:pPr>
            <w:r w:rsidRPr="005862A9">
              <w:rPr>
                <w:color w:val="auto"/>
              </w:rPr>
              <w:t>Power Purchase Agreement (PPA)</w:t>
            </w:r>
          </w:p>
          <w:p w14:paraId="7C185F20" w14:textId="77777777" w:rsidR="00B5589F" w:rsidRPr="005862A9" w:rsidRDefault="00B5589F" w:rsidP="0013785F">
            <w:pPr>
              <w:pStyle w:val="3Paragraph"/>
              <w:spacing w:line="260" w:lineRule="exact"/>
              <w:rPr>
                <w:color w:val="auto"/>
              </w:rPr>
            </w:pPr>
          </w:p>
        </w:tc>
        <w:tc>
          <w:tcPr>
            <w:tcW w:w="6655" w:type="dxa"/>
          </w:tcPr>
          <w:p w14:paraId="4E064BAE" w14:textId="0C4B4277"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contract to buy electricity over a given term. More recently, it is used to refer to the financing mechanism enabling a third party (such as a renewable energy developer) to build, own, and operate a renewable energy system on behalf of the customer upon whose roof the project is located. The host avoids the upfront and operating costs of renewable energy, and purchases the electricity generated from the third</w:t>
            </w:r>
            <w:r w:rsidRPr="00FA05DF">
              <w:rPr>
                <w:rFonts w:ascii="Franklin Gothic Book" w:hAnsi="Franklin Gothic Book"/>
                <w:color w:val="auto"/>
                <w:sz w:val="22"/>
                <w:szCs w:val="22"/>
              </w:rPr>
              <w:t>-party owner. (</w:t>
            </w:r>
            <w:hyperlink r:id="rId95" w:history="1">
              <w:r w:rsidRPr="00FA05DF">
                <w:rPr>
                  <w:rStyle w:val="Hyperlink"/>
                  <w:rFonts w:ascii="Franklin Gothic Book" w:hAnsi="Franklin Gothic Book"/>
                  <w:sz w:val="22"/>
                  <w:szCs w:val="22"/>
                </w:rPr>
                <w:t>Pathways to 100</w:t>
              </w:r>
            </w:hyperlink>
            <w:r w:rsidRPr="00FA05DF">
              <w:rPr>
                <w:rFonts w:ascii="Franklin Gothic Book" w:hAnsi="Franklin Gothic Book"/>
                <w:color w:val="auto"/>
                <w:sz w:val="22"/>
                <w:szCs w:val="22"/>
              </w:rPr>
              <w:t>)</w:t>
            </w:r>
          </w:p>
          <w:p w14:paraId="62923231" w14:textId="77777777" w:rsidR="00B5589F" w:rsidRPr="005862A9" w:rsidRDefault="00B5589F" w:rsidP="0013785F">
            <w:pPr>
              <w:pStyle w:val="3Paragraph"/>
              <w:spacing w:line="260" w:lineRule="exact"/>
              <w:rPr>
                <w:color w:val="auto"/>
              </w:rPr>
            </w:pPr>
          </w:p>
        </w:tc>
      </w:tr>
      <w:tr w:rsidR="001E789D" w:rsidRPr="005862A9" w14:paraId="462E6818" w14:textId="77777777" w:rsidTr="00B12D87">
        <w:tc>
          <w:tcPr>
            <w:tcW w:w="2705" w:type="dxa"/>
          </w:tcPr>
          <w:p w14:paraId="3C403D78" w14:textId="51070D62" w:rsidR="001E789D" w:rsidRPr="005862A9" w:rsidRDefault="001E789D" w:rsidP="0013785F">
            <w:pPr>
              <w:pStyle w:val="3Paragraph"/>
              <w:spacing w:line="260" w:lineRule="exact"/>
              <w:rPr>
                <w:color w:val="auto"/>
              </w:rPr>
            </w:pPr>
            <w:r>
              <w:rPr>
                <w:color w:val="auto"/>
              </w:rPr>
              <w:t xml:space="preserve">Probability </w:t>
            </w:r>
          </w:p>
        </w:tc>
        <w:tc>
          <w:tcPr>
            <w:tcW w:w="6655" w:type="dxa"/>
          </w:tcPr>
          <w:p w14:paraId="101280AD" w14:textId="6CC7DD6D" w:rsidR="001E789D" w:rsidRDefault="00A34865" w:rsidP="0013785F">
            <w:pPr>
              <w:spacing w:line="260" w:lineRule="exact"/>
              <w:rPr>
                <w:rFonts w:ascii="Franklin Gothic Book" w:hAnsi="Franklin Gothic Book"/>
                <w:color w:val="auto"/>
                <w:sz w:val="22"/>
                <w:szCs w:val="22"/>
              </w:rPr>
            </w:pPr>
            <w:r>
              <w:rPr>
                <w:rFonts w:ascii="Franklin Gothic Book" w:hAnsi="Franklin Gothic Book"/>
                <w:color w:val="auto"/>
                <w:sz w:val="22"/>
                <w:szCs w:val="22"/>
              </w:rPr>
              <w:t xml:space="preserve">In a Climate, Risk and Vulnerability Assessment, probability is the likelihood of occurrence for a climate hazard (i.e. extreme heat, flooding, etc.). A high probability of climate hazard means that it is extremely likely that the hazard occurs (i.e. greater than 1 in 20 chance of occurrence). A moderate probability of a climate hazard means it is likely to occur (i.e. between a 1 in 20 and 1 in 200 chance of occurrence). Low probability </w:t>
            </w:r>
            <w:r w:rsidR="00D028E3">
              <w:rPr>
                <w:rFonts w:ascii="Franklin Gothic Book" w:hAnsi="Franklin Gothic Book"/>
                <w:color w:val="auto"/>
                <w:sz w:val="22"/>
                <w:szCs w:val="22"/>
              </w:rPr>
              <w:t xml:space="preserve">means the hazard is unlikely to occur (i.e. between </w:t>
            </w:r>
            <w:r>
              <w:rPr>
                <w:rFonts w:ascii="Franklin Gothic Book" w:hAnsi="Franklin Gothic Book"/>
                <w:color w:val="auto"/>
                <w:sz w:val="22"/>
                <w:szCs w:val="22"/>
              </w:rPr>
              <w:t xml:space="preserve">a 1 in 200 </w:t>
            </w:r>
            <w:r w:rsidR="00D028E3">
              <w:rPr>
                <w:rFonts w:ascii="Franklin Gothic Book" w:hAnsi="Franklin Gothic Book"/>
                <w:color w:val="auto"/>
                <w:sz w:val="22"/>
                <w:szCs w:val="22"/>
              </w:rPr>
              <w:t>and 1 in 2,000 chance</w:t>
            </w:r>
            <w:r>
              <w:rPr>
                <w:rFonts w:ascii="Franklin Gothic Book" w:hAnsi="Franklin Gothic Book"/>
                <w:color w:val="auto"/>
                <w:sz w:val="22"/>
                <w:szCs w:val="22"/>
              </w:rPr>
              <w:t xml:space="preserve"> of occurrence</w:t>
            </w:r>
            <w:r w:rsidR="00D028E3">
              <w:rPr>
                <w:rFonts w:ascii="Franklin Gothic Book" w:hAnsi="Franklin Gothic Book"/>
                <w:color w:val="auto"/>
                <w:sz w:val="22"/>
                <w:szCs w:val="22"/>
              </w:rPr>
              <w:t>)</w:t>
            </w:r>
            <w:r>
              <w:rPr>
                <w:rFonts w:ascii="Franklin Gothic Book" w:hAnsi="Franklin Gothic Book"/>
                <w:color w:val="auto"/>
                <w:sz w:val="22"/>
                <w:szCs w:val="22"/>
              </w:rPr>
              <w:t xml:space="preserve">. The </w:t>
            </w:r>
            <w:r w:rsidR="00D028E3">
              <w:rPr>
                <w:rFonts w:ascii="Franklin Gothic Book" w:hAnsi="Franklin Gothic Book"/>
                <w:color w:val="auto"/>
                <w:sz w:val="22"/>
                <w:szCs w:val="22"/>
              </w:rPr>
              <w:t xml:space="preserve">future </w:t>
            </w:r>
            <w:r>
              <w:rPr>
                <w:rFonts w:ascii="Franklin Gothic Book" w:hAnsi="Franklin Gothic Book"/>
                <w:color w:val="auto"/>
                <w:sz w:val="22"/>
                <w:szCs w:val="22"/>
              </w:rPr>
              <w:t>risk level is determined by probability x consequence and expected change in intensity, frequency, and timescale of expected changes.</w:t>
            </w:r>
            <w:r w:rsidR="00D028E3">
              <w:rPr>
                <w:rFonts w:ascii="Franklin Gothic Book" w:hAnsi="Franklin Gothic Book"/>
                <w:color w:val="auto"/>
                <w:sz w:val="22"/>
                <w:szCs w:val="22"/>
              </w:rPr>
              <w:t xml:space="preserve"> See definitions for consequence and risk.</w:t>
            </w:r>
            <w:r>
              <w:rPr>
                <w:rFonts w:ascii="Franklin Gothic Book" w:hAnsi="Franklin Gothic Book"/>
                <w:color w:val="auto"/>
                <w:sz w:val="22"/>
                <w:szCs w:val="22"/>
              </w:rPr>
              <w:t xml:space="preserve"> (</w:t>
            </w:r>
            <w:hyperlink r:id="rId96" w:history="1">
              <w:r w:rsidRPr="0000103F">
                <w:rPr>
                  <w:rStyle w:val="Hyperlink"/>
                  <w:rFonts w:ascii="Franklin Gothic Book" w:hAnsi="Franklin Gothic Book"/>
                  <w:sz w:val="22"/>
                  <w:szCs w:val="22"/>
                </w:rPr>
                <w:t>GCoM</w:t>
              </w:r>
            </w:hyperlink>
            <w:r>
              <w:rPr>
                <w:rFonts w:ascii="Franklin Gothic Book" w:hAnsi="Franklin Gothic Book"/>
                <w:color w:val="auto"/>
                <w:sz w:val="22"/>
                <w:szCs w:val="22"/>
              </w:rPr>
              <w:t>)</w:t>
            </w:r>
          </w:p>
          <w:p w14:paraId="0782F645" w14:textId="16993EFF" w:rsidR="001E789D" w:rsidRPr="005862A9" w:rsidRDefault="001E789D" w:rsidP="0013785F">
            <w:pPr>
              <w:spacing w:line="260" w:lineRule="exact"/>
              <w:rPr>
                <w:rFonts w:ascii="Franklin Gothic Book" w:hAnsi="Franklin Gothic Book"/>
                <w:color w:val="auto"/>
                <w:sz w:val="22"/>
                <w:szCs w:val="22"/>
              </w:rPr>
            </w:pPr>
          </w:p>
        </w:tc>
      </w:tr>
      <w:tr w:rsidR="00B5589F" w:rsidRPr="005862A9" w14:paraId="3B4D520D" w14:textId="77777777" w:rsidTr="00B12D87">
        <w:tc>
          <w:tcPr>
            <w:tcW w:w="2705" w:type="dxa"/>
          </w:tcPr>
          <w:p w14:paraId="165FA71E" w14:textId="77777777" w:rsidR="00B5589F" w:rsidRPr="005862A9" w:rsidRDefault="00B5589F" w:rsidP="0013785F">
            <w:pPr>
              <w:pStyle w:val="3Paragraph"/>
              <w:spacing w:line="260" w:lineRule="exact"/>
              <w:rPr>
                <w:color w:val="auto"/>
              </w:rPr>
            </w:pPr>
            <w:r w:rsidRPr="005862A9">
              <w:rPr>
                <w:color w:val="auto"/>
              </w:rPr>
              <w:lastRenderedPageBreak/>
              <w:t>Property Assessed Clean Energy (PACE)</w:t>
            </w:r>
          </w:p>
          <w:p w14:paraId="6E9AF07A" w14:textId="77777777" w:rsidR="00B5589F" w:rsidRPr="005862A9" w:rsidRDefault="00B5589F" w:rsidP="0013785F">
            <w:pPr>
              <w:pStyle w:val="3Paragraph"/>
              <w:spacing w:line="260" w:lineRule="exact"/>
              <w:rPr>
                <w:color w:val="auto"/>
              </w:rPr>
            </w:pPr>
          </w:p>
        </w:tc>
        <w:tc>
          <w:tcPr>
            <w:tcW w:w="6655" w:type="dxa"/>
          </w:tcPr>
          <w:p w14:paraId="49087C92" w14:textId="341DAAB1"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The property assessed clean energy (PACE) model is an innovative mechanism for financing energy efficiency and renewable energy improvements on private property. There are programs that exist for commercial properties (C-PACE) and residential properties (R-PACE). PACE programs allow a property owner to finance the up-front cost of energy or other eligible improvements on a property and then pay the costs back over time through a voluntary assessment. The unique characteristic of PACE assessments is that the assessment is attached to the property rather than an individual. (</w:t>
            </w:r>
            <w:hyperlink r:id="rId97" w:history="1">
              <w:r w:rsidRPr="005862A9">
                <w:rPr>
                  <w:rStyle w:val="Hyperlink"/>
                  <w:rFonts w:ascii="Franklin Gothic Book" w:hAnsi="Franklin Gothic Book"/>
                  <w:sz w:val="22"/>
                  <w:szCs w:val="22"/>
                </w:rPr>
                <w:t>DOE</w:t>
              </w:r>
            </w:hyperlink>
            <w:r w:rsidRPr="005862A9">
              <w:rPr>
                <w:rFonts w:ascii="Franklin Gothic Book" w:hAnsi="Franklin Gothic Book"/>
                <w:color w:val="auto"/>
                <w:sz w:val="22"/>
                <w:szCs w:val="22"/>
              </w:rPr>
              <w:t>)</w:t>
            </w:r>
          </w:p>
          <w:p w14:paraId="659FB771" w14:textId="77777777" w:rsidR="00B5589F" w:rsidRPr="005862A9" w:rsidRDefault="00B5589F" w:rsidP="0013785F">
            <w:pPr>
              <w:pStyle w:val="3Paragraph"/>
              <w:spacing w:line="260" w:lineRule="exact"/>
              <w:rPr>
                <w:color w:val="auto"/>
              </w:rPr>
            </w:pPr>
          </w:p>
        </w:tc>
      </w:tr>
      <w:tr w:rsidR="00B5589F" w:rsidRPr="005862A9" w14:paraId="7E398458" w14:textId="77777777" w:rsidTr="00B12D87">
        <w:tc>
          <w:tcPr>
            <w:tcW w:w="2705" w:type="dxa"/>
          </w:tcPr>
          <w:p w14:paraId="20519B0F" w14:textId="77777777" w:rsidR="00B5589F" w:rsidRPr="005862A9" w:rsidRDefault="00B5589F" w:rsidP="0013785F">
            <w:pPr>
              <w:pStyle w:val="3Paragraph"/>
              <w:spacing w:line="260" w:lineRule="exact"/>
              <w:rPr>
                <w:color w:val="auto"/>
              </w:rPr>
            </w:pPr>
            <w:r w:rsidRPr="005862A9">
              <w:rPr>
                <w:color w:val="auto"/>
              </w:rPr>
              <w:t>Recycling</w:t>
            </w:r>
          </w:p>
          <w:p w14:paraId="75B65C39" w14:textId="77777777" w:rsidR="00B5589F" w:rsidRPr="005862A9" w:rsidRDefault="00B5589F" w:rsidP="0013785F">
            <w:pPr>
              <w:pStyle w:val="3Paragraph"/>
              <w:spacing w:line="260" w:lineRule="exact"/>
              <w:rPr>
                <w:color w:val="auto"/>
              </w:rPr>
            </w:pPr>
          </w:p>
        </w:tc>
        <w:tc>
          <w:tcPr>
            <w:tcW w:w="6655" w:type="dxa"/>
          </w:tcPr>
          <w:p w14:paraId="6FFCE560" w14:textId="77777777" w:rsidR="00B5589F" w:rsidRPr="005862A9" w:rsidRDefault="00B5589F" w:rsidP="0013785F">
            <w:pPr>
              <w:pStyle w:val="3Paragraph"/>
              <w:spacing w:line="260" w:lineRule="exact"/>
              <w:rPr>
                <w:color w:val="auto"/>
                <w:lang w:val="en-GB"/>
              </w:rPr>
            </w:pPr>
            <w:r w:rsidRPr="005862A9">
              <w:rPr>
                <w:color w:val="auto"/>
                <w:lang w:val="en-GB"/>
              </w:rPr>
              <w:t>Recycling is the process of collecting and processing materials that would otherwise be thrown away as trash and turning them into new products. (</w:t>
            </w:r>
            <w:hyperlink r:id="rId98" w:history="1">
              <w:r w:rsidRPr="005862A9">
                <w:rPr>
                  <w:rStyle w:val="Hyperlink"/>
                  <w:lang w:val="en-GB"/>
                </w:rPr>
                <w:t>EPA</w:t>
              </w:r>
            </w:hyperlink>
            <w:r w:rsidRPr="005862A9">
              <w:rPr>
                <w:color w:val="auto"/>
                <w:lang w:val="en-GB"/>
              </w:rPr>
              <w:t>)</w:t>
            </w:r>
          </w:p>
          <w:p w14:paraId="53F878A7" w14:textId="77777777" w:rsidR="00B5589F" w:rsidRPr="005862A9" w:rsidRDefault="00B5589F" w:rsidP="0013785F">
            <w:pPr>
              <w:spacing w:line="260" w:lineRule="exact"/>
              <w:rPr>
                <w:rFonts w:ascii="Franklin Gothic Book" w:hAnsi="Franklin Gothic Book"/>
                <w:color w:val="auto"/>
                <w:sz w:val="22"/>
                <w:szCs w:val="22"/>
              </w:rPr>
            </w:pPr>
          </w:p>
        </w:tc>
      </w:tr>
      <w:tr w:rsidR="00B5589F" w:rsidRPr="005862A9" w14:paraId="74CFB276" w14:textId="77777777" w:rsidTr="00B12D87">
        <w:tc>
          <w:tcPr>
            <w:tcW w:w="2705" w:type="dxa"/>
          </w:tcPr>
          <w:p w14:paraId="7F971076" w14:textId="77777777" w:rsidR="00B5589F" w:rsidRPr="005862A9" w:rsidRDefault="00B5589F" w:rsidP="0013785F">
            <w:pPr>
              <w:pStyle w:val="3Paragraph"/>
              <w:spacing w:line="260" w:lineRule="exact"/>
              <w:rPr>
                <w:color w:val="auto"/>
              </w:rPr>
            </w:pPr>
            <w:r w:rsidRPr="005862A9">
              <w:rPr>
                <w:color w:val="auto"/>
              </w:rPr>
              <w:t>Renewable Energy</w:t>
            </w:r>
          </w:p>
          <w:p w14:paraId="615F7FAB" w14:textId="77777777" w:rsidR="00B5589F" w:rsidRPr="005862A9" w:rsidRDefault="00B5589F" w:rsidP="0013785F">
            <w:pPr>
              <w:pStyle w:val="3Paragraph"/>
              <w:spacing w:line="260" w:lineRule="exact"/>
              <w:rPr>
                <w:color w:val="auto"/>
              </w:rPr>
            </w:pPr>
          </w:p>
        </w:tc>
        <w:tc>
          <w:tcPr>
            <w:tcW w:w="6655" w:type="dxa"/>
          </w:tcPr>
          <w:p w14:paraId="27B1A641" w14:textId="5ED84F48"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Renewable energy comes from sources that replenish themselves over time. Renewable energy definitions vary by state, but usually include solar, wind, geothermal, biomass, biogas, and low-impact hydroelectric power. (</w:t>
            </w:r>
            <w:hyperlink r:id="rId99" w:history="1">
              <w:r w:rsidRPr="005862A9">
                <w:rPr>
                  <w:rStyle w:val="Hyperlink"/>
                  <w:rFonts w:ascii="Franklin Gothic Book" w:hAnsi="Franklin Gothic Book"/>
                  <w:sz w:val="22"/>
                  <w:szCs w:val="22"/>
                </w:rPr>
                <w:t>EPA</w:t>
              </w:r>
            </w:hyperlink>
            <w:r w:rsidRPr="005862A9">
              <w:rPr>
                <w:rFonts w:ascii="Franklin Gothic Book" w:hAnsi="Franklin Gothic Book"/>
                <w:color w:val="auto"/>
                <w:sz w:val="22"/>
                <w:szCs w:val="22"/>
              </w:rPr>
              <w:t>)</w:t>
            </w:r>
          </w:p>
          <w:p w14:paraId="6543CB00" w14:textId="77777777" w:rsidR="00B5589F" w:rsidRPr="005862A9" w:rsidRDefault="00B5589F" w:rsidP="0013785F">
            <w:pPr>
              <w:pStyle w:val="3Paragraph"/>
              <w:spacing w:line="260" w:lineRule="exact"/>
              <w:rPr>
                <w:color w:val="auto"/>
              </w:rPr>
            </w:pPr>
          </w:p>
        </w:tc>
      </w:tr>
      <w:tr w:rsidR="00B5589F" w:rsidRPr="005862A9" w14:paraId="45694A7F" w14:textId="77777777" w:rsidTr="00B12D87">
        <w:tc>
          <w:tcPr>
            <w:tcW w:w="2705" w:type="dxa"/>
          </w:tcPr>
          <w:p w14:paraId="5EFE558C" w14:textId="77777777" w:rsidR="00B5589F" w:rsidRPr="005862A9" w:rsidRDefault="00B5589F" w:rsidP="0013785F">
            <w:pPr>
              <w:pStyle w:val="3Paragraph"/>
              <w:spacing w:line="260" w:lineRule="exact"/>
              <w:rPr>
                <w:color w:val="auto"/>
              </w:rPr>
            </w:pPr>
            <w:r w:rsidRPr="005862A9">
              <w:rPr>
                <w:color w:val="auto"/>
              </w:rPr>
              <w:t>Renewable Energy Certificates (RECs)</w:t>
            </w:r>
          </w:p>
        </w:tc>
        <w:tc>
          <w:tcPr>
            <w:tcW w:w="6655" w:type="dxa"/>
          </w:tcPr>
          <w:p w14:paraId="5E24BF4A" w14:textId="2F0F25DA" w:rsidR="00B5589F" w:rsidRPr="005862A9" w:rsidRDefault="00B5589F" w:rsidP="0013785F">
            <w:pPr>
              <w:pStyle w:val="3Paragraph"/>
              <w:spacing w:line="260" w:lineRule="exact"/>
              <w:rPr>
                <w:color w:val="auto"/>
                <w:lang w:val="en-GB"/>
              </w:rPr>
            </w:pPr>
            <w:r w:rsidRPr="005862A9">
              <w:rPr>
                <w:color w:val="auto"/>
                <w:lang w:val="en-GB"/>
              </w:rPr>
              <w:t xml:space="preserve">A tradable commodity representing the environmental benefits of electricity generated from renewable sources. In states with an RPS, RECs are purchased and sold as a compliance mechanism. </w:t>
            </w:r>
            <w:r w:rsidRPr="00FA05DF">
              <w:rPr>
                <w:color w:val="auto"/>
                <w:lang w:val="en-GB"/>
              </w:rPr>
              <w:t>(</w:t>
            </w:r>
            <w:hyperlink r:id="rId100" w:history="1">
              <w:r w:rsidRPr="00FA05DF">
                <w:rPr>
                  <w:rStyle w:val="Hyperlink"/>
                  <w:lang w:val="en-GB"/>
                </w:rPr>
                <w:t>Pathways to 100</w:t>
              </w:r>
            </w:hyperlink>
            <w:r w:rsidRPr="00FA05DF">
              <w:rPr>
                <w:color w:val="auto"/>
                <w:lang w:val="en-GB"/>
              </w:rPr>
              <w:t>)</w:t>
            </w:r>
          </w:p>
          <w:p w14:paraId="42CB5525" w14:textId="77777777" w:rsidR="00B5589F" w:rsidRPr="005862A9" w:rsidRDefault="00B5589F" w:rsidP="0013785F">
            <w:pPr>
              <w:pStyle w:val="3Paragraph"/>
              <w:spacing w:line="260" w:lineRule="exact"/>
              <w:rPr>
                <w:color w:val="auto"/>
              </w:rPr>
            </w:pPr>
          </w:p>
          <w:p w14:paraId="0D8E4F6D" w14:textId="77777777" w:rsidR="00B5589F" w:rsidRPr="005862A9" w:rsidRDefault="00B5589F" w:rsidP="0013785F">
            <w:pPr>
              <w:pStyle w:val="3Paragraph"/>
              <w:spacing w:line="260" w:lineRule="exact"/>
              <w:rPr>
                <w:color w:val="auto"/>
              </w:rPr>
            </w:pPr>
            <w:r w:rsidRPr="005862A9">
              <w:rPr>
                <w:color w:val="auto"/>
              </w:rPr>
              <w:t>A legal certificate verifying the purchase or use of renewable energy, whether that renewable energy is installed on the organization’s facility or purchased from elsewhere. RECs play an essential role in accounting and assigning ownership to the attributes of renewable electricity generation, including the emissions profile of that generation, to their owner. REC owners can quantify the purchased electricity associated with RECs as zero-emissions electricity. (</w:t>
            </w:r>
            <w:hyperlink r:id="rId101" w:history="1">
              <w:r w:rsidRPr="005862A9">
                <w:rPr>
                  <w:rStyle w:val="Hyperlink"/>
                </w:rPr>
                <w:t>EPA</w:t>
              </w:r>
            </w:hyperlink>
            <w:r w:rsidRPr="005862A9">
              <w:rPr>
                <w:color w:val="auto"/>
              </w:rPr>
              <w:t>)</w:t>
            </w:r>
          </w:p>
          <w:p w14:paraId="2789BA0D" w14:textId="77777777" w:rsidR="00B5589F" w:rsidRPr="005862A9" w:rsidRDefault="00B5589F" w:rsidP="0013785F">
            <w:pPr>
              <w:pStyle w:val="3Paragraph"/>
              <w:spacing w:line="260" w:lineRule="exact"/>
              <w:rPr>
                <w:color w:val="auto"/>
              </w:rPr>
            </w:pPr>
          </w:p>
          <w:p w14:paraId="69B35A10" w14:textId="535F1669" w:rsidR="00B5589F" w:rsidRPr="005862A9" w:rsidRDefault="00B5589F" w:rsidP="0013785F">
            <w:pPr>
              <w:pStyle w:val="3Paragraph"/>
              <w:spacing w:line="260" w:lineRule="exact"/>
              <w:rPr>
                <w:color w:val="auto"/>
                <w:lang w:val="en-GB"/>
              </w:rPr>
            </w:pPr>
            <w:r w:rsidRPr="005862A9">
              <w:rPr>
                <w:color w:val="auto"/>
                <w:lang w:val="en-GB"/>
              </w:rPr>
              <w:t>A market tradable commodity that represents proof that one megawatt-hour (MWh) of electricity was generated from a third-party verified renewable energy resource, such as a solar renewable energy certificate (SERC) that is generated from solar energy resource. (</w:t>
            </w:r>
            <w:hyperlink r:id="rId102" w:history="1">
              <w:r w:rsidR="00B74A8F" w:rsidRPr="00B74A8F">
                <w:rPr>
                  <w:rStyle w:val="Hyperlink"/>
                  <w:lang w:val="en-GB"/>
                </w:rPr>
                <w:t>ICLEI</w:t>
              </w:r>
            </w:hyperlink>
            <w:r w:rsidRPr="005862A9">
              <w:rPr>
                <w:color w:val="auto"/>
                <w:lang w:val="en-GB"/>
              </w:rPr>
              <w:t>)</w:t>
            </w:r>
          </w:p>
          <w:p w14:paraId="209313BF" w14:textId="77777777" w:rsidR="00B5589F" w:rsidRPr="005862A9" w:rsidRDefault="00B5589F" w:rsidP="0013785F">
            <w:pPr>
              <w:pStyle w:val="3Paragraph"/>
              <w:spacing w:line="260" w:lineRule="exact"/>
              <w:rPr>
                <w:color w:val="auto"/>
              </w:rPr>
            </w:pPr>
          </w:p>
        </w:tc>
      </w:tr>
      <w:tr w:rsidR="00920ACC" w:rsidRPr="005862A9" w14:paraId="71B871A4" w14:textId="77777777" w:rsidTr="00B12D87">
        <w:tc>
          <w:tcPr>
            <w:tcW w:w="2705" w:type="dxa"/>
          </w:tcPr>
          <w:p w14:paraId="249EBD1D" w14:textId="19307BC5" w:rsidR="00920ACC" w:rsidRPr="005862A9" w:rsidRDefault="00920ACC" w:rsidP="0013785F">
            <w:pPr>
              <w:pStyle w:val="3Paragraph"/>
              <w:spacing w:line="260" w:lineRule="exact"/>
              <w:rPr>
                <w:color w:val="auto"/>
              </w:rPr>
            </w:pPr>
            <w:r>
              <w:rPr>
                <w:color w:val="auto"/>
              </w:rPr>
              <w:t>Renewable Natural Gas (RNG)</w:t>
            </w:r>
          </w:p>
        </w:tc>
        <w:tc>
          <w:tcPr>
            <w:tcW w:w="6655" w:type="dxa"/>
          </w:tcPr>
          <w:p w14:paraId="094DC04B" w14:textId="1F9C3DA6" w:rsidR="00920ACC" w:rsidRDefault="00920ACC" w:rsidP="0013785F">
            <w:pPr>
              <w:pStyle w:val="3Paragraph"/>
              <w:spacing w:line="260" w:lineRule="exact"/>
            </w:pPr>
            <w:r>
              <w:t>RNG is derived from biomass or other renewable resources and is a pipeline-quality gas that is fully interchangeable with conventional natural gas. (</w:t>
            </w:r>
            <w:hyperlink r:id="rId103" w:history="1">
              <w:r w:rsidRPr="00920ACC">
                <w:rPr>
                  <w:rStyle w:val="Hyperlink"/>
                </w:rPr>
                <w:t>Washington Gas</w:t>
              </w:r>
            </w:hyperlink>
            <w:r>
              <w:t>)</w:t>
            </w:r>
          </w:p>
          <w:p w14:paraId="78C9D334" w14:textId="4CDE5AC9" w:rsidR="00920ACC" w:rsidRPr="005862A9" w:rsidRDefault="00920ACC" w:rsidP="0013785F">
            <w:pPr>
              <w:pStyle w:val="3Paragraph"/>
              <w:spacing w:line="260" w:lineRule="exact"/>
              <w:rPr>
                <w:color w:val="auto"/>
                <w:lang w:val="en-GB"/>
              </w:rPr>
            </w:pPr>
          </w:p>
        </w:tc>
      </w:tr>
      <w:tr w:rsidR="00B5589F" w:rsidRPr="005862A9" w14:paraId="5D393152" w14:textId="77777777" w:rsidTr="00B12D87">
        <w:tc>
          <w:tcPr>
            <w:tcW w:w="2705" w:type="dxa"/>
          </w:tcPr>
          <w:p w14:paraId="735BC83E" w14:textId="77777777" w:rsidR="00B5589F" w:rsidRPr="005862A9" w:rsidRDefault="00B5589F" w:rsidP="0013785F">
            <w:pPr>
              <w:pStyle w:val="3Paragraph"/>
              <w:spacing w:line="260" w:lineRule="exact"/>
              <w:rPr>
                <w:color w:val="auto"/>
              </w:rPr>
            </w:pPr>
            <w:r w:rsidRPr="005862A9">
              <w:rPr>
                <w:color w:val="auto"/>
              </w:rPr>
              <w:t>Renewable Portfolio Standard (RPS)</w:t>
            </w:r>
          </w:p>
          <w:p w14:paraId="231DF81F" w14:textId="77777777" w:rsidR="00B5589F" w:rsidRPr="005862A9" w:rsidRDefault="00B5589F" w:rsidP="0013785F">
            <w:pPr>
              <w:pStyle w:val="3Paragraph"/>
              <w:spacing w:line="260" w:lineRule="exact"/>
              <w:rPr>
                <w:color w:val="auto"/>
              </w:rPr>
            </w:pPr>
          </w:p>
        </w:tc>
        <w:tc>
          <w:tcPr>
            <w:tcW w:w="6655" w:type="dxa"/>
          </w:tcPr>
          <w:p w14:paraId="4CB5A60A" w14:textId="77777777" w:rsidR="0020279F" w:rsidRDefault="0020279F" w:rsidP="0020279F">
            <w:pPr>
              <w:pStyle w:val="3Paragraph"/>
              <w:spacing w:line="260" w:lineRule="exact"/>
              <w:rPr>
                <w:color w:val="auto"/>
                <w:lang w:val="en-GB"/>
              </w:rPr>
            </w:pPr>
            <w:r>
              <w:rPr>
                <w:color w:val="auto"/>
                <w:lang w:val="en-GB"/>
              </w:rPr>
              <w:t xml:space="preserve">A renewable portfolio standard (RPS) is a regulatory mandate to increase production of energy from renewable sources such as wind, solar, biomass and other alternatives to fossil and nuclear electric generation. States often design them to drive a particular technology by providing "carve out" provisions that mandate a certain </w:t>
            </w:r>
            <w:r>
              <w:rPr>
                <w:color w:val="auto"/>
                <w:lang w:val="en-GB"/>
              </w:rPr>
              <w:lastRenderedPageBreak/>
              <w:t>percentage of electricity generated comes from a particular technology (e.g. solar or biomass). (</w:t>
            </w:r>
            <w:hyperlink r:id="rId104" w:history="1">
              <w:r>
                <w:rPr>
                  <w:rStyle w:val="Hyperlink"/>
                  <w:lang w:val="en-GB"/>
                </w:rPr>
                <w:t>NREL</w:t>
              </w:r>
            </w:hyperlink>
            <w:r>
              <w:rPr>
                <w:color w:val="auto"/>
                <w:lang w:val="en-GB"/>
              </w:rPr>
              <w:t>)</w:t>
            </w:r>
          </w:p>
          <w:p w14:paraId="0E6F41BA" w14:textId="77777777" w:rsidR="00B5589F" w:rsidRPr="005862A9" w:rsidRDefault="00B5589F" w:rsidP="0013785F">
            <w:pPr>
              <w:pStyle w:val="3Paragraph"/>
              <w:spacing w:line="260" w:lineRule="exact"/>
              <w:rPr>
                <w:color w:val="auto"/>
              </w:rPr>
            </w:pPr>
          </w:p>
        </w:tc>
      </w:tr>
      <w:tr w:rsidR="00B5589F" w:rsidRPr="005862A9" w14:paraId="568D6982" w14:textId="77777777" w:rsidTr="00B12D87">
        <w:tc>
          <w:tcPr>
            <w:tcW w:w="2705" w:type="dxa"/>
          </w:tcPr>
          <w:p w14:paraId="7625EBD4" w14:textId="77777777" w:rsidR="00B5589F" w:rsidRPr="005862A9" w:rsidRDefault="00B5589F" w:rsidP="0013785F">
            <w:pPr>
              <w:pStyle w:val="3Paragraph"/>
              <w:spacing w:line="260" w:lineRule="exact"/>
              <w:rPr>
                <w:color w:val="auto"/>
              </w:rPr>
            </w:pPr>
            <w:r w:rsidRPr="005862A9">
              <w:rPr>
                <w:color w:val="auto"/>
              </w:rPr>
              <w:lastRenderedPageBreak/>
              <w:t>Resilience</w:t>
            </w:r>
          </w:p>
        </w:tc>
        <w:tc>
          <w:tcPr>
            <w:tcW w:w="6655" w:type="dxa"/>
          </w:tcPr>
          <w:p w14:paraId="3AF90EDA" w14:textId="16D8DF1E" w:rsidR="00675C2F" w:rsidRPr="00675C2F" w:rsidRDefault="00675C2F" w:rsidP="0013785F">
            <w:pPr>
              <w:spacing w:line="260" w:lineRule="exact"/>
              <w:rPr>
                <w:rFonts w:ascii="Franklin Gothic Book" w:hAnsi="Franklin Gothic Book"/>
                <w:sz w:val="22"/>
                <w:szCs w:val="22"/>
              </w:rPr>
            </w:pPr>
            <w:r w:rsidRPr="00675C2F">
              <w:rPr>
                <w:rFonts w:ascii="Franklin Gothic Book" w:hAnsi="Franklin Gothic Book"/>
                <w:sz w:val="22"/>
                <w:szCs w:val="22"/>
              </w:rPr>
              <w:t xml:space="preserve">The capacity of social, </w:t>
            </w:r>
            <w:proofErr w:type="gramStart"/>
            <w:r w:rsidRPr="00675C2F">
              <w:rPr>
                <w:rFonts w:ascii="Franklin Gothic Book" w:hAnsi="Franklin Gothic Book"/>
                <w:sz w:val="22"/>
                <w:szCs w:val="22"/>
              </w:rPr>
              <w:t>economic</w:t>
            </w:r>
            <w:proofErr w:type="gramEnd"/>
            <w:r w:rsidRPr="00675C2F">
              <w:rPr>
                <w:rFonts w:ascii="Franklin Gothic Book" w:hAnsi="Franklin Gothic Book"/>
                <w:sz w:val="22"/>
                <w:szCs w:val="22"/>
              </w:rPr>
              <w:t xml:space="preserve"> and environmental systems to cope with a hazardous event or trend or disturbance, responding or reorganizing in ways that maintain their essential function, identity and structure, while also maintaining the capacity for adaptation, learning and transformation</w:t>
            </w:r>
            <w:r>
              <w:rPr>
                <w:rFonts w:ascii="Franklin Gothic Book" w:hAnsi="Franklin Gothic Book"/>
                <w:sz w:val="22"/>
                <w:szCs w:val="22"/>
              </w:rPr>
              <w:t>.</w:t>
            </w:r>
            <w:r w:rsidRPr="00675C2F">
              <w:rPr>
                <w:rFonts w:ascii="Franklin Gothic Book" w:hAnsi="Franklin Gothic Book"/>
                <w:sz w:val="22"/>
                <w:szCs w:val="22"/>
              </w:rPr>
              <w:t xml:space="preserve"> (</w:t>
            </w:r>
            <w:hyperlink r:id="rId105" w:history="1">
              <w:r w:rsidRPr="00675C2F">
                <w:rPr>
                  <w:rStyle w:val="Hyperlink"/>
                  <w:rFonts w:ascii="Franklin Gothic Book" w:hAnsi="Franklin Gothic Book"/>
                  <w:sz w:val="22"/>
                  <w:szCs w:val="22"/>
                </w:rPr>
                <w:t>GCoM</w:t>
              </w:r>
            </w:hyperlink>
            <w:r w:rsidRPr="00675C2F">
              <w:rPr>
                <w:rFonts w:ascii="Franklin Gothic Book" w:hAnsi="Franklin Gothic Book"/>
                <w:sz w:val="22"/>
                <w:szCs w:val="22"/>
              </w:rPr>
              <w:t>)</w:t>
            </w:r>
          </w:p>
          <w:p w14:paraId="58015EED" w14:textId="77777777" w:rsidR="00675C2F" w:rsidRPr="00675C2F" w:rsidRDefault="00675C2F" w:rsidP="0013785F">
            <w:pPr>
              <w:spacing w:line="260" w:lineRule="exact"/>
              <w:rPr>
                <w:rFonts w:ascii="Franklin Gothic Book" w:hAnsi="Franklin Gothic Book"/>
                <w:sz w:val="22"/>
                <w:szCs w:val="22"/>
              </w:rPr>
            </w:pPr>
          </w:p>
          <w:p w14:paraId="27D52A70" w14:textId="7FBB859A" w:rsidR="00B5589F" w:rsidRPr="005862A9" w:rsidRDefault="00B5589F" w:rsidP="0013785F">
            <w:pPr>
              <w:spacing w:line="260" w:lineRule="exact"/>
              <w:rPr>
                <w:rFonts w:ascii="Franklin Gothic Book" w:hAnsi="Franklin Gothic Book"/>
                <w:color w:val="auto"/>
                <w:sz w:val="22"/>
                <w:szCs w:val="22"/>
              </w:rPr>
            </w:pPr>
            <w:r w:rsidRPr="005862A9">
              <w:rPr>
                <w:rFonts w:ascii="Franklin Gothic Book" w:hAnsi="Franklin Gothic Book"/>
                <w:color w:val="auto"/>
                <w:sz w:val="22"/>
                <w:szCs w:val="22"/>
              </w:rPr>
              <w:t>A capability to anticipate, prepare for, respond to, and recover from significant multi-hazard threats with minimum damage to social well-being, the economy, and the environment. (</w:t>
            </w:r>
            <w:hyperlink r:id="rId106" w:history="1">
              <w:r w:rsidRPr="005862A9">
                <w:rPr>
                  <w:rStyle w:val="Hyperlink"/>
                  <w:rFonts w:ascii="Franklin Gothic Book" w:hAnsi="Franklin Gothic Book"/>
                  <w:sz w:val="22"/>
                  <w:szCs w:val="22"/>
                </w:rPr>
                <w:t>EPA</w:t>
              </w:r>
            </w:hyperlink>
            <w:r w:rsidRPr="005862A9">
              <w:rPr>
                <w:rFonts w:ascii="Franklin Gothic Book" w:hAnsi="Franklin Gothic Book"/>
                <w:color w:val="auto"/>
                <w:sz w:val="22"/>
                <w:szCs w:val="22"/>
              </w:rPr>
              <w:t>)</w:t>
            </w:r>
          </w:p>
          <w:p w14:paraId="37C9DF6F" w14:textId="77777777" w:rsidR="00B5589F" w:rsidRPr="005862A9" w:rsidRDefault="00B5589F" w:rsidP="0013785F">
            <w:pPr>
              <w:pStyle w:val="3Paragraph"/>
              <w:spacing w:line="260" w:lineRule="exact"/>
              <w:rPr>
                <w:color w:val="auto"/>
              </w:rPr>
            </w:pPr>
          </w:p>
        </w:tc>
      </w:tr>
      <w:tr w:rsidR="00F87DF1" w:rsidRPr="005862A9" w14:paraId="2237E8EA" w14:textId="77777777" w:rsidTr="00B12D87">
        <w:tc>
          <w:tcPr>
            <w:tcW w:w="2705" w:type="dxa"/>
          </w:tcPr>
          <w:p w14:paraId="09A91058" w14:textId="24632F70" w:rsidR="00F87DF1" w:rsidRPr="005862A9" w:rsidRDefault="00F87DF1" w:rsidP="0013785F">
            <w:pPr>
              <w:pStyle w:val="3Paragraph"/>
              <w:spacing w:line="260" w:lineRule="exact"/>
              <w:rPr>
                <w:color w:val="auto"/>
              </w:rPr>
            </w:pPr>
            <w:r>
              <w:rPr>
                <w:color w:val="auto"/>
              </w:rPr>
              <w:t>Resilience Hub</w:t>
            </w:r>
          </w:p>
        </w:tc>
        <w:tc>
          <w:tcPr>
            <w:tcW w:w="6655" w:type="dxa"/>
          </w:tcPr>
          <w:p w14:paraId="377128B3" w14:textId="45A07669" w:rsidR="00F87DF1" w:rsidRPr="00F87DF1" w:rsidRDefault="00F87DF1" w:rsidP="00F87DF1">
            <w:pPr>
              <w:rPr>
                <w:rFonts w:ascii="Franklin Gothic Book" w:eastAsiaTheme="minorHAnsi" w:hAnsi="Franklin Gothic Book" w:cs="Times New Roman"/>
                <w:color w:val="auto"/>
                <w:sz w:val="22"/>
                <w:szCs w:val="22"/>
              </w:rPr>
            </w:pPr>
            <w:r w:rsidRPr="00F87DF1">
              <w:rPr>
                <w:rFonts w:ascii="Franklin Gothic Book" w:hAnsi="Franklin Gothic Book"/>
                <w:sz w:val="22"/>
                <w:szCs w:val="22"/>
              </w:rPr>
              <w:t xml:space="preserve">Resilience Hubs are community-serving facilities augmented to </w:t>
            </w:r>
            <w:r>
              <w:rPr>
                <w:rFonts w:ascii="Franklin Gothic Book" w:hAnsi="Franklin Gothic Book"/>
                <w:sz w:val="22"/>
                <w:szCs w:val="22"/>
              </w:rPr>
              <w:t>[</w:t>
            </w:r>
            <w:r w:rsidRPr="00F87DF1">
              <w:rPr>
                <w:rFonts w:ascii="Franklin Gothic Book" w:hAnsi="Franklin Gothic Book"/>
                <w:sz w:val="22"/>
                <w:szCs w:val="22"/>
              </w:rPr>
              <w:t>support</w:t>
            </w:r>
            <w:r>
              <w:rPr>
                <w:rFonts w:ascii="Franklin Gothic Book" w:hAnsi="Franklin Gothic Book"/>
                <w:sz w:val="22"/>
                <w:szCs w:val="22"/>
              </w:rPr>
              <w:t>]</w:t>
            </w:r>
            <w:r w:rsidRPr="00F87DF1">
              <w:rPr>
                <w:rFonts w:ascii="Franklin Gothic Book" w:hAnsi="Franklin Gothic Book"/>
                <w:sz w:val="22"/>
                <w:szCs w:val="22"/>
              </w:rPr>
              <w:t xml:space="preserve"> residents and coordinate resource distribution and services before, during, or after a natural hazard event. They leverage established, trusted, and community-managed facilities that are used year-round as neighborhood centers for community-building activities. An existing well-used and well-trusted site is the core of a Resilience Hub. The best sites are those that are in </w:t>
            </w:r>
            <w:proofErr w:type="gramStart"/>
            <w:r w:rsidRPr="00F87DF1">
              <w:rPr>
                <w:rFonts w:ascii="Franklin Gothic Book" w:hAnsi="Franklin Gothic Book"/>
                <w:sz w:val="22"/>
                <w:szCs w:val="22"/>
              </w:rPr>
              <w:t>fairly good</w:t>
            </w:r>
            <w:proofErr w:type="gramEnd"/>
            <w:r w:rsidRPr="00F87DF1">
              <w:rPr>
                <w:rFonts w:ascii="Franklin Gothic Book" w:hAnsi="Franklin Gothic Book"/>
                <w:sz w:val="22"/>
                <w:szCs w:val="22"/>
              </w:rPr>
              <w:t xml:space="preserve"> condition and </w:t>
            </w:r>
            <w:r w:rsidRPr="00117D89">
              <w:rPr>
                <w:rFonts w:ascii="Franklin Gothic Book" w:hAnsi="Franklin Gothic Book"/>
                <w:sz w:val="22"/>
                <w:szCs w:val="22"/>
              </w:rPr>
              <w:t>can support other critical elements such as solar and energy storage systems. (</w:t>
            </w:r>
            <w:hyperlink r:id="rId107" w:history="1">
              <w:r w:rsidRPr="00117D89">
                <w:rPr>
                  <w:rStyle w:val="Hyperlink"/>
                  <w:rFonts w:ascii="Franklin Gothic Book" w:hAnsi="Franklin Gothic Book"/>
                  <w:sz w:val="22"/>
                  <w:szCs w:val="22"/>
                </w:rPr>
                <w:t>USDN</w:t>
              </w:r>
            </w:hyperlink>
            <w:r w:rsidRPr="00117D89">
              <w:rPr>
                <w:rFonts w:ascii="Franklin Gothic Book" w:hAnsi="Franklin Gothic Book"/>
                <w:sz w:val="22"/>
                <w:szCs w:val="22"/>
              </w:rPr>
              <w:t>)</w:t>
            </w:r>
            <w:r w:rsidRPr="00F87DF1">
              <w:rPr>
                <w:rFonts w:ascii="Franklin Gothic Book" w:hAnsi="Franklin Gothic Book" w:cs="Times New Roman"/>
                <w:sz w:val="22"/>
                <w:szCs w:val="22"/>
              </w:rPr>
              <w:t xml:space="preserve"> </w:t>
            </w:r>
          </w:p>
          <w:p w14:paraId="35E4B671" w14:textId="77777777" w:rsidR="00F87DF1" w:rsidRPr="00F87DF1" w:rsidRDefault="00F87DF1" w:rsidP="0013785F">
            <w:pPr>
              <w:pStyle w:val="3Paragraph"/>
              <w:spacing w:line="260" w:lineRule="exact"/>
              <w:rPr>
                <w:color w:val="auto"/>
              </w:rPr>
            </w:pPr>
          </w:p>
        </w:tc>
      </w:tr>
      <w:tr w:rsidR="00B5589F" w:rsidRPr="005862A9" w14:paraId="44DADECC" w14:textId="77777777" w:rsidTr="00B12D87">
        <w:tc>
          <w:tcPr>
            <w:tcW w:w="2705" w:type="dxa"/>
          </w:tcPr>
          <w:p w14:paraId="0A15854F" w14:textId="77777777" w:rsidR="00B5589F" w:rsidRPr="005862A9" w:rsidRDefault="00B5589F" w:rsidP="0013785F">
            <w:pPr>
              <w:pStyle w:val="3Paragraph"/>
              <w:spacing w:line="260" w:lineRule="exact"/>
              <w:rPr>
                <w:color w:val="auto"/>
              </w:rPr>
            </w:pPr>
            <w:r w:rsidRPr="005862A9">
              <w:rPr>
                <w:color w:val="auto"/>
              </w:rPr>
              <w:t>Ridesharing/Carpooling</w:t>
            </w:r>
          </w:p>
          <w:p w14:paraId="76A7DC72" w14:textId="77777777" w:rsidR="00B5589F" w:rsidRPr="005862A9" w:rsidRDefault="00B5589F" w:rsidP="0013785F">
            <w:pPr>
              <w:pStyle w:val="3Paragraph"/>
              <w:spacing w:line="260" w:lineRule="exact"/>
              <w:rPr>
                <w:color w:val="auto"/>
              </w:rPr>
            </w:pPr>
          </w:p>
        </w:tc>
        <w:tc>
          <w:tcPr>
            <w:tcW w:w="6655" w:type="dxa"/>
          </w:tcPr>
          <w:p w14:paraId="20C0FCD3" w14:textId="402EAC3A" w:rsidR="00B5589F" w:rsidRPr="005862A9" w:rsidRDefault="00B5589F" w:rsidP="0013785F">
            <w:pPr>
              <w:pStyle w:val="3Paragraph"/>
              <w:spacing w:line="260" w:lineRule="exact"/>
              <w:rPr>
                <w:color w:val="auto"/>
              </w:rPr>
            </w:pPr>
            <w:r w:rsidRPr="005862A9">
              <w:rPr>
                <w:color w:val="auto"/>
              </w:rPr>
              <w:t>Rideshare programs help people share vehicles and travel together. Ridesharing, also called carpooling, reduces travel costs, traffic, and parking needs. Some local and regional governments provide incentives for ridesharing, such as access to high occupancy vehicle (HOV) lanes. (</w:t>
            </w:r>
            <w:hyperlink r:id="rId108" w:history="1">
              <w:r w:rsidRPr="005862A9">
                <w:rPr>
                  <w:rStyle w:val="Hyperlink"/>
                </w:rPr>
                <w:t>DOE</w:t>
              </w:r>
            </w:hyperlink>
            <w:r w:rsidRPr="005862A9">
              <w:rPr>
                <w:color w:val="auto"/>
              </w:rPr>
              <w:t>)</w:t>
            </w:r>
          </w:p>
          <w:p w14:paraId="26AFE46D" w14:textId="77777777" w:rsidR="00B5589F" w:rsidRPr="005862A9" w:rsidRDefault="00B5589F" w:rsidP="0013785F">
            <w:pPr>
              <w:spacing w:line="260" w:lineRule="exact"/>
              <w:rPr>
                <w:rFonts w:ascii="Franklin Gothic Book" w:hAnsi="Franklin Gothic Book"/>
                <w:color w:val="auto"/>
                <w:sz w:val="22"/>
                <w:szCs w:val="22"/>
              </w:rPr>
            </w:pPr>
          </w:p>
        </w:tc>
      </w:tr>
      <w:tr w:rsidR="00647BEB" w:rsidRPr="005862A9" w14:paraId="2F2EE56A" w14:textId="77777777" w:rsidTr="00B12D87">
        <w:tc>
          <w:tcPr>
            <w:tcW w:w="2705" w:type="dxa"/>
          </w:tcPr>
          <w:p w14:paraId="18102635" w14:textId="748ECE2D" w:rsidR="00647BEB" w:rsidRDefault="00647BEB" w:rsidP="0013785F">
            <w:pPr>
              <w:pStyle w:val="3Paragraph"/>
              <w:spacing w:line="260" w:lineRule="exact"/>
              <w:rPr>
                <w:color w:val="auto"/>
              </w:rPr>
            </w:pPr>
            <w:r>
              <w:rPr>
                <w:color w:val="auto"/>
              </w:rPr>
              <w:t xml:space="preserve">Risk </w:t>
            </w:r>
          </w:p>
        </w:tc>
        <w:tc>
          <w:tcPr>
            <w:tcW w:w="6655" w:type="dxa"/>
          </w:tcPr>
          <w:p w14:paraId="61931C03" w14:textId="5C1B7191" w:rsidR="00647BEB" w:rsidRDefault="00647BEB" w:rsidP="002C2FB0">
            <w:pPr>
              <w:spacing w:line="260" w:lineRule="exact"/>
              <w:rPr>
                <w:rFonts w:ascii="Franklin Gothic Book" w:hAnsi="Franklin Gothic Book"/>
                <w:sz w:val="22"/>
                <w:szCs w:val="22"/>
              </w:rPr>
            </w:pPr>
            <w:r w:rsidRPr="00647BEB">
              <w:rPr>
                <w:rFonts w:ascii="Franklin Gothic Book" w:hAnsi="Franklin Gothic Book"/>
                <w:sz w:val="22"/>
                <w:szCs w:val="22"/>
              </w:rPr>
              <w:t xml:space="preserve">The potential for consequences where something of value is at stake and where the outcome is uncertain, recognizing the diversity of values. Risk is often represented as probability or likelihood of occurrence of hazardous events or trends multiplied by the impacts if these events or trends occur. The term risk is often used to refer to the potential, when the outcome is uncertain, for adverse consequences on lives, livelihoods, health, ecosystems and species, economic, </w:t>
            </w:r>
            <w:proofErr w:type="gramStart"/>
            <w:r w:rsidRPr="00647BEB">
              <w:rPr>
                <w:rFonts w:ascii="Franklin Gothic Book" w:hAnsi="Franklin Gothic Book"/>
                <w:sz w:val="22"/>
                <w:szCs w:val="22"/>
              </w:rPr>
              <w:t>social</w:t>
            </w:r>
            <w:proofErr w:type="gramEnd"/>
            <w:r w:rsidRPr="00647BEB">
              <w:rPr>
                <w:rFonts w:ascii="Franklin Gothic Book" w:hAnsi="Franklin Gothic Book"/>
                <w:sz w:val="22"/>
                <w:szCs w:val="22"/>
              </w:rPr>
              <w:t xml:space="preserve"> and cultural assets, services (including environmental services) and infrastructure.</w:t>
            </w:r>
            <w:r w:rsidRPr="00647BEB">
              <w:rPr>
                <w:rFonts w:ascii="Franklin Gothic Book" w:hAnsi="Franklin Gothic Book"/>
                <w:sz w:val="22"/>
                <w:szCs w:val="22"/>
              </w:rPr>
              <w:t xml:space="preserve"> (</w:t>
            </w:r>
            <w:hyperlink r:id="rId109" w:history="1">
              <w:r w:rsidRPr="00647BEB">
                <w:rPr>
                  <w:rStyle w:val="Hyperlink"/>
                  <w:rFonts w:ascii="Franklin Gothic Book" w:hAnsi="Franklin Gothic Book"/>
                  <w:sz w:val="22"/>
                  <w:szCs w:val="22"/>
                </w:rPr>
                <w:t>GCoM</w:t>
              </w:r>
            </w:hyperlink>
            <w:r w:rsidRPr="00647BEB">
              <w:rPr>
                <w:rFonts w:ascii="Franklin Gothic Book" w:hAnsi="Franklin Gothic Book"/>
                <w:sz w:val="22"/>
                <w:szCs w:val="22"/>
              </w:rPr>
              <w:t>)</w:t>
            </w:r>
          </w:p>
          <w:p w14:paraId="3E968310" w14:textId="34A2B8AA" w:rsidR="00647BEB" w:rsidRPr="00647BEB" w:rsidRDefault="00647BEB" w:rsidP="002C2FB0">
            <w:pPr>
              <w:spacing w:line="260" w:lineRule="exact"/>
              <w:rPr>
                <w:rFonts w:ascii="Franklin Gothic Book" w:hAnsi="Franklin Gothic Book"/>
                <w:sz w:val="22"/>
                <w:szCs w:val="22"/>
              </w:rPr>
            </w:pPr>
          </w:p>
        </w:tc>
      </w:tr>
      <w:tr w:rsidR="000D1455" w:rsidRPr="005862A9" w14:paraId="59414C4E" w14:textId="77777777" w:rsidTr="00B12D87">
        <w:tc>
          <w:tcPr>
            <w:tcW w:w="2705" w:type="dxa"/>
          </w:tcPr>
          <w:p w14:paraId="538B5348" w14:textId="0F5FDAAE" w:rsidR="000D1455" w:rsidRPr="005862A9" w:rsidRDefault="000D1455" w:rsidP="0013785F">
            <w:pPr>
              <w:pStyle w:val="3Paragraph"/>
              <w:spacing w:line="260" w:lineRule="exact"/>
              <w:rPr>
                <w:color w:val="auto"/>
              </w:rPr>
            </w:pPr>
            <w:r>
              <w:rPr>
                <w:color w:val="auto"/>
              </w:rPr>
              <w:t>Riverine Flood</w:t>
            </w:r>
          </w:p>
        </w:tc>
        <w:tc>
          <w:tcPr>
            <w:tcW w:w="6655" w:type="dxa"/>
          </w:tcPr>
          <w:p w14:paraId="3128779F" w14:textId="29B551A3" w:rsidR="000D1455" w:rsidRDefault="000D1455" w:rsidP="002C2FB0">
            <w:pPr>
              <w:spacing w:line="260" w:lineRule="exact"/>
              <w:rPr>
                <w:rFonts w:ascii="Franklin Gothic Book" w:hAnsi="Franklin Gothic Book"/>
                <w:sz w:val="22"/>
                <w:szCs w:val="22"/>
              </w:rPr>
            </w:pPr>
            <w:r w:rsidRPr="000D1455">
              <w:rPr>
                <w:rFonts w:ascii="Franklin Gothic Book" w:hAnsi="Franklin Gothic Book"/>
                <w:sz w:val="22"/>
                <w:szCs w:val="22"/>
              </w:rPr>
              <w:t xml:space="preserve">A river flood occurs when water levels rise over the top of riverbanks due to excessive rain from tropical systems making landfall, persistent thunderstorms over the same </w:t>
            </w:r>
            <w:r w:rsidRPr="00E80304">
              <w:rPr>
                <w:rFonts w:ascii="Franklin Gothic Book" w:hAnsi="Franklin Gothic Book"/>
                <w:sz w:val="22"/>
                <w:szCs w:val="22"/>
              </w:rPr>
              <w:t>area for extended periods of time, combined rainfall and snowmelt, or an ice jam. (</w:t>
            </w:r>
            <w:hyperlink r:id="rId110" w:history="1">
              <w:r w:rsidRPr="00E80304">
                <w:rPr>
                  <w:rStyle w:val="Hyperlink"/>
                  <w:rFonts w:ascii="Franklin Gothic Book" w:hAnsi="Franklin Gothic Book"/>
                  <w:sz w:val="22"/>
                  <w:szCs w:val="22"/>
                </w:rPr>
                <w:t>NOAA</w:t>
              </w:r>
            </w:hyperlink>
            <w:r w:rsidRPr="00E80304">
              <w:rPr>
                <w:rFonts w:ascii="Franklin Gothic Book" w:hAnsi="Franklin Gothic Book"/>
                <w:sz w:val="22"/>
                <w:szCs w:val="22"/>
              </w:rPr>
              <w:t>)</w:t>
            </w:r>
          </w:p>
          <w:p w14:paraId="2306DC61" w14:textId="2D47A8EE" w:rsidR="000D1455" w:rsidRPr="000D1455" w:rsidRDefault="000D1455" w:rsidP="002C2FB0">
            <w:pPr>
              <w:spacing w:line="260" w:lineRule="exact"/>
              <w:rPr>
                <w:rFonts w:ascii="Franklin Gothic Book" w:hAnsi="Franklin Gothic Book"/>
                <w:color w:val="auto"/>
                <w:sz w:val="22"/>
                <w:szCs w:val="22"/>
              </w:rPr>
            </w:pPr>
          </w:p>
        </w:tc>
      </w:tr>
      <w:tr w:rsidR="00E1334C" w:rsidRPr="005862A9" w14:paraId="176E6E01" w14:textId="77777777" w:rsidTr="00B12D87">
        <w:tc>
          <w:tcPr>
            <w:tcW w:w="2705" w:type="dxa"/>
          </w:tcPr>
          <w:p w14:paraId="4F751E86" w14:textId="5C985D29" w:rsidR="00E1334C" w:rsidRPr="005862A9" w:rsidRDefault="00E1334C" w:rsidP="0013785F">
            <w:pPr>
              <w:pStyle w:val="3Paragraph"/>
              <w:spacing w:line="260" w:lineRule="exact"/>
              <w:rPr>
                <w:color w:val="auto"/>
              </w:rPr>
            </w:pPr>
            <w:r>
              <w:rPr>
                <w:color w:val="auto"/>
              </w:rPr>
              <w:t xml:space="preserve">Severe Thunderstorm </w:t>
            </w:r>
          </w:p>
        </w:tc>
        <w:tc>
          <w:tcPr>
            <w:tcW w:w="6655" w:type="dxa"/>
          </w:tcPr>
          <w:p w14:paraId="7EB8D5D6" w14:textId="3BC2EE5F" w:rsidR="00E1334C" w:rsidRPr="00007AAE" w:rsidRDefault="00E1334C" w:rsidP="00E1334C">
            <w:pPr>
              <w:rPr>
                <w:rFonts w:ascii="Franklin Gothic Book" w:eastAsiaTheme="minorHAnsi" w:hAnsi="Franklin Gothic Book" w:cs="Times New Roman"/>
                <w:color w:val="auto"/>
                <w:sz w:val="22"/>
                <w:szCs w:val="22"/>
              </w:rPr>
            </w:pPr>
            <w:r w:rsidRPr="00007AAE">
              <w:rPr>
                <w:rFonts w:ascii="Franklin Gothic Book" w:hAnsi="Franklin Gothic Book"/>
                <w:sz w:val="22"/>
                <w:szCs w:val="22"/>
                <w:lang w:val="en-GB"/>
              </w:rPr>
              <w:t xml:space="preserve">A thunderstorm is a rain shower during which you hear thunder. Since thunder comes from lightning, all thunderstorms have lightning. A thunderstorm is classified as “severe” when it contains one or more of the following: hail one inch </w:t>
            </w:r>
            <w:r w:rsidRPr="006C2276">
              <w:rPr>
                <w:rFonts w:ascii="Franklin Gothic Book" w:hAnsi="Franklin Gothic Book"/>
                <w:sz w:val="22"/>
                <w:szCs w:val="22"/>
                <w:lang w:val="en-GB"/>
              </w:rPr>
              <w:t xml:space="preserve">or greater, winds gusting </w:t>
            </w:r>
            <w:proofErr w:type="gramStart"/>
            <w:r w:rsidRPr="006C2276">
              <w:rPr>
                <w:rFonts w:ascii="Franklin Gothic Book" w:hAnsi="Franklin Gothic Book"/>
                <w:sz w:val="22"/>
                <w:szCs w:val="22"/>
                <w:lang w:val="en-GB"/>
              </w:rPr>
              <w:t>in excess of</w:t>
            </w:r>
            <w:proofErr w:type="gramEnd"/>
            <w:r w:rsidRPr="006C2276">
              <w:rPr>
                <w:rFonts w:ascii="Franklin Gothic Book" w:hAnsi="Franklin Gothic Book"/>
                <w:sz w:val="22"/>
                <w:szCs w:val="22"/>
                <w:lang w:val="en-GB"/>
              </w:rPr>
              <w:t xml:space="preserve"> 50 knots (57.5 mph), or a tornado. (</w:t>
            </w:r>
            <w:hyperlink r:id="rId111" w:history="1">
              <w:r w:rsidRPr="006C2276">
                <w:rPr>
                  <w:rStyle w:val="Hyperlink"/>
                  <w:rFonts w:ascii="Franklin Gothic Book" w:hAnsi="Franklin Gothic Book"/>
                  <w:sz w:val="22"/>
                  <w:szCs w:val="22"/>
                  <w:lang w:val="en-GB"/>
                </w:rPr>
                <w:t>NOAA</w:t>
              </w:r>
            </w:hyperlink>
            <w:r w:rsidRPr="006C2276">
              <w:rPr>
                <w:rFonts w:ascii="Franklin Gothic Book" w:hAnsi="Franklin Gothic Book"/>
                <w:sz w:val="22"/>
                <w:szCs w:val="22"/>
                <w:lang w:val="en-GB"/>
              </w:rPr>
              <w:t>)</w:t>
            </w:r>
            <w:r w:rsidRPr="00007AAE">
              <w:rPr>
                <w:rFonts w:ascii="Franklin Gothic Book" w:hAnsi="Franklin Gothic Book" w:cs="Times New Roman"/>
                <w:sz w:val="22"/>
                <w:szCs w:val="22"/>
              </w:rPr>
              <w:t xml:space="preserve"> </w:t>
            </w:r>
          </w:p>
          <w:p w14:paraId="5B20E141" w14:textId="77777777" w:rsidR="00E1334C" w:rsidRDefault="00E1334C" w:rsidP="002C2FB0">
            <w:pPr>
              <w:spacing w:line="260" w:lineRule="exact"/>
              <w:rPr>
                <w:rFonts w:ascii="Franklin Gothic Book" w:hAnsi="Franklin Gothic Book"/>
                <w:color w:val="auto"/>
                <w:sz w:val="22"/>
                <w:szCs w:val="22"/>
              </w:rPr>
            </w:pPr>
          </w:p>
        </w:tc>
      </w:tr>
      <w:tr w:rsidR="00B5589F" w:rsidRPr="005862A9" w14:paraId="7248C9B2" w14:textId="77777777" w:rsidTr="00B12D87">
        <w:tc>
          <w:tcPr>
            <w:tcW w:w="2705" w:type="dxa"/>
          </w:tcPr>
          <w:p w14:paraId="1BA2109A" w14:textId="77777777" w:rsidR="00B5589F" w:rsidRPr="005862A9" w:rsidRDefault="00B5589F" w:rsidP="0013785F">
            <w:pPr>
              <w:pStyle w:val="3Paragraph"/>
              <w:spacing w:line="260" w:lineRule="exact"/>
              <w:rPr>
                <w:color w:val="auto"/>
              </w:rPr>
            </w:pPr>
            <w:r w:rsidRPr="005862A9">
              <w:rPr>
                <w:color w:val="auto"/>
              </w:rPr>
              <w:lastRenderedPageBreak/>
              <w:t>Solar Cooperative (Solar Co-op)</w:t>
            </w:r>
          </w:p>
          <w:p w14:paraId="3363AB47" w14:textId="77777777" w:rsidR="00B5589F" w:rsidRPr="005862A9" w:rsidRDefault="00B5589F" w:rsidP="0013785F">
            <w:pPr>
              <w:pStyle w:val="3Paragraph"/>
              <w:spacing w:line="260" w:lineRule="exact"/>
              <w:rPr>
                <w:color w:val="auto"/>
              </w:rPr>
            </w:pPr>
          </w:p>
        </w:tc>
        <w:tc>
          <w:tcPr>
            <w:tcW w:w="6655" w:type="dxa"/>
          </w:tcPr>
          <w:p w14:paraId="18B3E1F5" w14:textId="77777777" w:rsidR="002C2FB0" w:rsidRDefault="002C2FB0" w:rsidP="002C2FB0">
            <w:pPr>
              <w:spacing w:line="260" w:lineRule="exact"/>
              <w:rPr>
                <w:rFonts w:ascii="Franklin Gothic Book" w:hAnsi="Franklin Gothic Book"/>
                <w:color w:val="auto"/>
                <w:sz w:val="22"/>
                <w:szCs w:val="22"/>
              </w:rPr>
            </w:pPr>
            <w:r>
              <w:rPr>
                <w:rFonts w:ascii="Franklin Gothic Book" w:hAnsi="Franklin Gothic Book"/>
                <w:color w:val="auto"/>
                <w:sz w:val="22"/>
                <w:szCs w:val="22"/>
              </w:rPr>
              <w:t>Solar Cooperatives are groups of consumers (typically 50-100) who have organized to install solar energy systems together. Coop members leverage bulk-purchasing power to get discounted pricing and a quality installation, while signing individual contracts that ensure the right system for their home/building. (</w:t>
            </w:r>
            <w:hyperlink r:id="rId112" w:history="1">
              <w:r>
                <w:rPr>
                  <w:rStyle w:val="Hyperlink"/>
                  <w:rFonts w:ascii="Franklin Gothic Book" w:hAnsi="Franklin Gothic Book"/>
                  <w:sz w:val="22"/>
                  <w:szCs w:val="22"/>
                </w:rPr>
                <w:t>Solar United Neighbors</w:t>
              </w:r>
            </w:hyperlink>
            <w:r>
              <w:rPr>
                <w:rFonts w:ascii="Franklin Gothic Book" w:hAnsi="Franklin Gothic Book"/>
                <w:color w:val="auto"/>
                <w:sz w:val="22"/>
                <w:szCs w:val="22"/>
              </w:rPr>
              <w:t>)</w:t>
            </w:r>
          </w:p>
          <w:p w14:paraId="11AE99A3" w14:textId="6E539CD1" w:rsidR="00B5589F" w:rsidRPr="005862A9" w:rsidRDefault="00B5589F" w:rsidP="0013785F">
            <w:pPr>
              <w:pStyle w:val="3Paragraph"/>
              <w:spacing w:line="260" w:lineRule="exact"/>
              <w:rPr>
                <w:color w:val="auto"/>
              </w:rPr>
            </w:pPr>
          </w:p>
        </w:tc>
      </w:tr>
      <w:tr w:rsidR="000B307E" w:rsidRPr="005862A9" w14:paraId="684F0D2F" w14:textId="77777777" w:rsidTr="00B12D87">
        <w:tc>
          <w:tcPr>
            <w:tcW w:w="2705" w:type="dxa"/>
          </w:tcPr>
          <w:p w14:paraId="7DDFEF30" w14:textId="182C2DB2" w:rsidR="000B307E" w:rsidRPr="005862A9" w:rsidRDefault="000B307E" w:rsidP="0013785F">
            <w:pPr>
              <w:pStyle w:val="3Paragraph"/>
              <w:spacing w:line="260" w:lineRule="exact"/>
              <w:rPr>
                <w:color w:val="auto"/>
              </w:rPr>
            </w:pPr>
            <w:r>
              <w:rPr>
                <w:color w:val="auto"/>
              </w:rPr>
              <w:t xml:space="preserve">Solar-Ready </w:t>
            </w:r>
          </w:p>
        </w:tc>
        <w:tc>
          <w:tcPr>
            <w:tcW w:w="6655" w:type="dxa"/>
          </w:tcPr>
          <w:p w14:paraId="7CF85B31" w14:textId="4FD23161" w:rsidR="000B307E" w:rsidRDefault="000B307E" w:rsidP="0013785F">
            <w:pPr>
              <w:pStyle w:val="3Paragraph"/>
              <w:spacing w:line="260" w:lineRule="exact"/>
              <w:rPr>
                <w:color w:val="auto"/>
              </w:rPr>
            </w:pPr>
            <w:r w:rsidRPr="000B307E">
              <w:rPr>
                <w:color w:val="auto"/>
              </w:rPr>
              <w:t>Solar-ready building design, as the name suggests, refers to designing and constructing a building in a way that facilitates and optimizes the installation of a rooftop solar photovoltaic (PV) system at some point after the building has been constructed. Solar-ready design can make future PV system installation more cost-effective by reducing the need for infrastructure upgrades, ensuring solar technical feasibility, and planning for PV system optimization.</w:t>
            </w:r>
            <w:r>
              <w:rPr>
                <w:color w:val="auto"/>
              </w:rPr>
              <w:t xml:space="preserve"> (</w:t>
            </w:r>
            <w:hyperlink r:id="rId113" w:history="1">
              <w:r w:rsidRPr="000B307E">
                <w:rPr>
                  <w:rStyle w:val="Hyperlink"/>
                </w:rPr>
                <w:t>NREL</w:t>
              </w:r>
            </w:hyperlink>
            <w:r>
              <w:rPr>
                <w:color w:val="auto"/>
              </w:rPr>
              <w:t>)</w:t>
            </w:r>
          </w:p>
          <w:p w14:paraId="12E7F92E" w14:textId="71E1C2BA" w:rsidR="000B307E" w:rsidRPr="005862A9" w:rsidRDefault="000B307E" w:rsidP="0013785F">
            <w:pPr>
              <w:pStyle w:val="3Paragraph"/>
              <w:spacing w:line="260" w:lineRule="exact"/>
              <w:rPr>
                <w:color w:val="auto"/>
                <w:lang w:val="en-GB"/>
              </w:rPr>
            </w:pPr>
          </w:p>
        </w:tc>
      </w:tr>
      <w:tr w:rsidR="001640E6" w:rsidRPr="005862A9" w14:paraId="1DCF17B4" w14:textId="77777777" w:rsidTr="00B12D87">
        <w:tc>
          <w:tcPr>
            <w:tcW w:w="2705" w:type="dxa"/>
          </w:tcPr>
          <w:p w14:paraId="4B35EB89" w14:textId="7EB0B1CA" w:rsidR="001640E6" w:rsidRPr="005862A9" w:rsidRDefault="001640E6" w:rsidP="0013785F">
            <w:pPr>
              <w:pStyle w:val="3Paragraph"/>
              <w:spacing w:line="260" w:lineRule="exact"/>
              <w:rPr>
                <w:color w:val="auto"/>
              </w:rPr>
            </w:pPr>
            <w:r>
              <w:rPr>
                <w:color w:val="auto"/>
              </w:rPr>
              <w:t xml:space="preserve">Storm Surge </w:t>
            </w:r>
          </w:p>
        </w:tc>
        <w:tc>
          <w:tcPr>
            <w:tcW w:w="6655" w:type="dxa"/>
          </w:tcPr>
          <w:p w14:paraId="3A66F4AC" w14:textId="5D26EFB5" w:rsidR="001640E6" w:rsidRPr="001640E6" w:rsidRDefault="001640E6" w:rsidP="001640E6">
            <w:pPr>
              <w:rPr>
                <w:rFonts w:ascii="Franklin Gothic Book" w:eastAsiaTheme="minorHAnsi" w:hAnsi="Franklin Gothic Book" w:cs="Times New Roman"/>
                <w:color w:val="auto"/>
                <w:sz w:val="22"/>
                <w:szCs w:val="22"/>
              </w:rPr>
            </w:pPr>
            <w:r w:rsidRPr="001640E6">
              <w:rPr>
                <w:rFonts w:ascii="Franklin Gothic Book" w:hAnsi="Franklin Gothic Book"/>
                <w:sz w:val="22"/>
                <w:szCs w:val="22"/>
                <w:lang w:val="en-GB"/>
              </w:rPr>
              <w:t xml:space="preserve">Storm surge is an abnormal rise in water level in coastal areas, over and above the regular astronomical tide, caused by forces </w:t>
            </w:r>
            <w:r>
              <w:rPr>
                <w:rFonts w:ascii="Franklin Gothic Book" w:hAnsi="Franklin Gothic Book"/>
                <w:sz w:val="22"/>
                <w:szCs w:val="22"/>
                <w:lang w:val="en-GB"/>
              </w:rPr>
              <w:t>[</w:t>
            </w:r>
            <w:r w:rsidRPr="001640E6">
              <w:rPr>
                <w:rFonts w:ascii="Franklin Gothic Book" w:hAnsi="Franklin Gothic Book"/>
                <w:sz w:val="22"/>
                <w:szCs w:val="22"/>
                <w:lang w:val="en-GB"/>
              </w:rPr>
              <w:t>generated</w:t>
            </w:r>
            <w:r>
              <w:rPr>
                <w:rFonts w:ascii="Franklin Gothic Book" w:hAnsi="Franklin Gothic Book"/>
                <w:sz w:val="22"/>
                <w:szCs w:val="22"/>
                <w:lang w:val="en-GB"/>
              </w:rPr>
              <w:t>]</w:t>
            </w:r>
            <w:r w:rsidRPr="001640E6">
              <w:rPr>
                <w:rFonts w:ascii="Franklin Gothic Book" w:hAnsi="Franklin Gothic Book"/>
                <w:sz w:val="22"/>
                <w:szCs w:val="22"/>
                <w:lang w:val="en-GB"/>
              </w:rPr>
              <w:t xml:space="preserve"> from a severe storm's wind, waves, and low atmospheric pressure. Storm surge is extremely </w:t>
            </w:r>
            <w:proofErr w:type="gramStart"/>
            <w:r w:rsidRPr="001640E6">
              <w:rPr>
                <w:rFonts w:ascii="Franklin Gothic Book" w:hAnsi="Franklin Gothic Book"/>
                <w:sz w:val="22"/>
                <w:szCs w:val="22"/>
                <w:lang w:val="en-GB"/>
              </w:rPr>
              <w:t>dangerous, because</w:t>
            </w:r>
            <w:proofErr w:type="gramEnd"/>
            <w:r w:rsidRPr="001640E6">
              <w:rPr>
                <w:rFonts w:ascii="Franklin Gothic Book" w:hAnsi="Franklin Gothic Book"/>
                <w:sz w:val="22"/>
                <w:szCs w:val="22"/>
                <w:lang w:val="en-GB"/>
              </w:rPr>
              <w:t xml:space="preserve"> it is capable of flooding large coastal areas. Extreme flooding can occur in coastal areas particularly when storm surge coincides with normal high tide, resulting in storm tides reaching up to 20 feet or more in some cases. Along the coast, storm surge is often the greatest threat to life and property from a hurricane. In t</w:t>
            </w:r>
            <w:r w:rsidRPr="006E0ADE">
              <w:rPr>
                <w:rFonts w:ascii="Franklin Gothic Book" w:hAnsi="Franklin Gothic Book"/>
                <w:sz w:val="22"/>
                <w:szCs w:val="22"/>
                <w:lang w:val="en-GB"/>
              </w:rPr>
              <w:t>he past, large death tolls have resulted from the rise of the ocean associated with many of the major hurricanes that have made landfall. (</w:t>
            </w:r>
            <w:hyperlink r:id="rId114" w:history="1">
              <w:r w:rsidRPr="006E0ADE">
                <w:rPr>
                  <w:rStyle w:val="Hyperlink"/>
                  <w:rFonts w:ascii="Franklin Gothic Book" w:hAnsi="Franklin Gothic Book"/>
                  <w:sz w:val="22"/>
                  <w:szCs w:val="22"/>
                  <w:lang w:val="en-GB"/>
                </w:rPr>
                <w:t>NOAA</w:t>
              </w:r>
            </w:hyperlink>
            <w:r w:rsidRPr="006E0ADE">
              <w:rPr>
                <w:rFonts w:ascii="Franklin Gothic Book" w:hAnsi="Franklin Gothic Book"/>
                <w:sz w:val="22"/>
                <w:szCs w:val="22"/>
                <w:lang w:val="en-GB"/>
              </w:rPr>
              <w:t>)</w:t>
            </w:r>
            <w:r w:rsidRPr="001640E6">
              <w:rPr>
                <w:rFonts w:ascii="Franklin Gothic Book" w:hAnsi="Franklin Gothic Book" w:cs="Times New Roman"/>
                <w:sz w:val="22"/>
                <w:szCs w:val="22"/>
              </w:rPr>
              <w:t xml:space="preserve"> </w:t>
            </w:r>
          </w:p>
          <w:p w14:paraId="6E99D00B" w14:textId="77777777" w:rsidR="001640E6" w:rsidRPr="001640E6" w:rsidRDefault="001640E6" w:rsidP="0013785F">
            <w:pPr>
              <w:pStyle w:val="3Paragraph"/>
              <w:spacing w:line="260" w:lineRule="exact"/>
              <w:rPr>
                <w:color w:val="auto"/>
                <w:lang w:val="en-GB"/>
              </w:rPr>
            </w:pPr>
          </w:p>
        </w:tc>
      </w:tr>
      <w:tr w:rsidR="00B5589F" w:rsidRPr="005862A9" w14:paraId="7E18066D" w14:textId="77777777" w:rsidTr="00B12D87">
        <w:tc>
          <w:tcPr>
            <w:tcW w:w="2705" w:type="dxa"/>
          </w:tcPr>
          <w:p w14:paraId="73D928D1" w14:textId="77777777" w:rsidR="00B5589F" w:rsidRPr="005862A9" w:rsidRDefault="00B5589F" w:rsidP="0013785F">
            <w:pPr>
              <w:pStyle w:val="3Paragraph"/>
              <w:spacing w:line="260" w:lineRule="exact"/>
              <w:rPr>
                <w:color w:val="auto"/>
              </w:rPr>
            </w:pPr>
            <w:r w:rsidRPr="005862A9">
              <w:rPr>
                <w:color w:val="auto"/>
              </w:rPr>
              <w:t>Synthetic/Virtual/Financial Power Purchase Agreement (PPA)</w:t>
            </w:r>
          </w:p>
          <w:p w14:paraId="6CFFCF90" w14:textId="77777777" w:rsidR="00B5589F" w:rsidRPr="005862A9" w:rsidRDefault="00B5589F" w:rsidP="0013785F">
            <w:pPr>
              <w:pStyle w:val="3Paragraph"/>
              <w:spacing w:line="260" w:lineRule="exact"/>
              <w:rPr>
                <w:color w:val="auto"/>
              </w:rPr>
            </w:pPr>
          </w:p>
        </w:tc>
        <w:tc>
          <w:tcPr>
            <w:tcW w:w="6655" w:type="dxa"/>
          </w:tcPr>
          <w:p w14:paraId="2CCAA80C" w14:textId="77777777" w:rsidR="00B5589F" w:rsidRPr="005862A9" w:rsidRDefault="00B5589F" w:rsidP="0013785F">
            <w:pPr>
              <w:pStyle w:val="3Paragraph"/>
              <w:spacing w:line="260" w:lineRule="exact"/>
              <w:rPr>
                <w:color w:val="auto"/>
                <w:lang w:val="en-GB"/>
              </w:rPr>
            </w:pPr>
            <w:r w:rsidRPr="005862A9">
              <w:rPr>
                <w:color w:val="auto"/>
                <w:lang w:val="en-GB"/>
              </w:rPr>
              <w:t>Within a Virtual PPA contract, the corporate buyer does not own and is not responsible for the physical electrons generated by the project. The VPPA is purely a financial transaction, exchanging a fixed-price cash flow for a variable-priced cash flow and renewable energy certificates (RECs). Because the VPPA is purely financial, the buyer still needs to meet its electricity load through traditional channels—therefore, the VPPA means the buyer’s relationship with its utility at the retail level remains unchanged. (</w:t>
            </w:r>
            <w:hyperlink r:id="rId115" w:history="1">
              <w:r w:rsidRPr="005862A9">
                <w:rPr>
                  <w:rStyle w:val="Hyperlink"/>
                  <w:lang w:val="en-GB"/>
                </w:rPr>
                <w:t>Rocky Mountain Institute</w:t>
              </w:r>
            </w:hyperlink>
            <w:r w:rsidRPr="005862A9">
              <w:rPr>
                <w:color w:val="auto"/>
                <w:lang w:val="en-GB"/>
              </w:rPr>
              <w:t>)</w:t>
            </w:r>
          </w:p>
          <w:p w14:paraId="759D9B04" w14:textId="77777777" w:rsidR="00B5589F" w:rsidRPr="005862A9" w:rsidRDefault="00B5589F" w:rsidP="0013785F">
            <w:pPr>
              <w:pStyle w:val="3Paragraph"/>
              <w:spacing w:line="260" w:lineRule="exact"/>
              <w:rPr>
                <w:color w:val="auto"/>
                <w:lang w:val="en-GB"/>
              </w:rPr>
            </w:pPr>
          </w:p>
          <w:p w14:paraId="3A50CD4F" w14:textId="77777777" w:rsidR="00B5589F" w:rsidRPr="005862A9" w:rsidRDefault="00B5589F" w:rsidP="0013785F">
            <w:pPr>
              <w:pStyle w:val="3Paragraph"/>
              <w:spacing w:line="260" w:lineRule="exact"/>
              <w:rPr>
                <w:color w:val="auto"/>
              </w:rPr>
            </w:pPr>
            <w:r w:rsidRPr="005862A9">
              <w:rPr>
                <w:color w:val="auto"/>
              </w:rPr>
              <w:t>With a Virtual PPA, the energy doesn’t physically flow from the project to the buyer. It is merely a financial contract, which is why it’s often referred to as a “financial PPA.” In a VPPA, the energy is sold on the wholesale electricity market at a defined settlement location (node, trading hub or load zone). The buyer continues to get their electricity from their utility company at their utility’s rate. (</w:t>
            </w:r>
            <w:hyperlink r:id="rId116" w:history="1">
              <w:r w:rsidRPr="005862A9">
                <w:rPr>
                  <w:rStyle w:val="Hyperlink"/>
                </w:rPr>
                <w:t>Level10 Energy</w:t>
              </w:r>
            </w:hyperlink>
            <w:r w:rsidRPr="005862A9">
              <w:rPr>
                <w:color w:val="auto"/>
              </w:rPr>
              <w:t>)</w:t>
            </w:r>
          </w:p>
          <w:p w14:paraId="48E1160F" w14:textId="77777777" w:rsidR="00B5589F" w:rsidRPr="005862A9" w:rsidRDefault="00B5589F" w:rsidP="0013785F">
            <w:pPr>
              <w:pStyle w:val="3Paragraph"/>
              <w:spacing w:line="260" w:lineRule="exact"/>
              <w:rPr>
                <w:color w:val="auto"/>
              </w:rPr>
            </w:pPr>
          </w:p>
        </w:tc>
      </w:tr>
      <w:tr w:rsidR="00023D49" w:rsidRPr="005862A9" w14:paraId="64A14D49" w14:textId="77777777" w:rsidTr="00B12D87">
        <w:tc>
          <w:tcPr>
            <w:tcW w:w="2705" w:type="dxa"/>
          </w:tcPr>
          <w:p w14:paraId="605EEF6E" w14:textId="4ABCEFDD" w:rsidR="00023D49" w:rsidRPr="005862A9" w:rsidRDefault="00023D49" w:rsidP="0013785F">
            <w:pPr>
              <w:pStyle w:val="3Paragraph"/>
              <w:spacing w:line="260" w:lineRule="exact"/>
              <w:rPr>
                <w:color w:val="auto"/>
              </w:rPr>
            </w:pPr>
            <w:r>
              <w:rPr>
                <w:color w:val="auto"/>
              </w:rPr>
              <w:t>Underserved Population</w:t>
            </w:r>
          </w:p>
        </w:tc>
        <w:tc>
          <w:tcPr>
            <w:tcW w:w="6655" w:type="dxa"/>
          </w:tcPr>
          <w:p w14:paraId="7C719C43" w14:textId="5BD98133" w:rsidR="00023D49" w:rsidRPr="00023D49" w:rsidRDefault="00023D49" w:rsidP="00023D49">
            <w:pPr>
              <w:rPr>
                <w:rFonts w:ascii="Franklin Gothic Book" w:eastAsiaTheme="minorHAnsi" w:hAnsi="Franklin Gothic Book" w:cs="Times New Roman"/>
                <w:color w:val="auto"/>
                <w:sz w:val="22"/>
                <w:szCs w:val="22"/>
              </w:rPr>
            </w:pPr>
            <w:r w:rsidRPr="00023D49">
              <w:rPr>
                <w:rFonts w:ascii="Franklin Gothic Book" w:hAnsi="Franklin Gothic Book"/>
                <w:sz w:val="22"/>
                <w:szCs w:val="22"/>
              </w:rPr>
              <w:t>“Underserved population” or “traditionally underserved population” refers to a broad category that includes minority and low-income populations but may also include many other demographic categories that face challenges engaging with the transportation process an</w:t>
            </w:r>
            <w:r w:rsidRPr="008C3C6E">
              <w:rPr>
                <w:rFonts w:ascii="Franklin Gothic Book" w:hAnsi="Franklin Gothic Book"/>
                <w:sz w:val="22"/>
                <w:szCs w:val="22"/>
              </w:rPr>
              <w:t>d reaping equitable benefits, such as children, the elderly, and the disabled. (</w:t>
            </w:r>
            <w:hyperlink r:id="rId117" w:history="1">
              <w:r w:rsidR="008C3C6E" w:rsidRPr="008C3C6E">
                <w:rPr>
                  <w:rStyle w:val="Hyperlink"/>
                  <w:rFonts w:ascii="Franklin Gothic Book" w:hAnsi="Franklin Gothic Book"/>
                  <w:sz w:val="22"/>
                  <w:szCs w:val="22"/>
                </w:rPr>
                <w:t>FHWA</w:t>
              </w:r>
            </w:hyperlink>
            <w:r w:rsidRPr="008C3C6E">
              <w:rPr>
                <w:rFonts w:ascii="Franklin Gothic Book" w:hAnsi="Franklin Gothic Book"/>
                <w:sz w:val="22"/>
                <w:szCs w:val="22"/>
              </w:rPr>
              <w:t>)</w:t>
            </w:r>
            <w:r w:rsidRPr="008C3C6E">
              <w:rPr>
                <w:rFonts w:ascii="Franklin Gothic Book" w:hAnsi="Franklin Gothic Book" w:cs="Times New Roman"/>
                <w:sz w:val="22"/>
                <w:szCs w:val="22"/>
              </w:rPr>
              <w:t xml:space="preserve"> </w:t>
            </w:r>
          </w:p>
          <w:p w14:paraId="35143E28" w14:textId="77777777" w:rsidR="00023D49" w:rsidRPr="00023D49" w:rsidRDefault="00023D49" w:rsidP="0013785F">
            <w:pPr>
              <w:pStyle w:val="3Paragraph"/>
              <w:spacing w:line="260" w:lineRule="exact"/>
              <w:rPr>
                <w:color w:val="auto"/>
                <w:lang w:val="en-GB"/>
              </w:rPr>
            </w:pPr>
          </w:p>
        </w:tc>
      </w:tr>
      <w:tr w:rsidR="00C75D9F" w:rsidRPr="005862A9" w14:paraId="7A54A71E" w14:textId="77777777" w:rsidTr="00B12D87">
        <w:tc>
          <w:tcPr>
            <w:tcW w:w="2705" w:type="dxa"/>
          </w:tcPr>
          <w:p w14:paraId="4BB29640" w14:textId="6EB6736E" w:rsidR="00C75D9F" w:rsidRPr="005862A9" w:rsidRDefault="00C75D9F" w:rsidP="0013785F">
            <w:pPr>
              <w:pStyle w:val="3Paragraph"/>
              <w:spacing w:line="260" w:lineRule="exact"/>
              <w:rPr>
                <w:color w:val="auto"/>
              </w:rPr>
            </w:pPr>
            <w:r>
              <w:rPr>
                <w:color w:val="auto"/>
              </w:rPr>
              <w:lastRenderedPageBreak/>
              <w:t>Urban Heat Island</w:t>
            </w:r>
          </w:p>
        </w:tc>
        <w:tc>
          <w:tcPr>
            <w:tcW w:w="6655" w:type="dxa"/>
          </w:tcPr>
          <w:p w14:paraId="38A5BB9B" w14:textId="19466324" w:rsidR="00C75D9F" w:rsidRDefault="00C75D9F" w:rsidP="0013785F">
            <w:pPr>
              <w:pStyle w:val="3Paragraph"/>
              <w:spacing w:line="260" w:lineRule="exact"/>
              <w:rPr>
                <w:lang w:val="en-GB"/>
              </w:rPr>
            </w:pPr>
            <w:r w:rsidRPr="00C75D9F">
              <w:rPr>
                <w:lang w:val="en-GB"/>
              </w:rPr>
              <w:t xml:space="preserve">An urban area characterized by temperatures higher than those of the surrounding non-urban area. As urban areas develop, buildings, roads, and other infrastructure replace open land and vegetation. These surfaces absorb </w:t>
            </w:r>
            <w:r w:rsidRPr="00F229D6">
              <w:rPr>
                <w:lang w:val="en-GB"/>
              </w:rPr>
              <w:t>more solar energy, which can create higher temperatures in urban areas. (</w:t>
            </w:r>
            <w:hyperlink r:id="rId118" w:history="1">
              <w:r w:rsidRPr="00F229D6">
                <w:rPr>
                  <w:rStyle w:val="Hyperlink"/>
                  <w:lang w:val="en-GB"/>
                </w:rPr>
                <w:t>EPA</w:t>
              </w:r>
            </w:hyperlink>
            <w:r w:rsidRPr="00F229D6">
              <w:rPr>
                <w:lang w:val="en-GB"/>
              </w:rPr>
              <w:t>)</w:t>
            </w:r>
          </w:p>
          <w:p w14:paraId="1D3AF84F" w14:textId="0DB6CB66" w:rsidR="00C75D9F" w:rsidRPr="005862A9" w:rsidRDefault="00C75D9F" w:rsidP="0013785F">
            <w:pPr>
              <w:pStyle w:val="3Paragraph"/>
              <w:spacing w:line="260" w:lineRule="exact"/>
              <w:rPr>
                <w:color w:val="auto"/>
                <w:lang w:val="en-GB"/>
              </w:rPr>
            </w:pPr>
          </w:p>
        </w:tc>
      </w:tr>
      <w:tr w:rsidR="00B5589F" w:rsidRPr="005862A9" w14:paraId="38C1C8A8" w14:textId="77777777" w:rsidTr="00B12D87">
        <w:tc>
          <w:tcPr>
            <w:tcW w:w="2705" w:type="dxa"/>
          </w:tcPr>
          <w:p w14:paraId="7ABB80A6" w14:textId="77777777" w:rsidR="00B5589F" w:rsidRPr="005862A9" w:rsidRDefault="00B5589F" w:rsidP="0013785F">
            <w:pPr>
              <w:pStyle w:val="3Paragraph"/>
              <w:spacing w:line="260" w:lineRule="exact"/>
              <w:rPr>
                <w:color w:val="auto"/>
              </w:rPr>
            </w:pPr>
            <w:r w:rsidRPr="005862A9">
              <w:rPr>
                <w:color w:val="auto"/>
              </w:rPr>
              <w:t>Vehicle Miles Traveled (VMT)</w:t>
            </w:r>
          </w:p>
          <w:p w14:paraId="064366A8" w14:textId="77777777" w:rsidR="00B5589F" w:rsidRPr="005862A9" w:rsidRDefault="00B5589F" w:rsidP="0013785F">
            <w:pPr>
              <w:pStyle w:val="3Paragraph"/>
              <w:spacing w:line="260" w:lineRule="exact"/>
              <w:rPr>
                <w:color w:val="auto"/>
              </w:rPr>
            </w:pPr>
          </w:p>
        </w:tc>
        <w:tc>
          <w:tcPr>
            <w:tcW w:w="6655" w:type="dxa"/>
          </w:tcPr>
          <w:p w14:paraId="582C742A" w14:textId="77777777" w:rsidR="00B26F8E" w:rsidRDefault="00B26F8E" w:rsidP="00B26F8E">
            <w:pPr>
              <w:pStyle w:val="3Paragraph"/>
              <w:spacing w:line="260" w:lineRule="exact"/>
              <w:rPr>
                <w:color w:val="auto"/>
                <w:lang w:val="en-GB"/>
              </w:rPr>
            </w:pPr>
            <w:r w:rsidRPr="005862A9">
              <w:rPr>
                <w:color w:val="auto"/>
                <w:lang w:val="en-GB"/>
              </w:rPr>
              <w:t xml:space="preserve">Vehicle Miles </w:t>
            </w:r>
            <w:proofErr w:type="spellStart"/>
            <w:r w:rsidRPr="005862A9">
              <w:rPr>
                <w:color w:val="auto"/>
                <w:lang w:val="en-GB"/>
              </w:rPr>
              <w:t>Travel</w:t>
            </w:r>
            <w:r>
              <w:rPr>
                <w:color w:val="auto"/>
                <w:lang w:val="en-GB"/>
              </w:rPr>
              <w:t>ed</w:t>
            </w:r>
            <w:proofErr w:type="spellEnd"/>
            <w:r>
              <w:rPr>
                <w:color w:val="auto"/>
                <w:lang w:val="en-GB"/>
              </w:rPr>
              <w:t xml:space="preserve"> (VMT) measures the total annual miles of vehicle </w:t>
            </w:r>
            <w:r w:rsidRPr="005862A9">
              <w:rPr>
                <w:color w:val="auto"/>
                <w:lang w:val="en-GB"/>
              </w:rPr>
              <w:t>travel</w:t>
            </w:r>
            <w:r>
              <w:rPr>
                <w:color w:val="auto"/>
                <w:lang w:val="en-GB"/>
              </w:rPr>
              <w:t xml:space="preserve"> divided by the total population in a state or urbanized area. The total annual miles are based on individual state reports on traffic data counts collected through permanent automatic traffic recorders on public roadways</w:t>
            </w:r>
            <w:r w:rsidRPr="005862A9">
              <w:rPr>
                <w:color w:val="auto"/>
                <w:lang w:val="en-GB"/>
              </w:rPr>
              <w:t>.</w:t>
            </w:r>
            <w:r>
              <w:rPr>
                <w:color w:val="auto"/>
                <w:lang w:val="en-GB"/>
              </w:rPr>
              <w:t xml:space="preserve"> (</w:t>
            </w:r>
            <w:hyperlink r:id="rId119" w:history="1">
              <w:r w:rsidRPr="007E0E7B">
                <w:rPr>
                  <w:rStyle w:val="Hyperlink"/>
                  <w:lang w:val="en-GB"/>
                </w:rPr>
                <w:t>US DOT</w:t>
              </w:r>
            </w:hyperlink>
            <w:r>
              <w:rPr>
                <w:color w:val="auto"/>
                <w:lang w:val="en-GB"/>
              </w:rPr>
              <w:t>)</w:t>
            </w:r>
          </w:p>
          <w:p w14:paraId="5C8A17D9" w14:textId="77777777" w:rsidR="00B5589F" w:rsidRPr="005862A9" w:rsidRDefault="00B5589F" w:rsidP="0013785F">
            <w:pPr>
              <w:pStyle w:val="3Paragraph"/>
              <w:spacing w:line="260" w:lineRule="exact"/>
              <w:rPr>
                <w:color w:val="auto"/>
                <w:lang w:val="en-GB"/>
              </w:rPr>
            </w:pPr>
          </w:p>
        </w:tc>
      </w:tr>
      <w:tr w:rsidR="0013785F" w:rsidRPr="005862A9" w14:paraId="0672779A" w14:textId="77777777" w:rsidTr="00B12D87">
        <w:tc>
          <w:tcPr>
            <w:tcW w:w="2705" w:type="dxa"/>
          </w:tcPr>
          <w:p w14:paraId="7389F7C0" w14:textId="034E3B1A" w:rsidR="0013785F" w:rsidRPr="005862A9" w:rsidRDefault="0013785F" w:rsidP="0013785F">
            <w:pPr>
              <w:pStyle w:val="3Paragraph"/>
              <w:spacing w:line="260" w:lineRule="exact"/>
              <w:rPr>
                <w:color w:val="auto"/>
              </w:rPr>
            </w:pPr>
            <w:r>
              <w:rPr>
                <w:color w:val="auto"/>
              </w:rPr>
              <w:t xml:space="preserve">Vulnerability </w:t>
            </w:r>
          </w:p>
        </w:tc>
        <w:tc>
          <w:tcPr>
            <w:tcW w:w="6655" w:type="dxa"/>
          </w:tcPr>
          <w:p w14:paraId="085D0B7B" w14:textId="5418AE05" w:rsidR="0013785F" w:rsidRPr="0013785F" w:rsidRDefault="0013785F" w:rsidP="0013785F">
            <w:pPr>
              <w:spacing w:line="260" w:lineRule="exact"/>
              <w:rPr>
                <w:rFonts w:ascii="Franklin Gothic Book" w:eastAsia="Times New Roman" w:hAnsi="Franklin Gothic Book"/>
                <w:b/>
                <w:i/>
                <w:sz w:val="22"/>
                <w:szCs w:val="22"/>
              </w:rPr>
            </w:pPr>
            <w:r w:rsidRPr="0013785F">
              <w:rPr>
                <w:rFonts w:ascii="Franklin Gothic Book" w:hAnsi="Franklin Gothic Book"/>
                <w:sz w:val="22"/>
                <w:szCs w:val="22"/>
              </w:rPr>
              <w:t>The propensity or predisposition to be adversely affected. Vulnerability encompasses a variety of concepts and elements including se</w:t>
            </w:r>
            <w:r w:rsidRPr="00513890">
              <w:rPr>
                <w:rFonts w:ascii="Franklin Gothic Book" w:hAnsi="Franklin Gothic Book"/>
                <w:sz w:val="22"/>
                <w:szCs w:val="22"/>
              </w:rPr>
              <w:t>nsitivity or susceptibility to harm and lack of capacity to cope and adapt (</w:t>
            </w:r>
            <w:hyperlink r:id="rId120" w:history="1">
              <w:r w:rsidRPr="00513890">
                <w:rPr>
                  <w:rStyle w:val="Hyperlink"/>
                  <w:rFonts w:ascii="Franklin Gothic Book" w:hAnsi="Franklin Gothic Book"/>
                  <w:sz w:val="22"/>
                  <w:szCs w:val="22"/>
                </w:rPr>
                <w:t>GCoM</w:t>
              </w:r>
            </w:hyperlink>
            <w:r w:rsidRPr="00513890">
              <w:rPr>
                <w:rFonts w:ascii="Franklin Gothic Book" w:hAnsi="Franklin Gothic Book"/>
                <w:sz w:val="22"/>
                <w:szCs w:val="22"/>
              </w:rPr>
              <w:t>).</w:t>
            </w:r>
          </w:p>
          <w:p w14:paraId="0EF274AB" w14:textId="77777777" w:rsidR="0013785F" w:rsidRPr="005862A9" w:rsidRDefault="0013785F" w:rsidP="0013785F">
            <w:pPr>
              <w:pStyle w:val="3Paragraph"/>
              <w:spacing w:line="260" w:lineRule="exact"/>
              <w:rPr>
                <w:color w:val="auto"/>
              </w:rPr>
            </w:pPr>
          </w:p>
        </w:tc>
      </w:tr>
      <w:tr w:rsidR="00557692" w:rsidRPr="005862A9" w14:paraId="4E0AB575" w14:textId="77777777" w:rsidTr="00B12D87">
        <w:tc>
          <w:tcPr>
            <w:tcW w:w="2705" w:type="dxa"/>
          </w:tcPr>
          <w:p w14:paraId="6FB229B8" w14:textId="21131D6E" w:rsidR="00557692" w:rsidRDefault="00557692" w:rsidP="0013785F">
            <w:pPr>
              <w:pStyle w:val="3Paragraph"/>
              <w:spacing w:line="260" w:lineRule="exact"/>
              <w:rPr>
                <w:color w:val="auto"/>
              </w:rPr>
            </w:pPr>
            <w:r>
              <w:rPr>
                <w:color w:val="auto"/>
              </w:rPr>
              <w:t>Vulnerable Populations</w:t>
            </w:r>
          </w:p>
        </w:tc>
        <w:tc>
          <w:tcPr>
            <w:tcW w:w="6655" w:type="dxa"/>
          </w:tcPr>
          <w:p w14:paraId="1023B2AC" w14:textId="1D707DA7" w:rsidR="00557692" w:rsidRPr="00557692" w:rsidRDefault="00557692" w:rsidP="00A253B8">
            <w:pPr>
              <w:spacing w:line="260" w:lineRule="exact"/>
              <w:rPr>
                <w:rFonts w:ascii="Franklin Gothic Book" w:hAnsi="Franklin Gothic Book"/>
                <w:sz w:val="22"/>
                <w:szCs w:val="22"/>
              </w:rPr>
            </w:pPr>
            <w:r w:rsidRPr="00557692">
              <w:rPr>
                <w:rFonts w:ascii="Franklin Gothic Book" w:hAnsi="Franklin Gothic Book"/>
                <w:sz w:val="22"/>
                <w:szCs w:val="22"/>
              </w:rPr>
              <w:t xml:space="preserve">Vulnerable groups are local-context-bound and could include: women and girls, children and youth, the elderly, indigenous population, marginalized groups (due to race, ethnicity, social/political conditions, etc.), persons with disabilities, persons with chronic diseases (e.g., HIV/AIDS, malaria, etc.), low-income households, unemployed persons, persons living in sub-standard housing, etc. These vulnerable groups often experience differential impacts from the same hazard. For example, richer households may have better capacity to cope with flooding, for instance, either through insurance schemes or physical protection of their assets. As such, they would be less affected by the same hazard compared to poor households. Ultimately, the impacts of a hazard depend on specific socioeconomic, political, personal, </w:t>
            </w:r>
            <w:proofErr w:type="gramStart"/>
            <w:r w:rsidRPr="00557692">
              <w:rPr>
                <w:rFonts w:ascii="Franklin Gothic Book" w:hAnsi="Franklin Gothic Book"/>
                <w:sz w:val="22"/>
                <w:szCs w:val="22"/>
              </w:rPr>
              <w:t>institutional</w:t>
            </w:r>
            <w:proofErr w:type="gramEnd"/>
            <w:r w:rsidRPr="00557692">
              <w:rPr>
                <w:rFonts w:ascii="Franklin Gothic Book" w:hAnsi="Franklin Gothic Book"/>
                <w:sz w:val="22"/>
                <w:szCs w:val="22"/>
              </w:rPr>
              <w:t xml:space="preserve"> and environmental conditions that determine the coping and adaptive capacity of the affected population. Vulnerable communities affected by flooding, for example, have different socioeconomic specificities and adaptation deficits compared to the people impacted by extreme hot temperatur</w:t>
            </w:r>
            <w:r w:rsidRPr="00535B48">
              <w:rPr>
                <w:rFonts w:ascii="Franklin Gothic Book" w:hAnsi="Franklin Gothic Book"/>
                <w:sz w:val="22"/>
                <w:szCs w:val="22"/>
              </w:rPr>
              <w:t>es. (</w:t>
            </w:r>
            <w:hyperlink r:id="rId121" w:history="1">
              <w:r w:rsidRPr="00535B48">
                <w:rPr>
                  <w:rStyle w:val="Hyperlink"/>
                  <w:rFonts w:ascii="Franklin Gothic Book" w:hAnsi="Franklin Gothic Book"/>
                  <w:sz w:val="22"/>
                  <w:szCs w:val="22"/>
                </w:rPr>
                <w:t>GCoM</w:t>
              </w:r>
            </w:hyperlink>
            <w:r w:rsidRPr="00535B48">
              <w:rPr>
                <w:rFonts w:ascii="Franklin Gothic Book" w:hAnsi="Franklin Gothic Book"/>
                <w:sz w:val="22"/>
                <w:szCs w:val="22"/>
              </w:rPr>
              <w:t>)</w:t>
            </w:r>
          </w:p>
          <w:p w14:paraId="20F765D7" w14:textId="6BCC1A8E" w:rsidR="00557692" w:rsidRPr="00557692" w:rsidRDefault="00557692" w:rsidP="00A253B8">
            <w:pPr>
              <w:spacing w:line="260" w:lineRule="exact"/>
              <w:rPr>
                <w:rFonts w:ascii="Franklin Gothic Book" w:hAnsi="Franklin Gothic Book"/>
                <w:sz w:val="22"/>
                <w:szCs w:val="22"/>
                <w:lang w:val="en-GB"/>
              </w:rPr>
            </w:pPr>
          </w:p>
        </w:tc>
      </w:tr>
      <w:tr w:rsidR="00A253B8" w:rsidRPr="005862A9" w14:paraId="6E9216D2" w14:textId="77777777" w:rsidTr="00B12D87">
        <w:tc>
          <w:tcPr>
            <w:tcW w:w="2705" w:type="dxa"/>
          </w:tcPr>
          <w:p w14:paraId="11A90190" w14:textId="56048EFD" w:rsidR="00A253B8" w:rsidRPr="005862A9" w:rsidRDefault="00A253B8" w:rsidP="0013785F">
            <w:pPr>
              <w:pStyle w:val="3Paragraph"/>
              <w:spacing w:line="260" w:lineRule="exact"/>
              <w:rPr>
                <w:color w:val="auto"/>
              </w:rPr>
            </w:pPr>
            <w:r>
              <w:rPr>
                <w:color w:val="auto"/>
              </w:rPr>
              <w:t>Waste-to-Energy (WTE) Facility</w:t>
            </w:r>
          </w:p>
        </w:tc>
        <w:tc>
          <w:tcPr>
            <w:tcW w:w="6655" w:type="dxa"/>
          </w:tcPr>
          <w:p w14:paraId="2F1DCD6C" w14:textId="77777777" w:rsidR="00A253B8" w:rsidRDefault="00A253B8" w:rsidP="00A253B8">
            <w:pPr>
              <w:spacing w:line="260" w:lineRule="exact"/>
              <w:rPr>
                <w:rFonts w:ascii="Franklin Gothic Book" w:hAnsi="Franklin Gothic Book"/>
                <w:sz w:val="22"/>
                <w:szCs w:val="22"/>
                <w:lang w:val="en-GB"/>
              </w:rPr>
            </w:pPr>
            <w:r>
              <w:rPr>
                <w:rFonts w:ascii="Franklin Gothic Book" w:hAnsi="Franklin Gothic Book"/>
                <w:sz w:val="22"/>
                <w:szCs w:val="22"/>
                <w:lang w:val="en-GB"/>
              </w:rPr>
              <w:t xml:space="preserve">Municipal solid waste (MSW) is used to produce energy at waste-to-energy (WTE) plants and at landfills. This waste, comprised of biomass materials (e.g. plant or animal products, paper and cardboard) and </w:t>
            </w:r>
            <w:proofErr w:type="spellStart"/>
            <w:r>
              <w:rPr>
                <w:rFonts w:ascii="Franklin Gothic Book" w:hAnsi="Franklin Gothic Book"/>
                <w:sz w:val="22"/>
                <w:szCs w:val="22"/>
                <w:lang w:val="en-GB"/>
              </w:rPr>
              <w:t>nonbiomass</w:t>
            </w:r>
            <w:proofErr w:type="spellEnd"/>
            <w:r>
              <w:rPr>
                <w:rFonts w:ascii="Franklin Gothic Book" w:hAnsi="Franklin Gothic Book"/>
                <w:sz w:val="22"/>
                <w:szCs w:val="22"/>
                <w:lang w:val="en-GB"/>
              </w:rPr>
              <w:t xml:space="preserve"> combustible materials (e.g. plastics and other synthetic materials), is usually burned at special WTE plants that use the heat from the fire to make steam for generating electricity or to heat buildings. (</w:t>
            </w:r>
            <w:hyperlink r:id="rId122" w:history="1">
              <w:r>
                <w:rPr>
                  <w:rStyle w:val="Hyperlink"/>
                  <w:rFonts w:ascii="Franklin Gothic Book" w:hAnsi="Franklin Gothic Book"/>
                  <w:sz w:val="22"/>
                  <w:szCs w:val="22"/>
                  <w:lang w:val="en-GB"/>
                </w:rPr>
                <w:t>EIA</w:t>
              </w:r>
            </w:hyperlink>
            <w:r>
              <w:rPr>
                <w:rFonts w:ascii="Franklin Gothic Book" w:hAnsi="Franklin Gothic Book"/>
                <w:sz w:val="22"/>
                <w:szCs w:val="22"/>
                <w:lang w:val="en-GB"/>
              </w:rPr>
              <w:t>)</w:t>
            </w:r>
          </w:p>
          <w:p w14:paraId="1BAD9DF9" w14:textId="77777777" w:rsidR="00A253B8" w:rsidRPr="005862A9" w:rsidRDefault="00A253B8" w:rsidP="0013785F">
            <w:pPr>
              <w:pStyle w:val="3Paragraph"/>
              <w:spacing w:line="260" w:lineRule="exact"/>
              <w:rPr>
                <w:color w:val="auto"/>
              </w:rPr>
            </w:pPr>
          </w:p>
        </w:tc>
      </w:tr>
      <w:tr w:rsidR="00B5589F" w:rsidRPr="005862A9" w14:paraId="681EEF98" w14:textId="77777777" w:rsidTr="00B12D87">
        <w:tc>
          <w:tcPr>
            <w:tcW w:w="2705" w:type="dxa"/>
          </w:tcPr>
          <w:p w14:paraId="0A24B85E" w14:textId="77777777" w:rsidR="00B5589F" w:rsidRPr="005862A9" w:rsidRDefault="00B5589F" w:rsidP="0013785F">
            <w:pPr>
              <w:pStyle w:val="3Paragraph"/>
              <w:spacing w:line="260" w:lineRule="exact"/>
              <w:rPr>
                <w:color w:val="auto"/>
              </w:rPr>
            </w:pPr>
            <w:r w:rsidRPr="005862A9">
              <w:rPr>
                <w:color w:val="auto"/>
              </w:rPr>
              <w:t>Zero Emissions Vehicle (ZEV)</w:t>
            </w:r>
          </w:p>
        </w:tc>
        <w:tc>
          <w:tcPr>
            <w:tcW w:w="6655" w:type="dxa"/>
          </w:tcPr>
          <w:p w14:paraId="3DC1A2E6" w14:textId="77777777" w:rsidR="00B5589F" w:rsidRPr="005862A9" w:rsidRDefault="00B5589F" w:rsidP="0013785F">
            <w:pPr>
              <w:pStyle w:val="3Paragraph"/>
              <w:spacing w:line="260" w:lineRule="exact"/>
              <w:rPr>
                <w:color w:val="auto"/>
              </w:rPr>
            </w:pPr>
            <w:r w:rsidRPr="005862A9">
              <w:rPr>
                <w:color w:val="auto"/>
              </w:rPr>
              <w:t>Vehicles which produce no emissions from the on-board source of power (e.g., an electric vehicle). (</w:t>
            </w:r>
            <w:hyperlink r:id="rId123" w:anchor="search_anchor" w:history="1">
              <w:r w:rsidRPr="005862A9">
                <w:rPr>
                  <w:rStyle w:val="Hyperlink"/>
                </w:rPr>
                <w:t>California Air Resources Board</w:t>
              </w:r>
            </w:hyperlink>
            <w:r w:rsidRPr="005862A9">
              <w:rPr>
                <w:color w:val="auto"/>
              </w:rPr>
              <w:t>)</w:t>
            </w:r>
          </w:p>
          <w:p w14:paraId="48932699" w14:textId="77777777" w:rsidR="00B5589F" w:rsidRPr="005862A9" w:rsidRDefault="00B5589F" w:rsidP="0013785F">
            <w:pPr>
              <w:pStyle w:val="3Paragraph"/>
              <w:spacing w:line="260" w:lineRule="exact"/>
              <w:rPr>
                <w:color w:val="auto"/>
              </w:rPr>
            </w:pPr>
          </w:p>
          <w:p w14:paraId="503C9BA4" w14:textId="77777777" w:rsidR="00B5589F" w:rsidRPr="005862A9" w:rsidRDefault="00B5589F" w:rsidP="0013785F">
            <w:pPr>
              <w:pStyle w:val="3Paragraph"/>
              <w:spacing w:line="260" w:lineRule="exact"/>
              <w:rPr>
                <w:color w:val="auto"/>
              </w:rPr>
            </w:pPr>
            <w:r w:rsidRPr="005862A9">
              <w:rPr>
                <w:color w:val="auto"/>
              </w:rPr>
              <w:t xml:space="preserve">Zero-emission vehicles (ZEVs), are vehicles that have an electric powertrain that produces zero tailpipe emissions. There are several </w:t>
            </w:r>
            <w:r w:rsidRPr="005862A9">
              <w:rPr>
                <w:color w:val="auto"/>
              </w:rPr>
              <w:lastRenderedPageBreak/>
              <w:t>types of ZEVs, including battery electric vehicles (BEVs) that run solely on electricity, plug-in hybrid electric vehicles (PHEVs) that use both electricity and gasoline, and hydrogen fuel cell vehicles (FCVs), which generate electricity from hydrogen. (</w:t>
            </w:r>
            <w:hyperlink r:id="rId124" w:history="1">
              <w:r w:rsidRPr="005862A9">
                <w:rPr>
                  <w:rStyle w:val="Hyperlink"/>
                </w:rPr>
                <w:t>ZEV Task Force</w:t>
              </w:r>
            </w:hyperlink>
            <w:r w:rsidRPr="005862A9">
              <w:rPr>
                <w:color w:val="auto"/>
              </w:rPr>
              <w:t>)</w:t>
            </w:r>
          </w:p>
          <w:p w14:paraId="402BB72C" w14:textId="77777777" w:rsidR="00B5589F" w:rsidRPr="005862A9" w:rsidRDefault="00B5589F" w:rsidP="0013785F">
            <w:pPr>
              <w:pStyle w:val="3Paragraph"/>
              <w:spacing w:line="260" w:lineRule="exact"/>
              <w:rPr>
                <w:color w:val="auto"/>
              </w:rPr>
            </w:pPr>
          </w:p>
        </w:tc>
      </w:tr>
      <w:tr w:rsidR="00B5589F" w:rsidRPr="005862A9" w14:paraId="53FBAC9D" w14:textId="77777777" w:rsidTr="00B12D87">
        <w:tc>
          <w:tcPr>
            <w:tcW w:w="2705" w:type="dxa"/>
          </w:tcPr>
          <w:p w14:paraId="05DA878B" w14:textId="77777777" w:rsidR="00B5589F" w:rsidRPr="005862A9" w:rsidRDefault="00B5589F" w:rsidP="0013785F">
            <w:pPr>
              <w:pStyle w:val="3Paragraph"/>
              <w:spacing w:line="260" w:lineRule="exact"/>
              <w:rPr>
                <w:color w:val="auto"/>
              </w:rPr>
            </w:pPr>
            <w:r w:rsidRPr="005862A9">
              <w:rPr>
                <w:color w:val="auto"/>
              </w:rPr>
              <w:lastRenderedPageBreak/>
              <w:t>Zero Waste</w:t>
            </w:r>
          </w:p>
        </w:tc>
        <w:tc>
          <w:tcPr>
            <w:tcW w:w="6655" w:type="dxa"/>
          </w:tcPr>
          <w:p w14:paraId="5B3F406B" w14:textId="77777777" w:rsidR="00A253B8" w:rsidRDefault="00A253B8" w:rsidP="00A253B8">
            <w:pPr>
              <w:pStyle w:val="3Paragraph"/>
              <w:spacing w:line="260" w:lineRule="exact"/>
              <w:rPr>
                <w:color w:val="auto"/>
                <w:lang w:val="en-GB"/>
              </w:rPr>
            </w:pPr>
            <w:r>
              <w:rPr>
                <w:color w:val="auto"/>
                <w:lang w:val="en-GB"/>
              </w:rPr>
              <w:t>Zero Waste means designing and managing products and processes to systematically avoid and eliminate the volume and toxicity of waste and materials, conserve and recover all resources, and not burn or bury them</w:t>
            </w:r>
            <w:r>
              <w:rPr>
                <w:color w:val="auto"/>
              </w:rPr>
              <w:t xml:space="preserve">. </w:t>
            </w:r>
            <w:r>
              <w:rPr>
                <w:iCs/>
                <w:color w:val="auto"/>
              </w:rPr>
              <w:t>(</w:t>
            </w:r>
            <w:hyperlink r:id="rId125" w:history="1">
              <w:r>
                <w:rPr>
                  <w:rStyle w:val="Hyperlink"/>
                  <w:iCs/>
                </w:rPr>
                <w:t>Zero Waste International Alliance</w:t>
              </w:r>
            </w:hyperlink>
            <w:r>
              <w:rPr>
                <w:iCs/>
              </w:rPr>
              <w:t>)</w:t>
            </w:r>
          </w:p>
          <w:p w14:paraId="17BD4B3A" w14:textId="77777777" w:rsidR="00B5589F" w:rsidRPr="005862A9" w:rsidRDefault="00B5589F" w:rsidP="0013785F">
            <w:pPr>
              <w:pStyle w:val="3Paragraph"/>
              <w:spacing w:line="260" w:lineRule="exact"/>
              <w:rPr>
                <w:color w:val="auto"/>
              </w:rPr>
            </w:pPr>
          </w:p>
        </w:tc>
      </w:tr>
    </w:tbl>
    <w:p w14:paraId="7919D3E1" w14:textId="5D3A5620" w:rsidR="00B5589F" w:rsidRDefault="00B5589F" w:rsidP="00B5589F">
      <w:pPr>
        <w:pStyle w:val="Heading1"/>
        <w:rPr>
          <w:rFonts w:cs="ITCFranklinGothicStd-Book"/>
          <w:color w:val="auto"/>
          <w:szCs w:val="22"/>
        </w:rPr>
      </w:pPr>
    </w:p>
    <w:p w14:paraId="2206FAB2" w14:textId="00CC35D1" w:rsidR="00F60EA1" w:rsidRDefault="00F60EA1" w:rsidP="00B5589F">
      <w:pPr>
        <w:pStyle w:val="Heading1"/>
        <w:rPr>
          <w:rFonts w:cs="ITCFranklinGothicStd-Book"/>
          <w:color w:val="auto"/>
          <w:szCs w:val="22"/>
        </w:rPr>
      </w:pPr>
    </w:p>
    <w:p w14:paraId="35393A6A" w14:textId="6F82C3C8" w:rsidR="00F60EA1" w:rsidRDefault="00F60EA1" w:rsidP="00B5589F">
      <w:pPr>
        <w:pStyle w:val="Heading1"/>
        <w:rPr>
          <w:rFonts w:cs="ITCFranklinGothicStd-Book"/>
          <w:color w:val="auto"/>
          <w:szCs w:val="22"/>
        </w:rPr>
      </w:pPr>
    </w:p>
    <w:p w14:paraId="069DBBBF" w14:textId="6C382F6D" w:rsidR="00F60EA1" w:rsidRDefault="00F60EA1" w:rsidP="00B5589F">
      <w:pPr>
        <w:pStyle w:val="Heading1"/>
        <w:rPr>
          <w:rFonts w:cs="ITCFranklinGothicStd-Book"/>
          <w:color w:val="auto"/>
          <w:szCs w:val="22"/>
        </w:rPr>
      </w:pPr>
    </w:p>
    <w:p w14:paraId="42806CC5" w14:textId="5153FD35" w:rsidR="00F60EA1" w:rsidRDefault="00F60EA1" w:rsidP="00B5589F">
      <w:pPr>
        <w:pStyle w:val="Heading1"/>
        <w:rPr>
          <w:rFonts w:cs="ITCFranklinGothicStd-Book"/>
          <w:color w:val="auto"/>
          <w:szCs w:val="22"/>
        </w:rPr>
      </w:pPr>
    </w:p>
    <w:p w14:paraId="1E25BC30" w14:textId="77777777" w:rsidR="00DC418B" w:rsidRDefault="00DC418B" w:rsidP="00B5589F">
      <w:pPr>
        <w:pStyle w:val="Heading1"/>
        <w:rPr>
          <w:rFonts w:cs="ITCFranklinGothicStd-Book"/>
          <w:color w:val="auto"/>
          <w:szCs w:val="22"/>
        </w:rPr>
      </w:pPr>
    </w:p>
    <w:p w14:paraId="41A07A7A" w14:textId="44876BEB" w:rsidR="00D81207" w:rsidRDefault="00D81207" w:rsidP="00B5589F">
      <w:pPr>
        <w:pStyle w:val="Heading1"/>
        <w:rPr>
          <w:rFonts w:cs="ITCFranklinGothicStd-Book"/>
          <w:color w:val="auto"/>
          <w:szCs w:val="22"/>
        </w:rPr>
      </w:pPr>
    </w:p>
    <w:p w14:paraId="57A42DC7" w14:textId="507CFF10" w:rsidR="00490671" w:rsidRDefault="00490671" w:rsidP="00F914F4">
      <w:pPr>
        <w:pStyle w:val="BodyText-COG"/>
        <w:outlineLvl w:val="0"/>
      </w:pPr>
    </w:p>
    <w:p w14:paraId="064CA13C" w14:textId="0A3FDD6E" w:rsidR="00076003" w:rsidRDefault="00490671" w:rsidP="00076003">
      <w:pPr>
        <w:pStyle w:val="Level1Head-COG"/>
        <w:outlineLvl w:val="0"/>
      </w:pPr>
      <w:bookmarkStart w:id="16" w:name="_Toc51077680"/>
      <w:r w:rsidRPr="003E433C">
        <w:t xml:space="preserve">Appendix </w:t>
      </w:r>
      <w:r>
        <w:t xml:space="preserve">c: </w:t>
      </w:r>
      <w:r w:rsidR="0062047F">
        <w:t xml:space="preserve">list of </w:t>
      </w:r>
      <w:r>
        <w:t xml:space="preserve">metropolitan washington </w:t>
      </w:r>
      <w:r w:rsidR="001D6CDB">
        <w:t xml:space="preserve">GHG emission reduction </w:t>
      </w:r>
      <w:r>
        <w:t>plans and</w:t>
      </w:r>
      <w:r w:rsidR="000648EB">
        <w:t xml:space="preserve"> </w:t>
      </w:r>
      <w:r>
        <w:t>goals</w:t>
      </w:r>
      <w:bookmarkEnd w:id="16"/>
    </w:p>
    <w:p w14:paraId="20DE722C" w14:textId="10CEC8A5" w:rsidR="00490671" w:rsidRDefault="00490671" w:rsidP="00490671">
      <w:pPr>
        <w:pStyle w:val="BodyText-COG"/>
      </w:pPr>
    </w:p>
    <w:p w14:paraId="2816A452" w14:textId="77777777" w:rsidR="00B73849" w:rsidRDefault="00076003" w:rsidP="00094511">
      <w:pPr>
        <w:pStyle w:val="Level2Head-COG"/>
        <w:spacing w:before="0"/>
        <w:outlineLvl w:val="0"/>
      </w:pPr>
      <w:bookmarkStart w:id="17" w:name="_Toc49368795"/>
      <w:bookmarkStart w:id="18" w:name="_Toc49368871"/>
      <w:bookmarkStart w:id="19" w:name="_Toc49861399"/>
      <w:bookmarkStart w:id="20" w:name="_Toc50968692"/>
      <w:bookmarkStart w:id="21" w:name="_Toc51077681"/>
      <w:r>
        <w:t>Regional</w:t>
      </w:r>
      <w:bookmarkStart w:id="22" w:name="_Hlk49253884"/>
      <w:bookmarkEnd w:id="17"/>
      <w:bookmarkEnd w:id="18"/>
      <w:bookmarkEnd w:id="19"/>
      <w:bookmarkEnd w:id="20"/>
      <w:bookmarkEnd w:id="21"/>
    </w:p>
    <w:p w14:paraId="11A0EA31" w14:textId="5D3A7E93" w:rsidR="00B964D8" w:rsidRPr="00B73849" w:rsidRDefault="00B964D8" w:rsidP="00B73849">
      <w:pPr>
        <w:pStyle w:val="Level3Head-COG"/>
        <w:rPr>
          <w:sz w:val="34"/>
          <w:szCs w:val="34"/>
        </w:rPr>
      </w:pPr>
      <w:bookmarkStart w:id="23" w:name="_Toc49368796"/>
      <w:bookmarkStart w:id="24" w:name="_Toc49368872"/>
      <w:bookmarkStart w:id="25" w:name="_Toc49861400"/>
      <w:bookmarkStart w:id="26" w:name="_Toc50968693"/>
      <w:bookmarkStart w:id="27" w:name="_Toc51077682"/>
      <w:r w:rsidRPr="00B964D8">
        <w:t>Metropolitan Washington Council of Governments (COG)</w:t>
      </w:r>
      <w:bookmarkEnd w:id="23"/>
      <w:bookmarkEnd w:id="24"/>
      <w:bookmarkEnd w:id="25"/>
      <w:bookmarkEnd w:id="26"/>
      <w:bookmarkEnd w:id="27"/>
      <w:r w:rsidRPr="00B964D8">
        <w:t xml:space="preserve"> </w:t>
      </w:r>
    </w:p>
    <w:p w14:paraId="1D8D8878" w14:textId="63F2C78B" w:rsidR="000648EB" w:rsidRPr="00DA1F1C" w:rsidRDefault="00DC418B" w:rsidP="00EC12DE">
      <w:pPr>
        <w:pStyle w:val="ListParagraph"/>
        <w:numPr>
          <w:ilvl w:val="0"/>
          <w:numId w:val="2"/>
        </w:numPr>
        <w:spacing w:after="0" w:line="260" w:lineRule="exact"/>
        <w:rPr>
          <w:rStyle w:val="Hyperlink"/>
          <w:rFonts w:ascii="Franklin Gothic Book" w:hAnsi="Franklin Gothic Book"/>
        </w:rPr>
      </w:pPr>
      <w:hyperlink r:id="rId126" w:history="1">
        <w:r w:rsidR="000648EB" w:rsidRPr="00DA1F1C">
          <w:rPr>
            <w:rStyle w:val="Hyperlink"/>
            <w:rFonts w:ascii="Franklin Gothic Book" w:hAnsi="Franklin Gothic Book"/>
          </w:rPr>
          <w:t>Metropolitan Washington 2030 Climate and Energy Action Plan</w:t>
        </w:r>
      </w:hyperlink>
      <w:r w:rsidR="003217A0">
        <w:rPr>
          <w:rStyle w:val="Hyperlink"/>
          <w:rFonts w:ascii="Franklin Gothic Book" w:hAnsi="Franklin Gothic Book"/>
        </w:rPr>
        <w:t>,</w:t>
      </w:r>
      <w:r w:rsidR="000648EB" w:rsidRPr="00DA1F1C">
        <w:rPr>
          <w:rStyle w:val="Hyperlink"/>
          <w:rFonts w:ascii="Franklin Gothic Book" w:hAnsi="Franklin Gothic Book"/>
        </w:rPr>
        <w:t xml:space="preserve"> 2020</w:t>
      </w:r>
    </w:p>
    <w:p w14:paraId="59B912DF" w14:textId="77777777" w:rsidR="000648EB" w:rsidRPr="00DA1F1C" w:rsidRDefault="000648EB" w:rsidP="00EC12DE">
      <w:pPr>
        <w:numPr>
          <w:ilvl w:val="2"/>
          <w:numId w:val="11"/>
        </w:numPr>
        <w:tabs>
          <w:tab w:val="clear" w:pos="2160"/>
          <w:tab w:val="left" w:pos="1440"/>
        </w:tabs>
        <w:spacing w:line="260" w:lineRule="exact"/>
        <w:ind w:left="1440"/>
        <w:rPr>
          <w:rStyle w:val="Hyperlink"/>
          <w:rFonts w:ascii="Franklin Gothic Book" w:hAnsi="Franklin Gothic Book"/>
          <w:sz w:val="22"/>
          <w:szCs w:val="22"/>
        </w:rPr>
      </w:pPr>
      <w:commentRangeStart w:id="28"/>
      <w:r w:rsidRPr="00DA1F1C">
        <w:rPr>
          <w:rStyle w:val="Hyperlink"/>
          <w:rFonts w:ascii="Franklin Gothic Book" w:hAnsi="Franklin Gothic Book"/>
          <w:sz w:val="22"/>
          <w:szCs w:val="22"/>
        </w:rPr>
        <w:t>50 percent below 2005 levels by 2030</w:t>
      </w:r>
    </w:p>
    <w:p w14:paraId="2C15E674" w14:textId="77777777" w:rsidR="000648EB" w:rsidRPr="00DA1F1C" w:rsidRDefault="000648EB" w:rsidP="00EC12DE">
      <w:pPr>
        <w:numPr>
          <w:ilvl w:val="2"/>
          <w:numId w:val="11"/>
        </w:numPr>
        <w:tabs>
          <w:tab w:val="clear" w:pos="2160"/>
          <w:tab w:val="left" w:pos="1440"/>
        </w:tabs>
        <w:spacing w:line="260" w:lineRule="exact"/>
        <w:ind w:left="1440"/>
        <w:rPr>
          <w:rStyle w:val="Hyperlink"/>
          <w:rFonts w:ascii="Franklin Gothic Book" w:hAnsi="Franklin Gothic Book"/>
          <w:sz w:val="22"/>
          <w:szCs w:val="22"/>
        </w:rPr>
      </w:pPr>
      <w:r w:rsidRPr="00DA1F1C">
        <w:rPr>
          <w:rStyle w:val="Hyperlink"/>
          <w:rFonts w:ascii="Franklin Gothic Book" w:hAnsi="Franklin Gothic Book"/>
          <w:sz w:val="22"/>
          <w:szCs w:val="22"/>
        </w:rPr>
        <w:t>Carbon neutrality by 2050</w:t>
      </w:r>
      <w:commentRangeEnd w:id="28"/>
      <w:r w:rsidRPr="00DA1F1C">
        <w:rPr>
          <w:rStyle w:val="CommentReference"/>
          <w:rFonts w:ascii="Franklin Gothic Book" w:hAnsi="Franklin Gothic Book"/>
          <w:sz w:val="22"/>
          <w:szCs w:val="22"/>
        </w:rPr>
        <w:commentReference w:id="28"/>
      </w:r>
    </w:p>
    <w:p w14:paraId="00C945BC" w14:textId="338060D8" w:rsidR="000648EB" w:rsidRPr="00DA1F1C" w:rsidRDefault="00DC418B" w:rsidP="00EC12DE">
      <w:pPr>
        <w:numPr>
          <w:ilvl w:val="1"/>
          <w:numId w:val="2"/>
        </w:numPr>
        <w:tabs>
          <w:tab w:val="clear" w:pos="1440"/>
          <w:tab w:val="num" w:pos="-1080"/>
        </w:tabs>
        <w:spacing w:line="260" w:lineRule="exact"/>
        <w:ind w:left="720"/>
        <w:rPr>
          <w:rStyle w:val="Hyperlink"/>
          <w:rFonts w:ascii="Franklin Gothic Book" w:hAnsi="Franklin Gothic Book"/>
          <w:sz w:val="22"/>
          <w:szCs w:val="22"/>
        </w:rPr>
      </w:pPr>
      <w:hyperlink r:id="rId130" w:history="1">
        <w:r w:rsidR="000648EB" w:rsidRPr="00DA1F1C">
          <w:rPr>
            <w:rStyle w:val="Hyperlink"/>
            <w:rFonts w:ascii="Franklin Gothic Book" w:hAnsi="Franklin Gothic Book"/>
            <w:sz w:val="22"/>
            <w:szCs w:val="22"/>
          </w:rPr>
          <w:t>Regional Climate and Energy Action Plan</w:t>
        </w:r>
      </w:hyperlink>
      <w:r w:rsidR="000648EB" w:rsidRPr="00DA1F1C">
        <w:rPr>
          <w:rStyle w:val="Hyperlink"/>
          <w:rFonts w:ascii="Franklin Gothic Book" w:hAnsi="Franklin Gothic Book"/>
          <w:sz w:val="22"/>
          <w:szCs w:val="22"/>
        </w:rPr>
        <w:t>s</w:t>
      </w:r>
      <w:r w:rsidR="003217A0">
        <w:rPr>
          <w:rStyle w:val="Hyperlink"/>
          <w:rFonts w:ascii="Franklin Gothic Book" w:hAnsi="Franklin Gothic Book"/>
          <w:sz w:val="22"/>
          <w:szCs w:val="22"/>
        </w:rPr>
        <w:t>,</w:t>
      </w:r>
      <w:r w:rsidR="000648EB" w:rsidRPr="00DA1F1C">
        <w:rPr>
          <w:rStyle w:val="Hyperlink"/>
          <w:rFonts w:ascii="Franklin Gothic Book" w:hAnsi="Franklin Gothic Book"/>
          <w:sz w:val="22"/>
          <w:szCs w:val="22"/>
        </w:rPr>
        <w:t xml:space="preserve"> 2010 – 2020</w:t>
      </w:r>
    </w:p>
    <w:p w14:paraId="4484E5E8" w14:textId="77777777" w:rsidR="000648EB" w:rsidRPr="00DA1F1C" w:rsidRDefault="000648EB" w:rsidP="00EC12DE">
      <w:pPr>
        <w:numPr>
          <w:ilvl w:val="2"/>
          <w:numId w:val="2"/>
        </w:numPr>
        <w:tabs>
          <w:tab w:val="num" w:pos="-360"/>
        </w:tabs>
        <w:spacing w:line="260" w:lineRule="exact"/>
        <w:ind w:left="1440"/>
        <w:rPr>
          <w:rStyle w:val="Hyperlink"/>
          <w:rFonts w:ascii="Franklin Gothic Book" w:hAnsi="Franklin Gothic Book"/>
          <w:sz w:val="22"/>
          <w:szCs w:val="22"/>
        </w:rPr>
      </w:pPr>
      <w:r w:rsidRPr="00DA1F1C">
        <w:rPr>
          <w:rStyle w:val="Hyperlink"/>
          <w:rFonts w:ascii="Franklin Gothic Book" w:hAnsi="Franklin Gothic Book"/>
          <w:sz w:val="22"/>
          <w:szCs w:val="22"/>
        </w:rPr>
        <w:t xml:space="preserve">Align with 2008 National Capital Region Climate Change Report </w:t>
      </w:r>
    </w:p>
    <w:bookmarkStart w:id="29" w:name="_Hlk49254549"/>
    <w:p w14:paraId="6790FE47" w14:textId="4E00B79B" w:rsidR="000648EB" w:rsidRPr="00DA1F1C" w:rsidRDefault="000648EB" w:rsidP="00EC12DE">
      <w:pPr>
        <w:numPr>
          <w:ilvl w:val="1"/>
          <w:numId w:val="2"/>
        </w:numPr>
        <w:tabs>
          <w:tab w:val="clear" w:pos="1440"/>
          <w:tab w:val="num" w:pos="-1080"/>
        </w:tabs>
        <w:spacing w:line="260" w:lineRule="exact"/>
        <w:ind w:left="720"/>
        <w:rPr>
          <w:rFonts w:ascii="Franklin Gothic Book" w:hAnsi="Franklin Gothic Book"/>
          <w:sz w:val="22"/>
          <w:szCs w:val="22"/>
        </w:rPr>
      </w:pPr>
      <w:r w:rsidRPr="00DA1F1C">
        <w:rPr>
          <w:rFonts w:ascii="Franklin Gothic Book" w:hAnsi="Franklin Gothic Book"/>
          <w:sz w:val="22"/>
          <w:szCs w:val="22"/>
        </w:rPr>
        <w:fldChar w:fldCharType="begin"/>
      </w:r>
      <w:r w:rsidRPr="00DA1F1C">
        <w:rPr>
          <w:rFonts w:ascii="Franklin Gothic Book" w:hAnsi="Franklin Gothic Book"/>
          <w:sz w:val="22"/>
          <w:szCs w:val="22"/>
        </w:rPr>
        <w:instrText xml:space="preserve"> HYPERLINK "https://www.mwcog.org/community/planning-areas/regional-planning/region-forward/goals/" </w:instrText>
      </w:r>
      <w:r w:rsidRPr="00DA1F1C">
        <w:rPr>
          <w:rFonts w:ascii="Franklin Gothic Book" w:hAnsi="Franklin Gothic Book"/>
          <w:sz w:val="22"/>
          <w:szCs w:val="22"/>
        </w:rPr>
        <w:fldChar w:fldCharType="separate"/>
      </w:r>
      <w:r w:rsidRPr="00DA1F1C">
        <w:rPr>
          <w:rStyle w:val="Hyperlink"/>
          <w:rFonts w:ascii="Franklin Gothic Book" w:hAnsi="Franklin Gothic Book"/>
          <w:sz w:val="22"/>
          <w:szCs w:val="22"/>
        </w:rPr>
        <w:t>Region Forward Goals</w:t>
      </w:r>
      <w:r w:rsidRPr="00DA1F1C">
        <w:rPr>
          <w:rFonts w:ascii="Franklin Gothic Book" w:hAnsi="Franklin Gothic Book"/>
          <w:sz w:val="22"/>
          <w:szCs w:val="22"/>
        </w:rPr>
        <w:fldChar w:fldCharType="end"/>
      </w:r>
      <w:r w:rsidR="003217A0">
        <w:rPr>
          <w:rFonts w:ascii="Franklin Gothic Book" w:hAnsi="Franklin Gothic Book"/>
          <w:sz w:val="22"/>
          <w:szCs w:val="22"/>
        </w:rPr>
        <w:t xml:space="preserve">, </w:t>
      </w:r>
      <w:r w:rsidRPr="00DA1F1C">
        <w:rPr>
          <w:rFonts w:ascii="Franklin Gothic Book" w:hAnsi="Franklin Gothic Book"/>
          <w:sz w:val="22"/>
          <w:szCs w:val="22"/>
        </w:rPr>
        <w:t xml:space="preserve">2010 </w:t>
      </w:r>
    </w:p>
    <w:p w14:paraId="4077D71D" w14:textId="77777777" w:rsidR="000648EB" w:rsidRPr="00DA1F1C" w:rsidRDefault="000648EB" w:rsidP="00EC12DE">
      <w:pPr>
        <w:numPr>
          <w:ilvl w:val="2"/>
          <w:numId w:val="2"/>
        </w:numPr>
        <w:tabs>
          <w:tab w:val="clear" w:pos="2160"/>
          <w:tab w:val="num" w:pos="-360"/>
        </w:tabs>
        <w:spacing w:line="260" w:lineRule="exact"/>
        <w:ind w:left="1440"/>
        <w:rPr>
          <w:rFonts w:ascii="Franklin Gothic Book" w:hAnsi="Franklin Gothic Book"/>
          <w:color w:val="auto"/>
          <w:sz w:val="22"/>
          <w:szCs w:val="22"/>
        </w:rPr>
      </w:pPr>
      <w:r w:rsidRPr="00DA1F1C">
        <w:rPr>
          <w:rFonts w:ascii="Franklin Gothic Book" w:hAnsi="Franklin Gothic Book" w:cs="Arial"/>
          <w:color w:val="auto"/>
          <w:sz w:val="22"/>
          <w:szCs w:val="22"/>
          <w:shd w:val="clear" w:color="auto" w:fill="FFFFFF"/>
        </w:rPr>
        <w:t>We seek a significant decrease in greenhouse gas emissions, with substantial reductions from the built environment and transportation sector. </w:t>
      </w:r>
    </w:p>
    <w:bookmarkEnd w:id="29"/>
    <w:p w14:paraId="65450602" w14:textId="4E2A9BDB" w:rsidR="00B964D8" w:rsidRPr="00DA1F1C" w:rsidRDefault="00B964D8" w:rsidP="00EC12DE">
      <w:pPr>
        <w:numPr>
          <w:ilvl w:val="1"/>
          <w:numId w:val="2"/>
        </w:numPr>
        <w:tabs>
          <w:tab w:val="clear" w:pos="1440"/>
          <w:tab w:val="num" w:pos="-1080"/>
        </w:tabs>
        <w:spacing w:line="260" w:lineRule="exact"/>
        <w:ind w:left="720"/>
        <w:rPr>
          <w:rFonts w:ascii="Franklin Gothic Book" w:hAnsi="Franklin Gothic Book"/>
          <w:sz w:val="22"/>
          <w:szCs w:val="22"/>
        </w:rPr>
      </w:pPr>
      <w:r w:rsidRPr="00DA1F1C">
        <w:fldChar w:fldCharType="begin"/>
      </w:r>
      <w:r w:rsidRPr="00DA1F1C">
        <w:rPr>
          <w:rFonts w:ascii="Franklin Gothic Book" w:hAnsi="Franklin Gothic Book"/>
          <w:sz w:val="22"/>
          <w:szCs w:val="22"/>
        </w:rPr>
        <w:instrText xml:space="preserve"> HYPERLINK "https://www.mwcog.org/documents/2008/11/12/national-capital-region-climate-change-report-climate-change/" </w:instrText>
      </w:r>
      <w:r w:rsidRPr="00DA1F1C">
        <w:fldChar w:fldCharType="separate"/>
      </w:r>
      <w:r w:rsidRPr="00DA1F1C">
        <w:rPr>
          <w:rStyle w:val="Hyperlink"/>
          <w:rFonts w:ascii="Franklin Gothic Book" w:hAnsi="Franklin Gothic Book"/>
          <w:sz w:val="22"/>
          <w:szCs w:val="22"/>
        </w:rPr>
        <w:t>National Capital Region Climate Change Report</w:t>
      </w:r>
      <w:r w:rsidRPr="00DA1F1C">
        <w:rPr>
          <w:rStyle w:val="Hyperlink"/>
          <w:rFonts w:ascii="Franklin Gothic Book" w:hAnsi="Franklin Gothic Book"/>
          <w:sz w:val="22"/>
          <w:szCs w:val="22"/>
        </w:rPr>
        <w:fldChar w:fldCharType="end"/>
      </w:r>
      <w:r w:rsidR="003217A0">
        <w:rPr>
          <w:rStyle w:val="Hyperlink"/>
          <w:rFonts w:ascii="Franklin Gothic Book" w:hAnsi="Franklin Gothic Book"/>
          <w:sz w:val="22"/>
          <w:szCs w:val="22"/>
        </w:rPr>
        <w:t>,</w:t>
      </w:r>
      <w:r w:rsidRPr="00DA1F1C">
        <w:rPr>
          <w:rFonts w:ascii="Franklin Gothic Book" w:hAnsi="Franklin Gothic Book"/>
          <w:sz w:val="22"/>
          <w:szCs w:val="22"/>
        </w:rPr>
        <w:t xml:space="preserve"> 2008</w:t>
      </w:r>
    </w:p>
    <w:p w14:paraId="24045B03" w14:textId="77777777" w:rsidR="00B964D8" w:rsidRPr="00DA1F1C" w:rsidRDefault="00B964D8" w:rsidP="00EC12DE">
      <w:pPr>
        <w:numPr>
          <w:ilvl w:val="2"/>
          <w:numId w:val="12"/>
        </w:numPr>
        <w:tabs>
          <w:tab w:val="clear" w:pos="2160"/>
        </w:tabs>
        <w:spacing w:line="260" w:lineRule="exact"/>
        <w:ind w:left="1440"/>
        <w:rPr>
          <w:rFonts w:ascii="Franklin Gothic Book" w:hAnsi="Franklin Gothic Book"/>
          <w:sz w:val="22"/>
          <w:szCs w:val="22"/>
        </w:rPr>
      </w:pPr>
      <w:r w:rsidRPr="00DA1F1C">
        <w:rPr>
          <w:rFonts w:ascii="Franklin Gothic Book" w:hAnsi="Franklin Gothic Book"/>
          <w:sz w:val="22"/>
          <w:szCs w:val="22"/>
        </w:rPr>
        <w:t>10 percent below business-as-usual projections by 2012 (back down to 2005 levels)</w:t>
      </w:r>
    </w:p>
    <w:p w14:paraId="56244539" w14:textId="77777777" w:rsidR="00B964D8" w:rsidRPr="00DA1F1C" w:rsidRDefault="00B964D8" w:rsidP="00EC12DE">
      <w:pPr>
        <w:numPr>
          <w:ilvl w:val="2"/>
          <w:numId w:val="12"/>
        </w:numPr>
        <w:tabs>
          <w:tab w:val="clear" w:pos="2160"/>
        </w:tabs>
        <w:spacing w:line="260" w:lineRule="exact"/>
        <w:ind w:left="1440"/>
        <w:rPr>
          <w:rFonts w:ascii="Franklin Gothic Book" w:hAnsi="Franklin Gothic Book"/>
          <w:sz w:val="22"/>
          <w:szCs w:val="22"/>
        </w:rPr>
      </w:pPr>
      <w:r w:rsidRPr="00DA1F1C">
        <w:rPr>
          <w:rFonts w:ascii="Franklin Gothic Book" w:hAnsi="Franklin Gothic Book"/>
          <w:sz w:val="22"/>
          <w:szCs w:val="22"/>
        </w:rPr>
        <w:t>20 percent below the 2005 levels by 2020</w:t>
      </w:r>
    </w:p>
    <w:p w14:paraId="48809251" w14:textId="77777777" w:rsidR="00B964D8" w:rsidRPr="00DA1F1C" w:rsidRDefault="00B964D8" w:rsidP="00EC12DE">
      <w:pPr>
        <w:numPr>
          <w:ilvl w:val="2"/>
          <w:numId w:val="12"/>
        </w:numPr>
        <w:tabs>
          <w:tab w:val="clear" w:pos="2160"/>
        </w:tabs>
        <w:spacing w:line="260" w:lineRule="exact"/>
        <w:ind w:left="1440"/>
        <w:rPr>
          <w:rFonts w:ascii="Franklin Gothic Book" w:hAnsi="Franklin Gothic Book"/>
          <w:sz w:val="22"/>
          <w:szCs w:val="22"/>
        </w:rPr>
      </w:pPr>
      <w:r w:rsidRPr="00DA1F1C">
        <w:rPr>
          <w:rFonts w:ascii="Franklin Gothic Book" w:hAnsi="Franklin Gothic Book"/>
          <w:sz w:val="22"/>
          <w:szCs w:val="22"/>
        </w:rPr>
        <w:t>80 percent below 2005 levels by 2050</w:t>
      </w:r>
    </w:p>
    <w:bookmarkEnd w:id="22"/>
    <w:p w14:paraId="6447E7EF" w14:textId="77777777" w:rsidR="00076003" w:rsidRPr="00DA1F1C" w:rsidRDefault="00076003" w:rsidP="00076003">
      <w:pPr>
        <w:pStyle w:val="BodyText-COG"/>
        <w:rPr>
          <w:szCs w:val="22"/>
        </w:rPr>
      </w:pPr>
    </w:p>
    <w:p w14:paraId="54BEC826" w14:textId="4D8C8BE3" w:rsidR="00E614F6" w:rsidRDefault="00076003" w:rsidP="00E614F6">
      <w:pPr>
        <w:pStyle w:val="Level2Head-COG"/>
        <w:outlineLvl w:val="0"/>
      </w:pPr>
      <w:bookmarkStart w:id="30" w:name="_Toc49368797"/>
      <w:bookmarkStart w:id="31" w:name="_Toc49368873"/>
      <w:bookmarkStart w:id="32" w:name="_Toc49861401"/>
      <w:bookmarkStart w:id="33" w:name="_Toc50968694"/>
      <w:bookmarkStart w:id="34" w:name="_Toc51077683"/>
      <w:r>
        <w:t>District of Columbia</w:t>
      </w:r>
      <w:bookmarkStart w:id="35" w:name="_Hlk49254034"/>
      <w:bookmarkEnd w:id="30"/>
      <w:bookmarkEnd w:id="31"/>
      <w:bookmarkEnd w:id="32"/>
      <w:bookmarkEnd w:id="33"/>
      <w:bookmarkEnd w:id="34"/>
    </w:p>
    <w:p w14:paraId="23DF6CBE" w14:textId="4EBEDDC8" w:rsidR="00E614F6" w:rsidRPr="00E614F6" w:rsidRDefault="00E614F6" w:rsidP="00E614F6">
      <w:pPr>
        <w:pStyle w:val="Level3Head-COG"/>
      </w:pPr>
      <w:bookmarkStart w:id="36" w:name="_Toc49368798"/>
      <w:bookmarkStart w:id="37" w:name="_Toc49368874"/>
      <w:bookmarkStart w:id="38" w:name="_Toc49861402"/>
      <w:bookmarkStart w:id="39" w:name="_Toc50968695"/>
      <w:bookmarkStart w:id="40" w:name="_Toc51077684"/>
      <w:r>
        <w:t>Washington D.C. Government</w:t>
      </w:r>
      <w:bookmarkEnd w:id="36"/>
      <w:bookmarkEnd w:id="37"/>
      <w:bookmarkEnd w:id="38"/>
      <w:bookmarkEnd w:id="39"/>
      <w:bookmarkEnd w:id="40"/>
      <w:r>
        <w:t xml:space="preserve"> </w:t>
      </w:r>
    </w:p>
    <w:p w14:paraId="1EEA4FE5" w14:textId="5FC9EA73" w:rsidR="009F4261" w:rsidRPr="00DA1F1C" w:rsidRDefault="00DC418B" w:rsidP="00EC12DE">
      <w:pPr>
        <w:pStyle w:val="ListParagraph"/>
        <w:numPr>
          <w:ilvl w:val="0"/>
          <w:numId w:val="2"/>
        </w:numPr>
        <w:tabs>
          <w:tab w:val="left" w:pos="1080"/>
        </w:tabs>
        <w:spacing w:after="0" w:line="260" w:lineRule="exact"/>
        <w:rPr>
          <w:rFonts w:ascii="Franklin Gothic Book" w:hAnsi="Franklin Gothic Book"/>
        </w:rPr>
      </w:pPr>
      <w:hyperlink r:id="rId131" w:history="1">
        <w:r w:rsidR="009F4261" w:rsidRPr="00DA1F1C">
          <w:rPr>
            <w:rStyle w:val="Hyperlink"/>
            <w:rFonts w:ascii="Franklin Gothic Book" w:hAnsi="Franklin Gothic Book"/>
          </w:rPr>
          <w:t>Sustainable DC 2.0</w:t>
        </w:r>
      </w:hyperlink>
      <w:r w:rsidR="003217A0">
        <w:rPr>
          <w:rStyle w:val="Hyperlink"/>
          <w:rFonts w:ascii="Franklin Gothic Book" w:hAnsi="Franklin Gothic Book"/>
        </w:rPr>
        <w:t>,</w:t>
      </w:r>
      <w:r w:rsidR="009F4261" w:rsidRPr="00DA1F1C">
        <w:rPr>
          <w:rFonts w:ascii="Franklin Gothic Book" w:hAnsi="Franklin Gothic Book"/>
        </w:rPr>
        <w:t xml:space="preserve"> 2019</w:t>
      </w:r>
    </w:p>
    <w:p w14:paraId="1E07CB9A" w14:textId="77777777" w:rsidR="009F4261" w:rsidRPr="00DA1F1C" w:rsidRDefault="009F4261" w:rsidP="00EC12DE">
      <w:pPr>
        <w:pStyle w:val="ListParagraph"/>
        <w:numPr>
          <w:ilvl w:val="1"/>
          <w:numId w:val="10"/>
        </w:numPr>
        <w:tabs>
          <w:tab w:val="clear" w:pos="1440"/>
          <w:tab w:val="left" w:pos="1800"/>
        </w:tabs>
        <w:spacing w:after="0" w:line="260" w:lineRule="exact"/>
        <w:rPr>
          <w:rFonts w:ascii="Franklin Gothic Book" w:hAnsi="Franklin Gothic Book"/>
        </w:rPr>
      </w:pPr>
      <w:r w:rsidRPr="00DA1F1C">
        <w:rPr>
          <w:rFonts w:ascii="Franklin Gothic Book" w:hAnsi="Franklin Gothic Book"/>
        </w:rPr>
        <w:t>50 percent by 2032 below 2006 levels</w:t>
      </w:r>
    </w:p>
    <w:p w14:paraId="2C1A8A65" w14:textId="77777777" w:rsidR="009F4261" w:rsidRPr="00DA1F1C" w:rsidRDefault="009F4261" w:rsidP="00EC12DE">
      <w:pPr>
        <w:pStyle w:val="ListParagraph"/>
        <w:numPr>
          <w:ilvl w:val="1"/>
          <w:numId w:val="10"/>
        </w:numPr>
        <w:tabs>
          <w:tab w:val="clear" w:pos="1440"/>
          <w:tab w:val="left" w:pos="1800"/>
        </w:tabs>
        <w:spacing w:after="0" w:line="260" w:lineRule="exact"/>
        <w:rPr>
          <w:rFonts w:ascii="Franklin Gothic Book" w:hAnsi="Franklin Gothic Book"/>
        </w:rPr>
      </w:pPr>
      <w:r w:rsidRPr="00DA1F1C">
        <w:rPr>
          <w:rFonts w:ascii="Franklin Gothic Book" w:hAnsi="Franklin Gothic Book"/>
        </w:rPr>
        <w:t>Carbon neutral by 2050</w:t>
      </w:r>
    </w:p>
    <w:p w14:paraId="113C080E" w14:textId="7A663129" w:rsidR="009F4261" w:rsidRPr="00DA1F1C" w:rsidRDefault="00DC418B" w:rsidP="00EC12DE">
      <w:pPr>
        <w:pStyle w:val="ListParagraph"/>
        <w:numPr>
          <w:ilvl w:val="0"/>
          <w:numId w:val="2"/>
        </w:numPr>
        <w:tabs>
          <w:tab w:val="left" w:pos="1080"/>
        </w:tabs>
        <w:spacing w:after="0" w:line="260" w:lineRule="exact"/>
        <w:rPr>
          <w:rFonts w:ascii="Franklin Gothic Book" w:hAnsi="Franklin Gothic Book"/>
        </w:rPr>
      </w:pPr>
      <w:hyperlink r:id="rId132" w:history="1">
        <w:r w:rsidR="009F4261" w:rsidRPr="00DA1F1C">
          <w:rPr>
            <w:rStyle w:val="Hyperlink"/>
            <w:rFonts w:ascii="Franklin Gothic Book" w:hAnsi="Franklin Gothic Book"/>
          </w:rPr>
          <w:t>Clean Energy DC Plan</w:t>
        </w:r>
      </w:hyperlink>
      <w:r w:rsidR="003217A0">
        <w:rPr>
          <w:rStyle w:val="Hyperlink"/>
          <w:rFonts w:ascii="Franklin Gothic Book" w:hAnsi="Franklin Gothic Book"/>
        </w:rPr>
        <w:t xml:space="preserve">, </w:t>
      </w:r>
      <w:r w:rsidR="009F4261" w:rsidRPr="00DA1F1C">
        <w:rPr>
          <w:rFonts w:ascii="Franklin Gothic Book" w:hAnsi="Franklin Gothic Book"/>
        </w:rPr>
        <w:t>2016</w:t>
      </w:r>
    </w:p>
    <w:p w14:paraId="470DBFE0" w14:textId="77777777" w:rsidR="009F4261" w:rsidRPr="00DA1F1C" w:rsidRDefault="009F4261" w:rsidP="00EC12DE">
      <w:pPr>
        <w:pStyle w:val="ListParagraph"/>
        <w:numPr>
          <w:ilvl w:val="1"/>
          <w:numId w:val="13"/>
        </w:numPr>
        <w:tabs>
          <w:tab w:val="clear" w:pos="1440"/>
          <w:tab w:val="left" w:pos="1800"/>
        </w:tabs>
        <w:spacing w:after="0" w:line="260" w:lineRule="exact"/>
        <w:rPr>
          <w:rFonts w:ascii="Franklin Gothic Book" w:hAnsi="Franklin Gothic Book"/>
        </w:rPr>
      </w:pPr>
      <w:r w:rsidRPr="00DA1F1C">
        <w:rPr>
          <w:rFonts w:ascii="Franklin Gothic Book" w:hAnsi="Franklin Gothic Book"/>
        </w:rPr>
        <w:t xml:space="preserve">50 percent by 2032 below 2006 levels </w:t>
      </w:r>
    </w:p>
    <w:p w14:paraId="7586D674" w14:textId="77777777" w:rsidR="009F4261" w:rsidRPr="00DA1F1C" w:rsidRDefault="009F4261" w:rsidP="00EC12DE">
      <w:pPr>
        <w:pStyle w:val="ListParagraph"/>
        <w:numPr>
          <w:ilvl w:val="1"/>
          <w:numId w:val="13"/>
        </w:numPr>
        <w:tabs>
          <w:tab w:val="clear" w:pos="1440"/>
          <w:tab w:val="left" w:pos="1800"/>
        </w:tabs>
        <w:spacing w:after="0" w:line="260" w:lineRule="exact"/>
        <w:rPr>
          <w:rFonts w:ascii="Franklin Gothic Book" w:hAnsi="Franklin Gothic Book"/>
        </w:rPr>
      </w:pPr>
      <w:r w:rsidRPr="00DA1F1C">
        <w:rPr>
          <w:rFonts w:ascii="Franklin Gothic Book" w:hAnsi="Franklin Gothic Book"/>
        </w:rPr>
        <w:t>80 percent by 2050</w:t>
      </w:r>
    </w:p>
    <w:p w14:paraId="50DE176D" w14:textId="5B591E3B" w:rsidR="009F4261" w:rsidRPr="00DA1F1C" w:rsidRDefault="00DC418B" w:rsidP="00EC12DE">
      <w:pPr>
        <w:pStyle w:val="ListParagraph"/>
        <w:numPr>
          <w:ilvl w:val="0"/>
          <w:numId w:val="2"/>
        </w:numPr>
        <w:tabs>
          <w:tab w:val="left" w:pos="1080"/>
        </w:tabs>
        <w:spacing w:after="0" w:line="260" w:lineRule="exact"/>
        <w:rPr>
          <w:rFonts w:ascii="Franklin Gothic Book" w:hAnsi="Franklin Gothic Book"/>
        </w:rPr>
      </w:pPr>
      <w:hyperlink r:id="rId133" w:history="1">
        <w:r w:rsidR="009F4261" w:rsidRPr="00DA1F1C">
          <w:rPr>
            <w:rStyle w:val="Hyperlink"/>
            <w:rFonts w:ascii="Franklin Gothic Book" w:hAnsi="Franklin Gothic Book"/>
          </w:rPr>
          <w:t>Sustainable DC Plan</w:t>
        </w:r>
      </w:hyperlink>
      <w:r w:rsidR="003217A0">
        <w:rPr>
          <w:rStyle w:val="Hyperlink"/>
          <w:rFonts w:ascii="Franklin Gothic Book" w:hAnsi="Franklin Gothic Book"/>
        </w:rPr>
        <w:t xml:space="preserve">, </w:t>
      </w:r>
      <w:r w:rsidR="009F4261" w:rsidRPr="00DA1F1C">
        <w:rPr>
          <w:rFonts w:ascii="Franklin Gothic Book" w:hAnsi="Franklin Gothic Book"/>
        </w:rPr>
        <w:t>2012</w:t>
      </w:r>
    </w:p>
    <w:p w14:paraId="73359107" w14:textId="77777777" w:rsidR="009F4261" w:rsidRPr="00DA1F1C" w:rsidRDefault="009F4261" w:rsidP="00EC12DE">
      <w:pPr>
        <w:pStyle w:val="ListParagraph"/>
        <w:numPr>
          <w:ilvl w:val="1"/>
          <w:numId w:val="14"/>
        </w:numPr>
        <w:tabs>
          <w:tab w:val="clear" w:pos="1440"/>
          <w:tab w:val="left" w:pos="1800"/>
        </w:tabs>
        <w:spacing w:after="0" w:line="260" w:lineRule="exact"/>
        <w:rPr>
          <w:rFonts w:ascii="Franklin Gothic Book" w:hAnsi="Franklin Gothic Book"/>
        </w:rPr>
      </w:pPr>
      <w:r w:rsidRPr="00DA1F1C">
        <w:rPr>
          <w:rFonts w:ascii="Franklin Gothic Book" w:hAnsi="Franklin Gothic Book"/>
        </w:rPr>
        <w:t xml:space="preserve">50 percent by 2032 below 2006 levels </w:t>
      </w:r>
    </w:p>
    <w:p w14:paraId="6909B0FA" w14:textId="525BB08C" w:rsidR="009F4261" w:rsidRPr="00DA1F1C" w:rsidRDefault="00DC418B" w:rsidP="00EC12DE">
      <w:pPr>
        <w:pStyle w:val="ListParagraph"/>
        <w:numPr>
          <w:ilvl w:val="0"/>
          <w:numId w:val="2"/>
        </w:numPr>
        <w:tabs>
          <w:tab w:val="left" w:pos="1080"/>
        </w:tabs>
        <w:spacing w:after="0" w:line="260" w:lineRule="exact"/>
        <w:rPr>
          <w:rStyle w:val="Hyperlink"/>
          <w:rFonts w:ascii="Franklin Gothic Book" w:hAnsi="Franklin Gothic Book"/>
        </w:rPr>
      </w:pPr>
      <w:hyperlink r:id="rId134" w:history="1">
        <w:r w:rsidR="009F4261" w:rsidRPr="00DA1F1C">
          <w:rPr>
            <w:rStyle w:val="Hyperlink"/>
            <w:rFonts w:ascii="Franklin Gothic Book" w:hAnsi="Franklin Gothic Book"/>
          </w:rPr>
          <w:t>DC Climate of Opportunity Report</w:t>
        </w:r>
      </w:hyperlink>
      <w:r w:rsidR="003217A0">
        <w:rPr>
          <w:rStyle w:val="Hyperlink"/>
          <w:rFonts w:ascii="Franklin Gothic Book" w:hAnsi="Franklin Gothic Book"/>
        </w:rPr>
        <w:t xml:space="preserve">, </w:t>
      </w:r>
      <w:r w:rsidR="009F4261" w:rsidRPr="00DA1F1C">
        <w:rPr>
          <w:rStyle w:val="Hyperlink"/>
          <w:rFonts w:ascii="Franklin Gothic Book" w:hAnsi="Franklin Gothic Book"/>
        </w:rPr>
        <w:t>2010</w:t>
      </w:r>
    </w:p>
    <w:p w14:paraId="33D75557" w14:textId="77777777" w:rsidR="009F4261" w:rsidRPr="00DA1F1C" w:rsidRDefault="009F4261" w:rsidP="00EC12DE">
      <w:pPr>
        <w:pStyle w:val="ListParagraph"/>
        <w:numPr>
          <w:ilvl w:val="1"/>
          <w:numId w:val="15"/>
        </w:numPr>
        <w:tabs>
          <w:tab w:val="clear" w:pos="1440"/>
          <w:tab w:val="left" w:pos="1800"/>
        </w:tabs>
        <w:spacing w:after="0" w:line="260" w:lineRule="exact"/>
        <w:rPr>
          <w:rFonts w:ascii="Franklin Gothic Book" w:hAnsi="Franklin Gothic Book"/>
        </w:rPr>
      </w:pPr>
      <w:r w:rsidRPr="00DA1F1C">
        <w:rPr>
          <w:rFonts w:ascii="Franklin Gothic Book" w:hAnsi="Franklin Gothic Book"/>
        </w:rPr>
        <w:t>20 percent below 2006 levels by 2012</w:t>
      </w:r>
    </w:p>
    <w:p w14:paraId="66F1C15F" w14:textId="77777777" w:rsidR="009F4261" w:rsidRPr="00DA1F1C" w:rsidRDefault="009F4261" w:rsidP="00EC12DE">
      <w:pPr>
        <w:pStyle w:val="ListParagraph"/>
        <w:numPr>
          <w:ilvl w:val="1"/>
          <w:numId w:val="15"/>
        </w:numPr>
        <w:tabs>
          <w:tab w:val="clear" w:pos="1440"/>
          <w:tab w:val="left" w:pos="1800"/>
        </w:tabs>
        <w:spacing w:after="0" w:line="260" w:lineRule="exact"/>
        <w:rPr>
          <w:rFonts w:ascii="Franklin Gothic Book" w:hAnsi="Franklin Gothic Book"/>
        </w:rPr>
      </w:pPr>
      <w:r w:rsidRPr="00DA1F1C">
        <w:rPr>
          <w:rFonts w:ascii="Franklin Gothic Book" w:hAnsi="Franklin Gothic Book"/>
        </w:rPr>
        <w:t>30 percent below 2006 levels by 2020</w:t>
      </w:r>
    </w:p>
    <w:p w14:paraId="63944063" w14:textId="77777777" w:rsidR="009F4261" w:rsidRPr="00DA1F1C" w:rsidRDefault="009F4261" w:rsidP="00EC12DE">
      <w:pPr>
        <w:pStyle w:val="ListParagraph"/>
        <w:numPr>
          <w:ilvl w:val="1"/>
          <w:numId w:val="15"/>
        </w:numPr>
        <w:tabs>
          <w:tab w:val="clear" w:pos="1440"/>
          <w:tab w:val="left" w:pos="1800"/>
        </w:tabs>
        <w:spacing w:after="0" w:line="260" w:lineRule="exact"/>
        <w:rPr>
          <w:rFonts w:ascii="Franklin Gothic Book" w:hAnsi="Franklin Gothic Book"/>
        </w:rPr>
      </w:pPr>
      <w:r w:rsidRPr="00DA1F1C">
        <w:rPr>
          <w:rFonts w:ascii="Franklin Gothic Book" w:hAnsi="Franklin Gothic Book"/>
        </w:rPr>
        <w:t>80 percent below 2006 levels by 2050</w:t>
      </w:r>
    </w:p>
    <w:bookmarkEnd w:id="35"/>
    <w:p w14:paraId="5B98FA77" w14:textId="77777777" w:rsidR="00076003" w:rsidRPr="00DA1F1C" w:rsidRDefault="00076003" w:rsidP="00076003">
      <w:pPr>
        <w:pStyle w:val="BodyText-COG"/>
        <w:rPr>
          <w:szCs w:val="22"/>
        </w:rPr>
      </w:pPr>
    </w:p>
    <w:p w14:paraId="1F4EAA46" w14:textId="77777777" w:rsidR="00E614F6" w:rsidRDefault="00076003" w:rsidP="00E614F6">
      <w:pPr>
        <w:pStyle w:val="Level2Head-COG"/>
        <w:outlineLvl w:val="0"/>
      </w:pPr>
      <w:bookmarkStart w:id="41" w:name="_Toc49368799"/>
      <w:bookmarkStart w:id="42" w:name="_Toc49368875"/>
      <w:bookmarkStart w:id="43" w:name="_Toc49861403"/>
      <w:bookmarkStart w:id="44" w:name="_Toc50968696"/>
      <w:bookmarkStart w:id="45" w:name="_Toc51077685"/>
      <w:r>
        <w:t>Maryland</w:t>
      </w:r>
      <w:bookmarkEnd w:id="41"/>
      <w:bookmarkEnd w:id="42"/>
      <w:bookmarkEnd w:id="43"/>
      <w:bookmarkEnd w:id="44"/>
      <w:bookmarkEnd w:id="45"/>
    </w:p>
    <w:p w14:paraId="1001C884" w14:textId="2F5245D6" w:rsidR="00E614F6" w:rsidRPr="00B73849" w:rsidRDefault="00E614F6" w:rsidP="00E614F6">
      <w:pPr>
        <w:pStyle w:val="Level3Head-COG"/>
        <w:rPr>
          <w:sz w:val="34"/>
          <w:szCs w:val="34"/>
        </w:rPr>
      </w:pPr>
      <w:bookmarkStart w:id="46" w:name="_Toc49368800"/>
      <w:bookmarkStart w:id="47" w:name="_Toc49368876"/>
      <w:bookmarkStart w:id="48" w:name="_Toc49861404"/>
      <w:bookmarkStart w:id="49" w:name="_Toc50968697"/>
      <w:bookmarkStart w:id="50" w:name="_Toc51077686"/>
      <w:r>
        <w:t>City of Bowie</w:t>
      </w:r>
      <w:bookmarkEnd w:id="46"/>
      <w:bookmarkEnd w:id="47"/>
      <w:bookmarkEnd w:id="48"/>
      <w:bookmarkEnd w:id="49"/>
      <w:bookmarkEnd w:id="50"/>
      <w:r>
        <w:t xml:space="preserve"> </w:t>
      </w:r>
      <w:r w:rsidRPr="00B964D8">
        <w:t xml:space="preserve"> </w:t>
      </w:r>
    </w:p>
    <w:p w14:paraId="704EC400" w14:textId="5476CD9F" w:rsidR="00B725E3" w:rsidRPr="00DA1F1C" w:rsidRDefault="00DC418B" w:rsidP="00EC12DE">
      <w:pPr>
        <w:pStyle w:val="ListParagraph"/>
        <w:numPr>
          <w:ilvl w:val="1"/>
          <w:numId w:val="2"/>
        </w:numPr>
        <w:tabs>
          <w:tab w:val="clear" w:pos="1440"/>
          <w:tab w:val="num" w:pos="720"/>
        </w:tabs>
        <w:spacing w:after="0" w:line="260" w:lineRule="exact"/>
        <w:ind w:left="720"/>
        <w:rPr>
          <w:rFonts w:ascii="Franklin Gothic Book" w:hAnsi="Franklin Gothic Book"/>
        </w:rPr>
      </w:pPr>
      <w:hyperlink r:id="rId135" w:history="1">
        <w:r w:rsidR="00B725E3" w:rsidRPr="00DA1F1C">
          <w:rPr>
            <w:rStyle w:val="Hyperlink"/>
            <w:rFonts w:ascii="Franklin Gothic Book" w:hAnsi="Franklin Gothic Book"/>
          </w:rPr>
          <w:t>Updated Climate Action Plan</w:t>
        </w:r>
      </w:hyperlink>
      <w:r w:rsidR="000A076D">
        <w:rPr>
          <w:rStyle w:val="Hyperlink"/>
          <w:rFonts w:ascii="Franklin Gothic Book" w:hAnsi="Franklin Gothic Book"/>
        </w:rPr>
        <w:t xml:space="preserve">, </w:t>
      </w:r>
      <w:r w:rsidR="00B725E3" w:rsidRPr="00DA1F1C">
        <w:rPr>
          <w:rFonts w:ascii="Franklin Gothic Book" w:hAnsi="Franklin Gothic Book"/>
        </w:rPr>
        <w:t xml:space="preserve">2020 </w:t>
      </w:r>
    </w:p>
    <w:p w14:paraId="18C2261E" w14:textId="617E79F1" w:rsidR="00B725E3" w:rsidRPr="00DA1F1C" w:rsidRDefault="00B725E3" w:rsidP="00EC12DE">
      <w:pPr>
        <w:pStyle w:val="ListParagraph"/>
        <w:numPr>
          <w:ilvl w:val="2"/>
          <w:numId w:val="2"/>
        </w:numPr>
        <w:tabs>
          <w:tab w:val="clear" w:pos="2160"/>
          <w:tab w:val="num" w:pos="1440"/>
        </w:tabs>
        <w:spacing w:after="0" w:line="260" w:lineRule="exact"/>
        <w:ind w:left="1440"/>
        <w:rPr>
          <w:rFonts w:ascii="Franklin Gothic Book" w:hAnsi="Franklin Gothic Book"/>
        </w:rPr>
      </w:pPr>
      <w:r w:rsidRPr="00DA1F1C">
        <w:rPr>
          <w:rFonts w:ascii="Franklin Gothic Book" w:hAnsi="Franklin Gothic Book"/>
        </w:rPr>
        <w:t>50</w:t>
      </w:r>
      <w:r w:rsidR="00166A69" w:rsidRPr="00DA1F1C">
        <w:rPr>
          <w:rFonts w:ascii="Franklin Gothic Book" w:hAnsi="Franklin Gothic Book"/>
        </w:rPr>
        <w:t xml:space="preserve"> percent</w:t>
      </w:r>
      <w:r w:rsidRPr="00DA1F1C">
        <w:rPr>
          <w:rFonts w:ascii="Franklin Gothic Book" w:hAnsi="Franklin Gothic Book"/>
        </w:rPr>
        <w:t xml:space="preserve"> by 2030 below 2015 levels </w:t>
      </w:r>
    </w:p>
    <w:p w14:paraId="6B3D18F3" w14:textId="2D46A089" w:rsidR="00B725E3" w:rsidRPr="00DA1F1C" w:rsidRDefault="00DC418B" w:rsidP="00EC12DE">
      <w:pPr>
        <w:pStyle w:val="ListParagraph"/>
        <w:numPr>
          <w:ilvl w:val="1"/>
          <w:numId w:val="2"/>
        </w:numPr>
        <w:tabs>
          <w:tab w:val="clear" w:pos="1440"/>
          <w:tab w:val="num" w:pos="720"/>
        </w:tabs>
        <w:spacing w:after="0" w:line="260" w:lineRule="exact"/>
        <w:ind w:left="720"/>
        <w:rPr>
          <w:rFonts w:ascii="Franklin Gothic Book" w:hAnsi="Franklin Gothic Book"/>
        </w:rPr>
      </w:pPr>
      <w:hyperlink r:id="rId136" w:history="1">
        <w:r w:rsidR="00B725E3" w:rsidRPr="00DA1F1C">
          <w:rPr>
            <w:rStyle w:val="Hyperlink"/>
            <w:rFonts w:ascii="Franklin Gothic Book" w:hAnsi="Franklin Gothic Book"/>
          </w:rPr>
          <w:t>Original Climate Action Plan</w:t>
        </w:r>
      </w:hyperlink>
      <w:r w:rsidR="000A076D">
        <w:rPr>
          <w:rStyle w:val="Hyperlink"/>
          <w:rFonts w:ascii="Franklin Gothic Book" w:hAnsi="Franklin Gothic Book"/>
        </w:rPr>
        <w:t xml:space="preserve">, </w:t>
      </w:r>
      <w:r w:rsidR="00B725E3" w:rsidRPr="00DA1F1C">
        <w:rPr>
          <w:rFonts w:ascii="Franklin Gothic Book" w:hAnsi="Franklin Gothic Book"/>
        </w:rPr>
        <w:t xml:space="preserve">2015 </w:t>
      </w:r>
    </w:p>
    <w:p w14:paraId="21F30A21" w14:textId="4D40BF4F" w:rsidR="00B725E3" w:rsidRPr="00DA1F1C" w:rsidRDefault="00B725E3" w:rsidP="00EC12DE">
      <w:pPr>
        <w:pStyle w:val="ListParagraph"/>
        <w:numPr>
          <w:ilvl w:val="2"/>
          <w:numId w:val="2"/>
        </w:numPr>
        <w:tabs>
          <w:tab w:val="clear" w:pos="2160"/>
          <w:tab w:val="num" w:pos="1440"/>
        </w:tabs>
        <w:spacing w:after="0" w:line="260" w:lineRule="exact"/>
        <w:ind w:left="1440"/>
        <w:rPr>
          <w:rFonts w:ascii="Franklin Gothic Book" w:hAnsi="Franklin Gothic Book"/>
        </w:rPr>
      </w:pPr>
      <w:r w:rsidRPr="00DA1F1C">
        <w:rPr>
          <w:rFonts w:ascii="Franklin Gothic Book" w:hAnsi="Franklin Gothic Book"/>
        </w:rPr>
        <w:t>20</w:t>
      </w:r>
      <w:r w:rsidR="00166A69" w:rsidRPr="00DA1F1C">
        <w:rPr>
          <w:rFonts w:ascii="Franklin Gothic Book" w:hAnsi="Franklin Gothic Book"/>
        </w:rPr>
        <w:t xml:space="preserve"> percent</w:t>
      </w:r>
      <w:r w:rsidRPr="00DA1F1C">
        <w:rPr>
          <w:rFonts w:ascii="Franklin Gothic Book" w:hAnsi="Franklin Gothic Book"/>
        </w:rPr>
        <w:t xml:space="preserve"> by 2020 below 2007 levels </w:t>
      </w:r>
    </w:p>
    <w:p w14:paraId="47F80740" w14:textId="77777777" w:rsidR="005A2261" w:rsidRPr="00DA1F1C" w:rsidRDefault="005A2261" w:rsidP="00DA1F1C">
      <w:pPr>
        <w:pStyle w:val="ListParagraph"/>
        <w:spacing w:after="0" w:line="260" w:lineRule="exact"/>
        <w:ind w:left="1440"/>
        <w:rPr>
          <w:rFonts w:ascii="Franklin Gothic Book" w:hAnsi="Franklin Gothic Book"/>
        </w:rPr>
      </w:pPr>
    </w:p>
    <w:p w14:paraId="4CA6261F" w14:textId="74BA8D21" w:rsidR="00EA5359" w:rsidRPr="008D49E5" w:rsidRDefault="00EA5359" w:rsidP="008D49E5">
      <w:pPr>
        <w:pStyle w:val="Level3Head-COG"/>
        <w:rPr>
          <w:sz w:val="34"/>
          <w:szCs w:val="34"/>
        </w:rPr>
      </w:pPr>
      <w:bookmarkStart w:id="51" w:name="_Toc49368801"/>
      <w:bookmarkStart w:id="52" w:name="_Toc49368877"/>
      <w:bookmarkStart w:id="53" w:name="_Toc49861405"/>
      <w:bookmarkStart w:id="54" w:name="_Toc50968698"/>
      <w:bookmarkStart w:id="55" w:name="_Toc51077687"/>
      <w:r>
        <w:t>City of Frederick</w:t>
      </w:r>
      <w:bookmarkEnd w:id="51"/>
      <w:bookmarkEnd w:id="52"/>
      <w:bookmarkEnd w:id="53"/>
      <w:bookmarkEnd w:id="54"/>
      <w:bookmarkEnd w:id="55"/>
      <w:r>
        <w:t xml:space="preserve">  </w:t>
      </w:r>
      <w:r w:rsidRPr="00B964D8">
        <w:t xml:space="preserve"> </w:t>
      </w:r>
    </w:p>
    <w:p w14:paraId="69EB6A9B" w14:textId="67B11FF0" w:rsidR="00B10E87" w:rsidRPr="00DA1F1C" w:rsidRDefault="00DC418B" w:rsidP="00EC12DE">
      <w:pPr>
        <w:pStyle w:val="ListParagraph"/>
        <w:numPr>
          <w:ilvl w:val="0"/>
          <w:numId w:val="2"/>
        </w:numPr>
        <w:tabs>
          <w:tab w:val="left" w:pos="720"/>
        </w:tabs>
        <w:spacing w:after="0" w:line="260" w:lineRule="exact"/>
        <w:rPr>
          <w:rFonts w:ascii="Franklin Gothic Book" w:hAnsi="Franklin Gothic Book"/>
        </w:rPr>
      </w:pPr>
      <w:hyperlink r:id="rId137" w:history="1">
        <w:r w:rsidR="00B10E87" w:rsidRPr="00DA1F1C">
          <w:rPr>
            <w:rStyle w:val="Hyperlink"/>
            <w:rFonts w:ascii="Franklin Gothic Book" w:hAnsi="Franklin Gothic Book"/>
          </w:rPr>
          <w:t>Climate Emergency Resolution</w:t>
        </w:r>
      </w:hyperlink>
      <w:r w:rsidR="000A076D">
        <w:rPr>
          <w:rStyle w:val="Hyperlink"/>
          <w:rFonts w:ascii="Franklin Gothic Book" w:hAnsi="Franklin Gothic Book"/>
        </w:rPr>
        <w:t xml:space="preserve">, </w:t>
      </w:r>
      <w:r w:rsidR="00B10E87" w:rsidRPr="00DA1F1C">
        <w:rPr>
          <w:rFonts w:ascii="Franklin Gothic Book" w:hAnsi="Franklin Gothic Book"/>
        </w:rPr>
        <w:t>2020</w:t>
      </w:r>
    </w:p>
    <w:p w14:paraId="0765B4F2" w14:textId="77777777" w:rsidR="00B10E87" w:rsidRPr="00DA1F1C" w:rsidRDefault="00B10E87" w:rsidP="00EC12DE">
      <w:pPr>
        <w:pStyle w:val="ListParagraph"/>
        <w:numPr>
          <w:ilvl w:val="1"/>
          <w:numId w:val="16"/>
        </w:numPr>
        <w:tabs>
          <w:tab w:val="clear" w:pos="1440"/>
        </w:tabs>
        <w:spacing w:after="0" w:line="260" w:lineRule="exact"/>
        <w:rPr>
          <w:rFonts w:ascii="Franklin Gothic Book" w:hAnsi="Franklin Gothic Book"/>
        </w:rPr>
      </w:pPr>
      <w:r w:rsidRPr="00DA1F1C">
        <w:rPr>
          <w:rFonts w:ascii="Franklin Gothic Book" w:hAnsi="Franklin Gothic Book"/>
        </w:rPr>
        <w:lastRenderedPageBreak/>
        <w:t>50 percent by 2030 below 2010 levels</w:t>
      </w:r>
    </w:p>
    <w:p w14:paraId="34A88E3C" w14:textId="4B620DBD" w:rsidR="00FC71DB" w:rsidRPr="00DA1F1C" w:rsidRDefault="00B10E87" w:rsidP="00EC12DE">
      <w:pPr>
        <w:pStyle w:val="ListParagraph"/>
        <w:numPr>
          <w:ilvl w:val="1"/>
          <w:numId w:val="16"/>
        </w:numPr>
        <w:tabs>
          <w:tab w:val="clear" w:pos="1440"/>
        </w:tabs>
        <w:spacing w:after="0" w:line="260" w:lineRule="exact"/>
        <w:rPr>
          <w:rFonts w:ascii="Franklin Gothic Book" w:hAnsi="Franklin Gothic Book"/>
        </w:rPr>
      </w:pPr>
      <w:r w:rsidRPr="00DA1F1C">
        <w:rPr>
          <w:rFonts w:ascii="Franklin Gothic Book" w:hAnsi="Franklin Gothic Book"/>
        </w:rPr>
        <w:t>100 percent by 2050</w:t>
      </w:r>
    </w:p>
    <w:p w14:paraId="0BB5EA00" w14:textId="65160FD0" w:rsidR="00FC71DB" w:rsidRPr="00DA1F1C" w:rsidRDefault="00FC71DB" w:rsidP="00DA1F1C">
      <w:pPr>
        <w:pStyle w:val="ListParagraph"/>
        <w:spacing w:after="0" w:line="260" w:lineRule="exact"/>
        <w:ind w:left="1440"/>
        <w:rPr>
          <w:rFonts w:ascii="Franklin Gothic Book" w:hAnsi="Franklin Gothic Book"/>
        </w:rPr>
      </w:pPr>
    </w:p>
    <w:p w14:paraId="5CDDA656" w14:textId="683FBE64" w:rsidR="00FC71DB" w:rsidRPr="00B73849" w:rsidRDefault="00FC71DB" w:rsidP="00FC71DB">
      <w:pPr>
        <w:pStyle w:val="Level3Head-COG"/>
        <w:rPr>
          <w:sz w:val="34"/>
          <w:szCs w:val="34"/>
        </w:rPr>
      </w:pPr>
      <w:bookmarkStart w:id="56" w:name="_Toc49368802"/>
      <w:bookmarkStart w:id="57" w:name="_Toc49368878"/>
      <w:bookmarkStart w:id="58" w:name="_Toc49861406"/>
      <w:bookmarkStart w:id="59" w:name="_Toc50968699"/>
      <w:bookmarkStart w:id="60" w:name="_Toc51077688"/>
      <w:r w:rsidRPr="00A66701">
        <w:t>City of greenbelt</w:t>
      </w:r>
      <w:bookmarkEnd w:id="56"/>
      <w:bookmarkEnd w:id="57"/>
      <w:bookmarkEnd w:id="58"/>
      <w:bookmarkEnd w:id="59"/>
      <w:bookmarkEnd w:id="60"/>
      <w:r>
        <w:t xml:space="preserve">  </w:t>
      </w:r>
      <w:r w:rsidRPr="00B964D8">
        <w:t xml:space="preserve"> </w:t>
      </w:r>
    </w:p>
    <w:p w14:paraId="73D77FC5" w14:textId="65EB35D8" w:rsidR="00B10E87" w:rsidRPr="00DA1F1C" w:rsidRDefault="00DC418B" w:rsidP="00EC12DE">
      <w:pPr>
        <w:pStyle w:val="ListParagraph"/>
        <w:numPr>
          <w:ilvl w:val="0"/>
          <w:numId w:val="2"/>
        </w:numPr>
        <w:tabs>
          <w:tab w:val="left" w:pos="720"/>
        </w:tabs>
        <w:spacing w:after="0" w:line="260" w:lineRule="exact"/>
        <w:rPr>
          <w:rFonts w:ascii="Franklin Gothic Book" w:hAnsi="Franklin Gothic Book"/>
        </w:rPr>
      </w:pPr>
      <w:hyperlink r:id="rId138" w:history="1">
        <w:r w:rsidR="00162213" w:rsidRPr="00DA1F1C">
          <w:rPr>
            <w:rStyle w:val="Hyperlink"/>
            <w:rFonts w:ascii="Franklin Gothic Book" w:hAnsi="Franklin Gothic Book"/>
          </w:rPr>
          <w:t>S</w:t>
        </w:r>
        <w:r w:rsidR="00B10E87" w:rsidRPr="00DA1F1C">
          <w:rPr>
            <w:rStyle w:val="Hyperlink"/>
            <w:rFonts w:ascii="Franklin Gothic Book" w:hAnsi="Franklin Gothic Book"/>
          </w:rPr>
          <w:t xml:space="preserve">ustainability </w:t>
        </w:r>
        <w:r w:rsidR="00162213" w:rsidRPr="00DA1F1C">
          <w:rPr>
            <w:rStyle w:val="Hyperlink"/>
            <w:rFonts w:ascii="Franklin Gothic Book" w:hAnsi="Franklin Gothic Book"/>
          </w:rPr>
          <w:t xml:space="preserve">Plan </w:t>
        </w:r>
        <w:r w:rsidR="00B10E87" w:rsidRPr="00DA1F1C">
          <w:rPr>
            <w:rStyle w:val="Hyperlink"/>
            <w:rFonts w:ascii="Franklin Gothic Book" w:hAnsi="Franklin Gothic Book"/>
          </w:rPr>
          <w:t>Framework</w:t>
        </w:r>
      </w:hyperlink>
      <w:r w:rsidR="000A076D">
        <w:rPr>
          <w:rStyle w:val="Hyperlink"/>
          <w:rFonts w:ascii="Franklin Gothic Book" w:hAnsi="Franklin Gothic Book"/>
        </w:rPr>
        <w:t xml:space="preserve">, </w:t>
      </w:r>
      <w:r w:rsidR="00B10E87" w:rsidRPr="00DA1F1C">
        <w:rPr>
          <w:rStyle w:val="Hyperlink"/>
          <w:rFonts w:ascii="Franklin Gothic Book" w:hAnsi="Franklin Gothic Book"/>
        </w:rPr>
        <w:t>2013</w:t>
      </w:r>
    </w:p>
    <w:p w14:paraId="2D4D9DAE" w14:textId="440C1CA1" w:rsidR="00B10E87" w:rsidRPr="00DA1F1C" w:rsidRDefault="00B10E87" w:rsidP="00EC12DE">
      <w:pPr>
        <w:pStyle w:val="ListParagraph"/>
        <w:numPr>
          <w:ilvl w:val="1"/>
          <w:numId w:val="17"/>
        </w:numPr>
        <w:spacing w:after="0" w:line="260" w:lineRule="exact"/>
        <w:rPr>
          <w:rFonts w:ascii="Franklin Gothic Book" w:hAnsi="Franklin Gothic Book"/>
        </w:rPr>
      </w:pPr>
      <w:r w:rsidRPr="00DA1F1C">
        <w:rPr>
          <w:rFonts w:ascii="Franklin Gothic Book" w:hAnsi="Franklin Gothic Book"/>
        </w:rPr>
        <w:t>Meet State of MD and COG goals (COG goals noted above and MD goal of 25 percent below 2006 levels by 2020)</w:t>
      </w:r>
    </w:p>
    <w:p w14:paraId="1FB3273B" w14:textId="77777777" w:rsidR="00E465B0" w:rsidRPr="00DA1F1C" w:rsidRDefault="00E465B0" w:rsidP="00DA1F1C">
      <w:pPr>
        <w:pStyle w:val="ListParagraph"/>
        <w:spacing w:after="0" w:line="260" w:lineRule="exact"/>
        <w:ind w:left="1440"/>
        <w:rPr>
          <w:rFonts w:ascii="Franklin Gothic Book" w:hAnsi="Franklin Gothic Book"/>
        </w:rPr>
      </w:pPr>
    </w:p>
    <w:p w14:paraId="692B844A" w14:textId="01A82B77" w:rsidR="00E465B0" w:rsidRPr="00B73849" w:rsidRDefault="00E465B0" w:rsidP="00E465B0">
      <w:pPr>
        <w:pStyle w:val="Level3Head-COG"/>
        <w:rPr>
          <w:sz w:val="34"/>
          <w:szCs w:val="34"/>
        </w:rPr>
      </w:pPr>
      <w:bookmarkStart w:id="61" w:name="_Toc49368803"/>
      <w:bookmarkStart w:id="62" w:name="_Toc49368879"/>
      <w:bookmarkStart w:id="63" w:name="_Toc49861407"/>
      <w:bookmarkStart w:id="64" w:name="_Toc50968700"/>
      <w:bookmarkStart w:id="65" w:name="_Toc51077689"/>
      <w:r w:rsidRPr="001D11A2">
        <w:t>City of Rockville</w:t>
      </w:r>
      <w:bookmarkEnd w:id="61"/>
      <w:bookmarkEnd w:id="62"/>
      <w:bookmarkEnd w:id="63"/>
      <w:bookmarkEnd w:id="64"/>
      <w:bookmarkEnd w:id="65"/>
      <w:r>
        <w:t xml:space="preserve">   </w:t>
      </w:r>
      <w:r w:rsidRPr="00B964D8">
        <w:t xml:space="preserve"> </w:t>
      </w:r>
    </w:p>
    <w:p w14:paraId="7CE6D65D" w14:textId="1160C674" w:rsidR="002C5EF0" w:rsidRPr="00A60FE2" w:rsidRDefault="00DC418B" w:rsidP="00EC12DE">
      <w:pPr>
        <w:pStyle w:val="ListParagraph"/>
        <w:numPr>
          <w:ilvl w:val="1"/>
          <w:numId w:val="18"/>
        </w:numPr>
        <w:tabs>
          <w:tab w:val="clear" w:pos="1440"/>
        </w:tabs>
        <w:spacing w:line="260" w:lineRule="exact"/>
        <w:ind w:left="720"/>
        <w:rPr>
          <w:rFonts w:ascii="Franklin Gothic Book" w:hAnsi="Franklin Gothic Book"/>
        </w:rPr>
      </w:pPr>
      <w:hyperlink r:id="rId139" w:history="1">
        <w:r w:rsidR="002C5EF0" w:rsidRPr="00A60FE2">
          <w:rPr>
            <w:rStyle w:val="Hyperlink"/>
            <w:rFonts w:ascii="Franklin Gothic Book" w:hAnsi="Franklin Gothic Book"/>
          </w:rPr>
          <w:t>Rockville 2040: Comprehensive Plan Update</w:t>
        </w:r>
      </w:hyperlink>
      <w:r w:rsidR="002C5EF0" w:rsidRPr="00A60FE2">
        <w:rPr>
          <w:rFonts w:ascii="Franklin Gothic Book" w:hAnsi="Franklin Gothic Book"/>
        </w:rPr>
        <w:t xml:space="preserve"> (DRAFT)</w:t>
      </w:r>
      <w:r w:rsidR="001D11A2">
        <w:rPr>
          <w:rFonts w:ascii="Franklin Gothic Book" w:hAnsi="Franklin Gothic Book"/>
        </w:rPr>
        <w:t xml:space="preserve">, </w:t>
      </w:r>
      <w:r w:rsidR="002C5EF0" w:rsidRPr="00A60FE2">
        <w:rPr>
          <w:rFonts w:ascii="Franklin Gothic Book" w:hAnsi="Franklin Gothic Book"/>
        </w:rPr>
        <w:t>2019</w:t>
      </w:r>
    </w:p>
    <w:p w14:paraId="3EBAB8ED" w14:textId="77777777" w:rsidR="002C5EF0" w:rsidRPr="00A60FE2" w:rsidRDefault="002C5EF0" w:rsidP="00EC12DE">
      <w:pPr>
        <w:pStyle w:val="ListParagraph"/>
        <w:numPr>
          <w:ilvl w:val="2"/>
          <w:numId w:val="18"/>
        </w:numPr>
        <w:tabs>
          <w:tab w:val="clear" w:pos="2160"/>
        </w:tabs>
        <w:spacing w:line="260" w:lineRule="exact"/>
        <w:ind w:left="1440"/>
        <w:rPr>
          <w:rFonts w:ascii="Franklin Gothic Book" w:hAnsi="Franklin Gothic Book"/>
        </w:rPr>
      </w:pPr>
      <w:r w:rsidRPr="00A60FE2">
        <w:rPr>
          <w:rFonts w:ascii="Franklin Gothic Book" w:hAnsi="Franklin Gothic Book"/>
        </w:rPr>
        <w:t>Meet mandated Maryland level of 40 percent below 2006 levels by 2030</w:t>
      </w:r>
    </w:p>
    <w:p w14:paraId="1C5541C7" w14:textId="124D3B22" w:rsidR="002C5EF0" w:rsidRPr="00A60FE2" w:rsidRDefault="00DC418B" w:rsidP="00EC12DE">
      <w:pPr>
        <w:pStyle w:val="ListParagraph"/>
        <w:numPr>
          <w:ilvl w:val="1"/>
          <w:numId w:val="18"/>
        </w:numPr>
        <w:tabs>
          <w:tab w:val="clear" w:pos="1440"/>
        </w:tabs>
        <w:spacing w:line="260" w:lineRule="exact"/>
        <w:ind w:left="720"/>
        <w:rPr>
          <w:rFonts w:ascii="Franklin Gothic Book" w:hAnsi="Franklin Gothic Book"/>
        </w:rPr>
      </w:pPr>
      <w:hyperlink r:id="rId140" w:history="1">
        <w:r w:rsidR="002C5EF0" w:rsidRPr="00A60FE2">
          <w:rPr>
            <w:rStyle w:val="Hyperlink"/>
            <w:rFonts w:ascii="Franklin Gothic Book" w:hAnsi="Franklin Gothic Book"/>
          </w:rPr>
          <w:t>Rockville Energy Action Plan</w:t>
        </w:r>
      </w:hyperlink>
      <w:r w:rsidR="001D11A2">
        <w:rPr>
          <w:rStyle w:val="Hyperlink"/>
          <w:rFonts w:ascii="Franklin Gothic Book" w:hAnsi="Franklin Gothic Book"/>
        </w:rPr>
        <w:t xml:space="preserve">, </w:t>
      </w:r>
      <w:r w:rsidR="002C5EF0" w:rsidRPr="00A60FE2">
        <w:rPr>
          <w:rFonts w:ascii="Franklin Gothic Book" w:hAnsi="Franklin Gothic Book"/>
        </w:rPr>
        <w:t>2013</w:t>
      </w:r>
    </w:p>
    <w:p w14:paraId="0DC9356E" w14:textId="30BE16DA" w:rsidR="002C5EF0" w:rsidRPr="00A60FE2" w:rsidRDefault="00DC418B" w:rsidP="00EC12DE">
      <w:pPr>
        <w:pStyle w:val="ListParagraph"/>
        <w:numPr>
          <w:ilvl w:val="1"/>
          <w:numId w:val="18"/>
        </w:numPr>
        <w:tabs>
          <w:tab w:val="clear" w:pos="1440"/>
        </w:tabs>
        <w:spacing w:line="260" w:lineRule="exact"/>
        <w:ind w:left="720"/>
        <w:rPr>
          <w:rFonts w:ascii="Franklin Gothic Book" w:hAnsi="Franklin Gothic Book"/>
        </w:rPr>
      </w:pPr>
      <w:hyperlink r:id="rId141" w:history="1">
        <w:r w:rsidR="002C5EF0" w:rsidRPr="00A60FE2">
          <w:rPr>
            <w:rStyle w:val="Hyperlink"/>
            <w:rFonts w:ascii="Franklin Gothic Book" w:hAnsi="Franklin Gothic Book"/>
          </w:rPr>
          <w:t>Strategy for a Sustainable Rockville</w:t>
        </w:r>
      </w:hyperlink>
      <w:r w:rsidR="001D11A2">
        <w:rPr>
          <w:rStyle w:val="Hyperlink"/>
          <w:rFonts w:ascii="Franklin Gothic Book" w:hAnsi="Franklin Gothic Book"/>
        </w:rPr>
        <w:t xml:space="preserve">, </w:t>
      </w:r>
      <w:r w:rsidR="002C5EF0" w:rsidRPr="00A60FE2">
        <w:rPr>
          <w:rFonts w:ascii="Franklin Gothic Book" w:hAnsi="Franklin Gothic Book"/>
        </w:rPr>
        <w:t>2007</w:t>
      </w:r>
    </w:p>
    <w:p w14:paraId="7B137108" w14:textId="2222205E" w:rsidR="002C5EF0" w:rsidRPr="00A60FE2" w:rsidRDefault="002C5EF0" w:rsidP="00EC12DE">
      <w:pPr>
        <w:pStyle w:val="ListParagraph"/>
        <w:numPr>
          <w:ilvl w:val="2"/>
          <w:numId w:val="18"/>
        </w:numPr>
        <w:tabs>
          <w:tab w:val="clear" w:pos="2160"/>
          <w:tab w:val="left" w:pos="1440"/>
        </w:tabs>
        <w:spacing w:after="0" w:line="260" w:lineRule="exact"/>
        <w:ind w:left="1440"/>
        <w:rPr>
          <w:rFonts w:ascii="Franklin Gothic Book" w:hAnsi="Franklin Gothic Book"/>
        </w:rPr>
      </w:pPr>
      <w:r w:rsidRPr="00A60FE2">
        <w:rPr>
          <w:rFonts w:ascii="Franklin Gothic Book" w:hAnsi="Franklin Gothic Book"/>
        </w:rPr>
        <w:t>Identifies Rockville as a signatory to the US Mayor’s Climate Protection Agreement. It is a commitment to meet or beat Kyoto protocols in their community (</w:t>
      </w:r>
      <w:r w:rsidR="001D11A2">
        <w:rPr>
          <w:rFonts w:ascii="Franklin Gothic Book" w:hAnsi="Franklin Gothic Book"/>
        </w:rPr>
        <w:t>e.g.</w:t>
      </w:r>
      <w:r w:rsidRPr="00A60FE2">
        <w:rPr>
          <w:rFonts w:ascii="Franklin Gothic Book" w:hAnsi="Franklin Gothic Book"/>
        </w:rPr>
        <w:t xml:space="preserve"> 7 percent below 1990 levels by 2012). </w:t>
      </w:r>
    </w:p>
    <w:p w14:paraId="63CE32D5" w14:textId="77777777" w:rsidR="00D6374C" w:rsidRPr="00F25162" w:rsidRDefault="00D6374C" w:rsidP="004E035C">
      <w:pPr>
        <w:pStyle w:val="Level3Head-COG"/>
        <w:spacing w:before="0"/>
        <w:contextualSpacing/>
        <w:rPr>
          <w:sz w:val="22"/>
          <w:szCs w:val="22"/>
        </w:rPr>
      </w:pPr>
    </w:p>
    <w:p w14:paraId="7633C27E" w14:textId="015C0764" w:rsidR="00D6374C" w:rsidRPr="00B73849" w:rsidRDefault="00D6374C" w:rsidP="00D6374C">
      <w:pPr>
        <w:pStyle w:val="Level3Head-COG"/>
        <w:rPr>
          <w:sz w:val="34"/>
          <w:szCs w:val="34"/>
        </w:rPr>
      </w:pPr>
      <w:bookmarkStart w:id="66" w:name="_Toc49368804"/>
      <w:bookmarkStart w:id="67" w:name="_Toc49368880"/>
      <w:bookmarkStart w:id="68" w:name="_Toc49861408"/>
      <w:bookmarkStart w:id="69" w:name="_Toc50968701"/>
      <w:bookmarkStart w:id="70" w:name="_Toc51077690"/>
      <w:r>
        <w:t>City of takoma park</w:t>
      </w:r>
      <w:bookmarkEnd w:id="66"/>
      <w:bookmarkEnd w:id="67"/>
      <w:bookmarkEnd w:id="68"/>
      <w:bookmarkEnd w:id="69"/>
      <w:bookmarkEnd w:id="70"/>
      <w:r>
        <w:t xml:space="preserve">    </w:t>
      </w:r>
      <w:r w:rsidRPr="00B964D8">
        <w:t xml:space="preserve"> </w:t>
      </w:r>
    </w:p>
    <w:p w14:paraId="57DDD416" w14:textId="78327CA7" w:rsidR="002C5EF0" w:rsidRPr="00D62526" w:rsidRDefault="00DC418B" w:rsidP="00EC12DE">
      <w:pPr>
        <w:pStyle w:val="ListParagraph"/>
        <w:numPr>
          <w:ilvl w:val="1"/>
          <w:numId w:val="18"/>
        </w:numPr>
        <w:tabs>
          <w:tab w:val="clear" w:pos="1440"/>
        </w:tabs>
        <w:autoSpaceDE w:val="0"/>
        <w:autoSpaceDN w:val="0"/>
        <w:adjustRightInd w:val="0"/>
        <w:spacing w:after="0" w:line="260" w:lineRule="exact"/>
        <w:ind w:left="720"/>
        <w:rPr>
          <w:rFonts w:ascii="Franklin Gothic Book" w:hAnsi="Franklin Gothic Book" w:cs="Arial"/>
        </w:rPr>
      </w:pPr>
      <w:hyperlink r:id="rId142" w:history="1">
        <w:r w:rsidR="002C5EF0" w:rsidRPr="00D62526">
          <w:rPr>
            <w:rStyle w:val="Hyperlink"/>
            <w:rFonts w:ascii="Franklin Gothic Book" w:hAnsi="Franklin Gothic Book" w:cs="Arial"/>
          </w:rPr>
          <w:t>Climate Emergency Resolution</w:t>
        </w:r>
      </w:hyperlink>
      <w:r w:rsidR="004E035C" w:rsidRPr="00D62526">
        <w:rPr>
          <w:rStyle w:val="Hyperlink"/>
          <w:rFonts w:ascii="Franklin Gothic Book" w:hAnsi="Franklin Gothic Book" w:cs="Arial"/>
        </w:rPr>
        <w:t xml:space="preserve">, </w:t>
      </w:r>
      <w:r w:rsidR="002C5EF0" w:rsidRPr="00D62526">
        <w:rPr>
          <w:rFonts w:ascii="Franklin Gothic Book" w:hAnsi="Franklin Gothic Book" w:cs="Arial"/>
        </w:rPr>
        <w:t>2019</w:t>
      </w:r>
      <w:r w:rsidR="004E035C" w:rsidRPr="00D62526">
        <w:rPr>
          <w:rFonts w:ascii="Franklin Gothic Book" w:hAnsi="Franklin Gothic Book" w:cs="Arial"/>
        </w:rPr>
        <w:t>,</w:t>
      </w:r>
      <w:r w:rsidR="002C5EF0" w:rsidRPr="00D62526">
        <w:rPr>
          <w:rFonts w:ascii="Franklin Gothic Book" w:hAnsi="Franklin Gothic Book" w:cs="Arial"/>
        </w:rPr>
        <w:t xml:space="preserve"> and </w:t>
      </w:r>
      <w:hyperlink r:id="rId143" w:history="1">
        <w:r w:rsidR="002C5EF0" w:rsidRPr="00D62526">
          <w:rPr>
            <w:rStyle w:val="Hyperlink"/>
            <w:rFonts w:ascii="Franklin Gothic Book" w:hAnsi="Franklin Gothic Book" w:cs="Arial"/>
          </w:rPr>
          <w:t>Resolution on 2020 Climate Emergency Response Framework</w:t>
        </w:r>
      </w:hyperlink>
      <w:r w:rsidR="002C5EF0" w:rsidRPr="00D62526">
        <w:rPr>
          <w:rFonts w:ascii="Franklin Gothic Book" w:hAnsi="Franklin Gothic Book" w:cs="Arial"/>
        </w:rPr>
        <w:t xml:space="preserve"> – From Nuclear Free to Fossil Fuel Free to Build a Healthy and Livable Community for All </w:t>
      </w:r>
    </w:p>
    <w:p w14:paraId="741E2F26" w14:textId="77777777" w:rsidR="002C5EF0" w:rsidRPr="00D62526" w:rsidRDefault="002C5EF0" w:rsidP="00EC12DE">
      <w:pPr>
        <w:pStyle w:val="ListParagraph"/>
        <w:numPr>
          <w:ilvl w:val="2"/>
          <w:numId w:val="18"/>
        </w:numPr>
        <w:tabs>
          <w:tab w:val="clear" w:pos="2160"/>
        </w:tabs>
        <w:autoSpaceDE w:val="0"/>
        <w:autoSpaceDN w:val="0"/>
        <w:adjustRightInd w:val="0"/>
        <w:spacing w:after="0" w:line="260" w:lineRule="exact"/>
        <w:ind w:left="1440"/>
        <w:rPr>
          <w:rFonts w:ascii="Franklin Gothic Book" w:hAnsi="Franklin Gothic Book" w:cs="Arial"/>
        </w:rPr>
      </w:pPr>
      <w:r w:rsidRPr="00D62526">
        <w:rPr>
          <w:rFonts w:ascii="Franklin Gothic Book" w:hAnsi="Franklin Gothic Book" w:cs="Arial"/>
        </w:rPr>
        <w:t>Zero GHG emissions by 2035</w:t>
      </w:r>
    </w:p>
    <w:p w14:paraId="4503B8DE" w14:textId="37417DD8" w:rsidR="002C5EF0" w:rsidRPr="00D62526" w:rsidRDefault="00DC418B" w:rsidP="00EC12DE">
      <w:pPr>
        <w:pStyle w:val="ListParagraph"/>
        <w:numPr>
          <w:ilvl w:val="1"/>
          <w:numId w:val="18"/>
        </w:numPr>
        <w:tabs>
          <w:tab w:val="clear" w:pos="1440"/>
        </w:tabs>
        <w:autoSpaceDE w:val="0"/>
        <w:autoSpaceDN w:val="0"/>
        <w:adjustRightInd w:val="0"/>
        <w:spacing w:after="0" w:line="260" w:lineRule="exact"/>
        <w:ind w:left="720"/>
        <w:rPr>
          <w:rFonts w:ascii="Franklin Gothic Book" w:hAnsi="Franklin Gothic Book" w:cs="Arial"/>
        </w:rPr>
      </w:pPr>
      <w:hyperlink r:id="rId144" w:history="1">
        <w:r w:rsidR="002C5EF0" w:rsidRPr="00D62526">
          <w:rPr>
            <w:rStyle w:val="Hyperlink"/>
            <w:rFonts w:ascii="Franklin Gothic Book" w:hAnsi="Franklin Gothic Book"/>
          </w:rPr>
          <w:t>Sustainable Energy Action Plan</w:t>
        </w:r>
      </w:hyperlink>
      <w:r w:rsidR="004E035C" w:rsidRPr="00D62526">
        <w:rPr>
          <w:rStyle w:val="Hyperlink"/>
          <w:rFonts w:ascii="Franklin Gothic Book" w:hAnsi="Franklin Gothic Book"/>
        </w:rPr>
        <w:t xml:space="preserve">, </w:t>
      </w:r>
      <w:r w:rsidR="002C5EF0" w:rsidRPr="00D62526">
        <w:rPr>
          <w:rFonts w:ascii="Franklin Gothic Book" w:hAnsi="Franklin Gothic Book" w:cs="Arial"/>
        </w:rPr>
        <w:t>2014</w:t>
      </w:r>
    </w:p>
    <w:p w14:paraId="3AD8046D" w14:textId="77777777" w:rsidR="002C5EF0" w:rsidRPr="00D62526" w:rsidRDefault="002C5EF0" w:rsidP="00EC12DE">
      <w:pPr>
        <w:pStyle w:val="ListParagraph"/>
        <w:numPr>
          <w:ilvl w:val="2"/>
          <w:numId w:val="18"/>
        </w:numPr>
        <w:tabs>
          <w:tab w:val="clear" w:pos="2160"/>
        </w:tabs>
        <w:autoSpaceDE w:val="0"/>
        <w:autoSpaceDN w:val="0"/>
        <w:adjustRightInd w:val="0"/>
        <w:spacing w:after="0" w:line="260" w:lineRule="exact"/>
        <w:ind w:left="1440"/>
        <w:rPr>
          <w:rFonts w:ascii="Franklin Gothic Book" w:hAnsi="Franklin Gothic Book" w:cs="Arial"/>
        </w:rPr>
      </w:pPr>
      <w:r w:rsidRPr="00D62526">
        <w:rPr>
          <w:rFonts w:ascii="Franklin Gothic Book" w:hAnsi="Franklin Gothic Book"/>
        </w:rPr>
        <w:t>Does not establish new GHG goals but instead works towards being consistent with state, County, and COG plans.</w:t>
      </w:r>
    </w:p>
    <w:p w14:paraId="0C2E9308" w14:textId="64018EE1" w:rsidR="002C5EF0" w:rsidRPr="00D62526" w:rsidRDefault="00DC418B" w:rsidP="00EC12DE">
      <w:pPr>
        <w:pStyle w:val="ListParagraph"/>
        <w:numPr>
          <w:ilvl w:val="1"/>
          <w:numId w:val="18"/>
        </w:numPr>
        <w:tabs>
          <w:tab w:val="clear" w:pos="1440"/>
        </w:tabs>
        <w:autoSpaceDE w:val="0"/>
        <w:autoSpaceDN w:val="0"/>
        <w:adjustRightInd w:val="0"/>
        <w:spacing w:after="0" w:line="260" w:lineRule="exact"/>
        <w:ind w:left="720"/>
        <w:rPr>
          <w:rStyle w:val="Hyperlink"/>
          <w:rFonts w:ascii="Franklin Gothic Book" w:hAnsi="Franklin Gothic Book" w:cs="Arial"/>
        </w:rPr>
      </w:pPr>
      <w:hyperlink r:id="rId145" w:history="1">
        <w:r w:rsidR="002C5EF0" w:rsidRPr="00D62526">
          <w:rPr>
            <w:rStyle w:val="Hyperlink"/>
            <w:rFonts w:ascii="Franklin Gothic Book" w:hAnsi="Franklin Gothic Book"/>
          </w:rPr>
          <w:t>Local Action Plan for Reducing Greenhouse Gas Emissions</w:t>
        </w:r>
      </w:hyperlink>
      <w:r w:rsidR="004E035C" w:rsidRPr="00D62526">
        <w:rPr>
          <w:rStyle w:val="Hyperlink"/>
          <w:rFonts w:ascii="Franklin Gothic Book" w:hAnsi="Franklin Gothic Book"/>
        </w:rPr>
        <w:t xml:space="preserve">, </w:t>
      </w:r>
      <w:r w:rsidR="002C5EF0" w:rsidRPr="00D62526">
        <w:rPr>
          <w:rStyle w:val="Hyperlink"/>
          <w:rFonts w:ascii="Franklin Gothic Book" w:hAnsi="Franklin Gothic Book"/>
        </w:rPr>
        <w:t>2000</w:t>
      </w:r>
    </w:p>
    <w:p w14:paraId="71CB4DAE" w14:textId="77777777" w:rsidR="002C5EF0" w:rsidRPr="00D62526" w:rsidRDefault="002C5EF0" w:rsidP="00EC12DE">
      <w:pPr>
        <w:pStyle w:val="ListParagraph"/>
        <w:numPr>
          <w:ilvl w:val="2"/>
          <w:numId w:val="6"/>
        </w:numPr>
        <w:tabs>
          <w:tab w:val="clear" w:pos="2160"/>
          <w:tab w:val="num" w:pos="1440"/>
        </w:tabs>
        <w:autoSpaceDE w:val="0"/>
        <w:autoSpaceDN w:val="0"/>
        <w:adjustRightInd w:val="0"/>
        <w:spacing w:after="0" w:line="260" w:lineRule="exact"/>
        <w:ind w:left="1440"/>
        <w:rPr>
          <w:rFonts w:ascii="Franklin Gothic Book" w:hAnsi="Franklin Gothic Book" w:cs="Arial"/>
        </w:rPr>
      </w:pPr>
      <w:r w:rsidRPr="00D62526">
        <w:rPr>
          <w:rFonts w:ascii="Franklin Gothic Book" w:hAnsi="Franklin Gothic Book" w:cs="Arial"/>
        </w:rPr>
        <w:t>Reduce CO</w:t>
      </w:r>
      <w:r w:rsidRPr="00D62526">
        <w:rPr>
          <w:rFonts w:ascii="Franklin Gothic Book" w:hAnsi="Franklin Gothic Book" w:cs="Arial"/>
          <w:vertAlign w:val="subscript"/>
        </w:rPr>
        <w:t>2</w:t>
      </w:r>
      <w:r w:rsidRPr="00D62526">
        <w:rPr>
          <w:rFonts w:ascii="Franklin Gothic Book" w:hAnsi="Franklin Gothic Book" w:cs="Arial"/>
        </w:rPr>
        <w:t xml:space="preserve"> emissions in 80 percent below 1990 levels by 2010.</w:t>
      </w:r>
    </w:p>
    <w:p w14:paraId="2B3CAC04" w14:textId="77777777" w:rsidR="00800C70" w:rsidRPr="00F25162" w:rsidRDefault="00800C70" w:rsidP="00D62526">
      <w:pPr>
        <w:pStyle w:val="Level3Head-COG"/>
        <w:spacing w:before="0"/>
        <w:ind w:left="720"/>
        <w:contextualSpacing/>
        <w:rPr>
          <w:rFonts w:ascii="Franklin Gothic Book" w:hAnsi="Franklin Gothic Book"/>
          <w:sz w:val="22"/>
          <w:szCs w:val="22"/>
        </w:rPr>
      </w:pPr>
    </w:p>
    <w:p w14:paraId="06778A03" w14:textId="6FCCC388" w:rsidR="00800C70" w:rsidRPr="00B73849" w:rsidRDefault="00800C70" w:rsidP="00800C70">
      <w:pPr>
        <w:pStyle w:val="Level3Head-COG"/>
        <w:tabs>
          <w:tab w:val="left" w:pos="0"/>
        </w:tabs>
        <w:rPr>
          <w:sz w:val="34"/>
          <w:szCs w:val="34"/>
        </w:rPr>
      </w:pPr>
      <w:bookmarkStart w:id="71" w:name="_Toc49368805"/>
      <w:bookmarkStart w:id="72" w:name="_Toc49368881"/>
      <w:bookmarkStart w:id="73" w:name="_Toc49861409"/>
      <w:bookmarkStart w:id="74" w:name="_Toc50968702"/>
      <w:bookmarkStart w:id="75" w:name="_Toc51077691"/>
      <w:r>
        <w:t>frederick county</w:t>
      </w:r>
      <w:bookmarkEnd w:id="71"/>
      <w:bookmarkEnd w:id="72"/>
      <w:bookmarkEnd w:id="73"/>
      <w:bookmarkEnd w:id="74"/>
      <w:bookmarkEnd w:id="75"/>
      <w:r>
        <w:t xml:space="preserve">    </w:t>
      </w:r>
      <w:r w:rsidRPr="00B964D8">
        <w:t xml:space="preserve"> </w:t>
      </w:r>
    </w:p>
    <w:p w14:paraId="1F95BFBA" w14:textId="7E83AD5F" w:rsidR="00B725E3" w:rsidRPr="00A60FE2" w:rsidRDefault="00DC418B" w:rsidP="00EC12DE">
      <w:pPr>
        <w:pStyle w:val="ListParagraph"/>
        <w:numPr>
          <w:ilvl w:val="1"/>
          <w:numId w:val="18"/>
        </w:numPr>
        <w:tabs>
          <w:tab w:val="clear" w:pos="1440"/>
        </w:tabs>
        <w:spacing w:after="0" w:line="260" w:lineRule="exact"/>
        <w:ind w:left="720"/>
        <w:rPr>
          <w:rFonts w:ascii="Franklin Gothic Book" w:hAnsi="Franklin Gothic Book"/>
        </w:rPr>
      </w:pPr>
      <w:hyperlink r:id="rId146" w:history="1">
        <w:r w:rsidR="00B725E3" w:rsidRPr="00A60FE2">
          <w:rPr>
            <w:rStyle w:val="Hyperlink"/>
            <w:rFonts w:ascii="Franklin Gothic Book" w:hAnsi="Franklin Gothic Book"/>
          </w:rPr>
          <w:t>Climate Emergency Resolution</w:t>
        </w:r>
      </w:hyperlink>
      <w:r w:rsidR="00D62526">
        <w:rPr>
          <w:rStyle w:val="Hyperlink"/>
          <w:rFonts w:ascii="Franklin Gothic Book" w:hAnsi="Franklin Gothic Book"/>
        </w:rPr>
        <w:t xml:space="preserve">, </w:t>
      </w:r>
      <w:r w:rsidR="00B725E3" w:rsidRPr="00A60FE2">
        <w:rPr>
          <w:rFonts w:ascii="Franklin Gothic Book" w:hAnsi="Franklin Gothic Book"/>
        </w:rPr>
        <w:t>2020</w:t>
      </w:r>
    </w:p>
    <w:p w14:paraId="4EE901E2" w14:textId="72CD2C5D" w:rsidR="00B725E3" w:rsidRPr="00A60FE2" w:rsidRDefault="00B725E3" w:rsidP="00EC12DE">
      <w:pPr>
        <w:pStyle w:val="ListParagraph"/>
        <w:numPr>
          <w:ilvl w:val="2"/>
          <w:numId w:val="18"/>
        </w:numPr>
        <w:tabs>
          <w:tab w:val="clear" w:pos="2160"/>
        </w:tabs>
        <w:spacing w:after="0" w:line="260" w:lineRule="exact"/>
        <w:ind w:left="1440"/>
        <w:rPr>
          <w:rFonts w:ascii="Franklin Gothic Book" w:hAnsi="Franklin Gothic Book"/>
        </w:rPr>
      </w:pPr>
      <w:r w:rsidRPr="00A60FE2">
        <w:rPr>
          <w:rFonts w:ascii="Franklin Gothic Book" w:hAnsi="Franklin Gothic Book"/>
        </w:rPr>
        <w:t>50</w:t>
      </w:r>
      <w:r w:rsidR="00166A69" w:rsidRPr="00A60FE2">
        <w:rPr>
          <w:rFonts w:ascii="Franklin Gothic Book" w:hAnsi="Franklin Gothic Book"/>
        </w:rPr>
        <w:t xml:space="preserve"> percent</w:t>
      </w:r>
      <w:r w:rsidRPr="00A60FE2">
        <w:rPr>
          <w:rFonts w:ascii="Franklin Gothic Book" w:hAnsi="Franklin Gothic Book"/>
        </w:rPr>
        <w:t xml:space="preserve"> from 2010 levels by 2030</w:t>
      </w:r>
    </w:p>
    <w:p w14:paraId="5BFA2799" w14:textId="60287B2C" w:rsidR="00B725E3" w:rsidRPr="00A60FE2" w:rsidRDefault="00B725E3" w:rsidP="00EC12DE">
      <w:pPr>
        <w:pStyle w:val="ListParagraph"/>
        <w:numPr>
          <w:ilvl w:val="2"/>
          <w:numId w:val="18"/>
        </w:numPr>
        <w:tabs>
          <w:tab w:val="clear" w:pos="2160"/>
        </w:tabs>
        <w:spacing w:after="0" w:line="260" w:lineRule="exact"/>
        <w:ind w:left="1440"/>
        <w:rPr>
          <w:rFonts w:ascii="Franklin Gothic Book" w:hAnsi="Franklin Gothic Book"/>
        </w:rPr>
      </w:pPr>
      <w:r w:rsidRPr="00A60FE2">
        <w:rPr>
          <w:rFonts w:ascii="Franklin Gothic Book" w:hAnsi="Franklin Gothic Book"/>
        </w:rPr>
        <w:t>100</w:t>
      </w:r>
      <w:r w:rsidR="00166A69" w:rsidRPr="00A60FE2">
        <w:rPr>
          <w:rFonts w:ascii="Franklin Gothic Book" w:hAnsi="Franklin Gothic Book"/>
        </w:rPr>
        <w:t xml:space="preserve"> percent</w:t>
      </w:r>
      <w:r w:rsidRPr="00A60FE2">
        <w:rPr>
          <w:rFonts w:ascii="Franklin Gothic Book" w:hAnsi="Franklin Gothic Book"/>
        </w:rPr>
        <w:t xml:space="preserve"> by 2050</w:t>
      </w:r>
    </w:p>
    <w:p w14:paraId="26CDF306" w14:textId="0BD5B087" w:rsidR="00B725E3" w:rsidRPr="00A60FE2" w:rsidRDefault="00DC418B" w:rsidP="00EC12DE">
      <w:pPr>
        <w:pStyle w:val="ListParagraph"/>
        <w:numPr>
          <w:ilvl w:val="1"/>
          <w:numId w:val="18"/>
        </w:numPr>
        <w:tabs>
          <w:tab w:val="clear" w:pos="1440"/>
          <w:tab w:val="left" w:pos="720"/>
        </w:tabs>
        <w:spacing w:after="0" w:line="260" w:lineRule="exact"/>
        <w:ind w:left="720"/>
        <w:rPr>
          <w:rFonts w:ascii="Franklin Gothic Book" w:hAnsi="Franklin Gothic Book"/>
        </w:rPr>
      </w:pPr>
      <w:hyperlink r:id="rId147" w:history="1">
        <w:r w:rsidR="00B725E3" w:rsidRPr="00A60FE2">
          <w:rPr>
            <w:rStyle w:val="Hyperlink"/>
            <w:rFonts w:ascii="Franklin Gothic Book" w:hAnsi="Franklin Gothic Book"/>
          </w:rPr>
          <w:t>Sustainable Frederick County</w:t>
        </w:r>
      </w:hyperlink>
      <w:r w:rsidR="00D62526">
        <w:rPr>
          <w:rStyle w:val="Hyperlink"/>
          <w:rFonts w:ascii="Franklin Gothic Book" w:hAnsi="Franklin Gothic Book"/>
        </w:rPr>
        <w:t xml:space="preserve">, </w:t>
      </w:r>
      <w:r w:rsidR="00B725E3" w:rsidRPr="00A60FE2">
        <w:rPr>
          <w:rFonts w:ascii="Franklin Gothic Book" w:hAnsi="Franklin Gothic Book"/>
        </w:rPr>
        <w:t xml:space="preserve">2017 </w:t>
      </w:r>
    </w:p>
    <w:p w14:paraId="45F0E9DF" w14:textId="5895965E" w:rsidR="00B725E3" w:rsidRPr="00A60FE2" w:rsidRDefault="00DC418B" w:rsidP="00EC12DE">
      <w:pPr>
        <w:pStyle w:val="ListParagraph"/>
        <w:numPr>
          <w:ilvl w:val="1"/>
          <w:numId w:val="18"/>
        </w:numPr>
        <w:tabs>
          <w:tab w:val="clear" w:pos="1440"/>
          <w:tab w:val="left" w:pos="720"/>
        </w:tabs>
        <w:spacing w:after="0" w:line="260" w:lineRule="exact"/>
        <w:ind w:left="720"/>
        <w:rPr>
          <w:rFonts w:ascii="Franklin Gothic Book" w:hAnsi="Franklin Gothic Book"/>
        </w:rPr>
      </w:pPr>
      <w:hyperlink r:id="rId148" w:history="1">
        <w:r w:rsidR="00B725E3" w:rsidRPr="00A60FE2">
          <w:rPr>
            <w:rStyle w:val="Hyperlink"/>
            <w:rFonts w:ascii="Franklin Gothic Book" w:hAnsi="Franklin Gothic Book"/>
          </w:rPr>
          <w:t>Sustainable Action Plan for County Operations</w:t>
        </w:r>
      </w:hyperlink>
      <w:r w:rsidR="00D62526">
        <w:rPr>
          <w:rStyle w:val="Hyperlink"/>
          <w:rFonts w:ascii="Franklin Gothic Book" w:hAnsi="Franklin Gothic Book"/>
        </w:rPr>
        <w:t xml:space="preserve">, </w:t>
      </w:r>
      <w:r w:rsidR="00B725E3" w:rsidRPr="00A60FE2">
        <w:rPr>
          <w:rFonts w:ascii="Franklin Gothic Book" w:hAnsi="Franklin Gothic Book"/>
        </w:rPr>
        <w:t>2011</w:t>
      </w:r>
    </w:p>
    <w:p w14:paraId="4648EECC" w14:textId="302FEA8B" w:rsidR="00B725E3" w:rsidRPr="00F9465E" w:rsidRDefault="00B725E3" w:rsidP="00EC12DE">
      <w:pPr>
        <w:pStyle w:val="ListParagraph"/>
        <w:numPr>
          <w:ilvl w:val="2"/>
          <w:numId w:val="3"/>
        </w:numPr>
        <w:tabs>
          <w:tab w:val="clear" w:pos="2160"/>
          <w:tab w:val="left" w:pos="1440"/>
        </w:tabs>
        <w:spacing w:after="0" w:line="260" w:lineRule="exact"/>
        <w:ind w:left="1440"/>
        <w:rPr>
          <w:rFonts w:ascii="Franklin Gothic Book" w:hAnsi="Franklin Gothic Book"/>
        </w:rPr>
      </w:pPr>
      <w:r w:rsidRPr="00F9465E">
        <w:rPr>
          <w:rFonts w:ascii="Franklin Gothic Book" w:hAnsi="Franklin Gothic Book"/>
        </w:rPr>
        <w:t>25</w:t>
      </w:r>
      <w:r w:rsidR="00CF79E4">
        <w:rPr>
          <w:rFonts w:ascii="Franklin Gothic Book" w:hAnsi="Franklin Gothic Book"/>
        </w:rPr>
        <w:t xml:space="preserve"> percent </w:t>
      </w:r>
      <w:r w:rsidRPr="00F9465E">
        <w:rPr>
          <w:rFonts w:ascii="Franklin Gothic Book" w:hAnsi="Franklin Gothic Book"/>
        </w:rPr>
        <w:t xml:space="preserve">reduction by 2025 below 2007 levels </w:t>
      </w:r>
    </w:p>
    <w:p w14:paraId="07ADED71" w14:textId="77777777" w:rsidR="00800C70" w:rsidRPr="00F25162" w:rsidRDefault="00800C70" w:rsidP="00D62526">
      <w:pPr>
        <w:pStyle w:val="Level3Head-COG"/>
        <w:tabs>
          <w:tab w:val="left" w:pos="0"/>
        </w:tabs>
        <w:spacing w:before="0"/>
        <w:contextualSpacing/>
        <w:rPr>
          <w:sz w:val="22"/>
          <w:szCs w:val="22"/>
        </w:rPr>
      </w:pPr>
    </w:p>
    <w:p w14:paraId="0A550EB3" w14:textId="65400554" w:rsidR="00800C70" w:rsidRPr="00B73849" w:rsidRDefault="00800C70" w:rsidP="00800C70">
      <w:pPr>
        <w:pStyle w:val="Level3Head-COG"/>
        <w:tabs>
          <w:tab w:val="left" w:pos="0"/>
        </w:tabs>
        <w:rPr>
          <w:sz w:val="34"/>
          <w:szCs w:val="34"/>
        </w:rPr>
      </w:pPr>
      <w:bookmarkStart w:id="76" w:name="_Toc49368806"/>
      <w:bookmarkStart w:id="77" w:name="_Toc49368882"/>
      <w:bookmarkStart w:id="78" w:name="_Toc49861410"/>
      <w:bookmarkStart w:id="79" w:name="_Toc50968703"/>
      <w:bookmarkStart w:id="80" w:name="_Toc51077692"/>
      <w:r>
        <w:t>montgomery county</w:t>
      </w:r>
      <w:bookmarkEnd w:id="76"/>
      <w:bookmarkEnd w:id="77"/>
      <w:bookmarkEnd w:id="78"/>
      <w:bookmarkEnd w:id="79"/>
      <w:bookmarkEnd w:id="80"/>
      <w:r>
        <w:t xml:space="preserve">    </w:t>
      </w:r>
      <w:r w:rsidRPr="00B964D8">
        <w:t xml:space="preserve"> </w:t>
      </w:r>
    </w:p>
    <w:p w14:paraId="324DE25D" w14:textId="76604560" w:rsidR="00B725E3" w:rsidRPr="00FE40CF" w:rsidRDefault="00DC418B" w:rsidP="00EC12DE">
      <w:pPr>
        <w:pStyle w:val="ListParagraph"/>
        <w:numPr>
          <w:ilvl w:val="1"/>
          <w:numId w:val="18"/>
        </w:numPr>
        <w:tabs>
          <w:tab w:val="clear" w:pos="1440"/>
          <w:tab w:val="left" w:pos="720"/>
        </w:tabs>
        <w:autoSpaceDE w:val="0"/>
        <w:autoSpaceDN w:val="0"/>
        <w:adjustRightInd w:val="0"/>
        <w:spacing w:after="0" w:line="260" w:lineRule="exact"/>
        <w:ind w:left="720"/>
        <w:rPr>
          <w:rFonts w:ascii="Franklin Gothic Book" w:hAnsi="Franklin Gothic Book"/>
        </w:rPr>
      </w:pPr>
      <w:hyperlink r:id="rId149" w:history="1">
        <w:r w:rsidR="00B725E3" w:rsidRPr="00FE40CF">
          <w:rPr>
            <w:rStyle w:val="Hyperlink"/>
            <w:rFonts w:ascii="Franklin Gothic Book" w:hAnsi="Franklin Gothic Book"/>
          </w:rPr>
          <w:t>Emergency Climate Mobilization Resolution</w:t>
        </w:r>
      </w:hyperlink>
      <w:r w:rsidR="00F171BE" w:rsidRPr="00FE40CF">
        <w:rPr>
          <w:rStyle w:val="Hyperlink"/>
          <w:rFonts w:ascii="Franklin Gothic Book" w:hAnsi="Franklin Gothic Book"/>
        </w:rPr>
        <w:t xml:space="preserve">, </w:t>
      </w:r>
      <w:r w:rsidR="00B725E3" w:rsidRPr="00FE40CF">
        <w:rPr>
          <w:rFonts w:ascii="Franklin Gothic Book" w:hAnsi="Franklin Gothic Book"/>
        </w:rPr>
        <w:t>2017</w:t>
      </w:r>
      <w:r w:rsidR="00F171BE" w:rsidRPr="00FE40CF">
        <w:rPr>
          <w:rFonts w:ascii="Franklin Gothic Book" w:hAnsi="Franklin Gothic Book"/>
        </w:rPr>
        <w:t>,</w:t>
      </w:r>
      <w:r w:rsidR="00B725E3" w:rsidRPr="00FE40CF">
        <w:rPr>
          <w:rFonts w:ascii="Franklin Gothic Book" w:hAnsi="Franklin Gothic Book"/>
        </w:rPr>
        <w:t xml:space="preserve"> and </w:t>
      </w:r>
      <w:hyperlink r:id="rId150" w:history="1">
        <w:r w:rsidR="00B725E3" w:rsidRPr="00FE40CF">
          <w:rPr>
            <w:rStyle w:val="Hyperlink"/>
            <w:rFonts w:ascii="Franklin Gothic Book" w:hAnsi="Franklin Gothic Book"/>
          </w:rPr>
          <w:t>Climate Mobilization Report</w:t>
        </w:r>
        <w:r w:rsidR="00F171BE" w:rsidRPr="00FE40CF">
          <w:rPr>
            <w:rStyle w:val="Hyperlink"/>
            <w:rFonts w:ascii="Franklin Gothic Book" w:hAnsi="Franklin Gothic Book"/>
          </w:rPr>
          <w:t xml:space="preserve">, </w:t>
        </w:r>
      </w:hyperlink>
      <w:r w:rsidR="00B725E3" w:rsidRPr="00FE40CF">
        <w:rPr>
          <w:rFonts w:ascii="Franklin Gothic Book" w:hAnsi="Franklin Gothic Book"/>
        </w:rPr>
        <w:t>2018</w:t>
      </w:r>
    </w:p>
    <w:p w14:paraId="70F1E87E" w14:textId="45405C5F" w:rsidR="00B725E3" w:rsidRPr="00FE40CF" w:rsidRDefault="00B725E3" w:rsidP="00EC12DE">
      <w:pPr>
        <w:pStyle w:val="ListParagraph"/>
        <w:numPr>
          <w:ilvl w:val="2"/>
          <w:numId w:val="18"/>
        </w:numPr>
        <w:tabs>
          <w:tab w:val="clear" w:pos="2160"/>
        </w:tabs>
        <w:autoSpaceDE w:val="0"/>
        <w:autoSpaceDN w:val="0"/>
        <w:adjustRightInd w:val="0"/>
        <w:spacing w:after="0" w:line="260" w:lineRule="exact"/>
        <w:ind w:left="1440"/>
        <w:rPr>
          <w:rFonts w:ascii="Franklin Gothic Book" w:hAnsi="Franklin Gothic Book"/>
        </w:rPr>
      </w:pPr>
      <w:r w:rsidRPr="00FE40CF">
        <w:rPr>
          <w:rFonts w:ascii="Franklin Gothic Book" w:hAnsi="Franklin Gothic Book"/>
        </w:rPr>
        <w:t>Reduce County GHG emissions to 80</w:t>
      </w:r>
      <w:r w:rsidR="00CF79E4" w:rsidRPr="00FE40CF">
        <w:rPr>
          <w:rFonts w:ascii="Franklin Gothic Book" w:hAnsi="Franklin Gothic Book"/>
        </w:rPr>
        <w:t xml:space="preserve"> percent</w:t>
      </w:r>
      <w:r w:rsidRPr="00FE40CF">
        <w:rPr>
          <w:rFonts w:ascii="Franklin Gothic Book" w:hAnsi="Franklin Gothic Book"/>
        </w:rPr>
        <w:t xml:space="preserve"> below 2005 levels by 2027 and to 100</w:t>
      </w:r>
      <w:r w:rsidR="00CF79E4" w:rsidRPr="00FE40CF">
        <w:rPr>
          <w:rFonts w:ascii="Franklin Gothic Book" w:hAnsi="Franklin Gothic Book"/>
        </w:rPr>
        <w:t xml:space="preserve"> percent</w:t>
      </w:r>
      <w:r w:rsidRPr="00FE40CF">
        <w:rPr>
          <w:rFonts w:ascii="Franklin Gothic Book" w:hAnsi="Franklin Gothic Book"/>
        </w:rPr>
        <w:t xml:space="preserve"> below 2005 levels by 2035.</w:t>
      </w:r>
    </w:p>
    <w:p w14:paraId="0B711A65" w14:textId="1BACF8D0" w:rsidR="00B725E3" w:rsidRPr="00FE40CF" w:rsidRDefault="00B725E3" w:rsidP="00EC12DE">
      <w:pPr>
        <w:pStyle w:val="ListParagraph"/>
        <w:numPr>
          <w:ilvl w:val="1"/>
          <w:numId w:val="18"/>
        </w:numPr>
        <w:tabs>
          <w:tab w:val="clear" w:pos="1440"/>
        </w:tabs>
        <w:autoSpaceDE w:val="0"/>
        <w:autoSpaceDN w:val="0"/>
        <w:adjustRightInd w:val="0"/>
        <w:spacing w:after="0" w:line="260" w:lineRule="exact"/>
        <w:ind w:left="720"/>
        <w:rPr>
          <w:rStyle w:val="Hyperlink"/>
          <w:rFonts w:ascii="Franklin Gothic Book" w:hAnsi="Franklin Gothic Book"/>
        </w:rPr>
      </w:pPr>
      <w:r w:rsidRPr="00FE40CF">
        <w:rPr>
          <w:rFonts w:ascii="Franklin Gothic Book" w:hAnsi="Franklin Gothic Book"/>
        </w:rPr>
        <w:fldChar w:fldCharType="begin"/>
      </w:r>
      <w:r w:rsidRPr="00FE40CF">
        <w:rPr>
          <w:rFonts w:ascii="Franklin Gothic Book" w:hAnsi="Franklin Gothic Book"/>
        </w:rPr>
        <w:instrText xml:space="preserve"> HYPERLINK "https://www.montgomerycountymd.gov/DEP/Resources/Files/ReportsandPublications/Sustainability/Working%20Group/Climate-Protection-Plan-Sustainable-Working-Group-09.pdf" </w:instrText>
      </w:r>
      <w:r w:rsidRPr="00FE40CF">
        <w:rPr>
          <w:rFonts w:ascii="Franklin Gothic Book" w:hAnsi="Franklin Gothic Book"/>
        </w:rPr>
        <w:fldChar w:fldCharType="separate"/>
      </w:r>
      <w:r w:rsidRPr="00FE40CF">
        <w:rPr>
          <w:rStyle w:val="Hyperlink"/>
          <w:rFonts w:ascii="Franklin Gothic Book" w:hAnsi="Franklin Gothic Book"/>
        </w:rPr>
        <w:t>Montgomery County Climate Protection Plan</w:t>
      </w:r>
      <w:r w:rsidR="00FE40CF" w:rsidRPr="00FE40CF">
        <w:rPr>
          <w:rStyle w:val="Hyperlink"/>
          <w:rFonts w:ascii="Franklin Gothic Book" w:hAnsi="Franklin Gothic Book"/>
        </w:rPr>
        <w:t xml:space="preserve">, </w:t>
      </w:r>
      <w:r w:rsidRPr="00FE40CF">
        <w:rPr>
          <w:rStyle w:val="Hyperlink"/>
          <w:rFonts w:ascii="Franklin Gothic Book" w:hAnsi="Franklin Gothic Book"/>
        </w:rPr>
        <w:t>2009</w:t>
      </w:r>
    </w:p>
    <w:p w14:paraId="0D0E4878" w14:textId="36799B62" w:rsidR="00B725E3" w:rsidRPr="00FE40CF" w:rsidRDefault="00B725E3" w:rsidP="00EC12DE">
      <w:pPr>
        <w:pStyle w:val="ListParagraph"/>
        <w:numPr>
          <w:ilvl w:val="2"/>
          <w:numId w:val="5"/>
        </w:numPr>
        <w:tabs>
          <w:tab w:val="clear" w:pos="2160"/>
          <w:tab w:val="left" w:pos="1440"/>
        </w:tabs>
        <w:autoSpaceDE w:val="0"/>
        <w:autoSpaceDN w:val="0"/>
        <w:adjustRightInd w:val="0"/>
        <w:spacing w:after="0" w:line="260" w:lineRule="exact"/>
        <w:ind w:left="1440"/>
        <w:rPr>
          <w:rFonts w:ascii="Franklin Gothic Book" w:hAnsi="Franklin Gothic Book"/>
        </w:rPr>
      </w:pPr>
      <w:r w:rsidRPr="00FE40CF">
        <w:rPr>
          <w:rFonts w:ascii="Franklin Gothic Book" w:hAnsi="Franklin Gothic Book"/>
        </w:rPr>
        <w:fldChar w:fldCharType="end"/>
      </w:r>
      <w:r w:rsidRPr="00FE40CF">
        <w:rPr>
          <w:rFonts w:ascii="Franklin Gothic Book" w:hAnsi="Franklin Gothic Book" w:cs="Arial"/>
        </w:rPr>
        <w:t>Reduce GHG emissions to 80</w:t>
      </w:r>
      <w:r w:rsidR="00CF79E4" w:rsidRPr="00FE40CF">
        <w:rPr>
          <w:rFonts w:ascii="Franklin Gothic Book" w:hAnsi="Franklin Gothic Book" w:cs="Arial"/>
        </w:rPr>
        <w:t xml:space="preserve"> percent</w:t>
      </w:r>
      <w:r w:rsidRPr="00FE40CF">
        <w:rPr>
          <w:rFonts w:ascii="Franklin Gothic Book" w:hAnsi="Franklin Gothic Book" w:cs="Arial"/>
        </w:rPr>
        <w:t xml:space="preserve"> below 2005 levels by 2050. </w:t>
      </w:r>
      <w:r w:rsidRPr="00FE40CF">
        <w:rPr>
          <w:rFonts w:ascii="Franklin Gothic Book" w:hAnsi="Franklin Gothic Book"/>
        </w:rPr>
        <w:t>Stop increasing County wide GHGs by 2010 and achieve 10</w:t>
      </w:r>
      <w:r w:rsidR="00CF79E4" w:rsidRPr="00FE40CF">
        <w:rPr>
          <w:rFonts w:ascii="Franklin Gothic Book" w:hAnsi="Franklin Gothic Book"/>
        </w:rPr>
        <w:t xml:space="preserve"> percent</w:t>
      </w:r>
      <w:r w:rsidRPr="00FE40CF">
        <w:rPr>
          <w:rFonts w:ascii="Franklin Gothic Book" w:hAnsi="Franklin Gothic Book"/>
        </w:rPr>
        <w:t xml:space="preserve"> reduction every 5 years through 2050. </w:t>
      </w:r>
    </w:p>
    <w:p w14:paraId="5B22DE51" w14:textId="03358381" w:rsidR="00B74EFC" w:rsidRDefault="00B74EFC" w:rsidP="00FE40CF">
      <w:pPr>
        <w:pStyle w:val="Level3Head-COG"/>
        <w:tabs>
          <w:tab w:val="left" w:pos="0"/>
        </w:tabs>
        <w:spacing w:before="0"/>
        <w:contextualSpacing/>
        <w:rPr>
          <w:rFonts w:ascii="Franklin Gothic Book" w:hAnsi="Franklin Gothic Book"/>
          <w:sz w:val="22"/>
          <w:szCs w:val="22"/>
        </w:rPr>
      </w:pPr>
    </w:p>
    <w:p w14:paraId="39F707DC" w14:textId="692D00E4" w:rsidR="00B74EFC" w:rsidRPr="00B73849" w:rsidRDefault="00B74EFC" w:rsidP="00B74EFC">
      <w:pPr>
        <w:pStyle w:val="Level3Head-COG"/>
        <w:tabs>
          <w:tab w:val="left" w:pos="0"/>
        </w:tabs>
        <w:rPr>
          <w:sz w:val="34"/>
          <w:szCs w:val="34"/>
        </w:rPr>
      </w:pPr>
      <w:bookmarkStart w:id="81" w:name="_Toc49368807"/>
      <w:bookmarkStart w:id="82" w:name="_Toc49368883"/>
      <w:bookmarkStart w:id="83" w:name="_Toc49861411"/>
      <w:bookmarkStart w:id="84" w:name="_Toc50968704"/>
      <w:bookmarkStart w:id="85" w:name="_Toc51077693"/>
      <w:r>
        <w:t>prince george’s county</w:t>
      </w:r>
      <w:bookmarkEnd w:id="81"/>
      <w:bookmarkEnd w:id="82"/>
      <w:bookmarkEnd w:id="83"/>
      <w:bookmarkEnd w:id="84"/>
      <w:bookmarkEnd w:id="85"/>
      <w:r>
        <w:t xml:space="preserve">    </w:t>
      </w:r>
      <w:r w:rsidRPr="00B964D8">
        <w:t xml:space="preserve"> </w:t>
      </w:r>
    </w:p>
    <w:p w14:paraId="09819D34" w14:textId="3BE58959" w:rsidR="00B725E3" w:rsidRPr="00A60FE2" w:rsidRDefault="00B725E3" w:rsidP="00EC12DE">
      <w:pPr>
        <w:pStyle w:val="ListParagraph"/>
        <w:numPr>
          <w:ilvl w:val="1"/>
          <w:numId w:val="18"/>
        </w:numPr>
        <w:tabs>
          <w:tab w:val="clear" w:pos="1440"/>
        </w:tabs>
        <w:spacing w:after="0" w:line="260" w:lineRule="exact"/>
        <w:ind w:left="720"/>
        <w:rPr>
          <w:rFonts w:ascii="Franklin Gothic Book" w:hAnsi="Franklin Gothic Book"/>
        </w:rPr>
      </w:pPr>
      <w:r w:rsidRPr="00A60FE2">
        <w:rPr>
          <w:rFonts w:ascii="Franklin Gothic Book" w:hAnsi="Franklin Gothic Book" w:cs="Arial"/>
          <w:shd w:val="clear" w:color="auto" w:fill="FFFFFF"/>
        </w:rPr>
        <w:t>80</w:t>
      </w:r>
      <w:r w:rsidR="00CF79E4" w:rsidRPr="00A60FE2">
        <w:rPr>
          <w:rFonts w:ascii="Franklin Gothic Book" w:hAnsi="Franklin Gothic Book" w:cs="Arial"/>
          <w:shd w:val="clear" w:color="auto" w:fill="FFFFFF"/>
        </w:rPr>
        <w:t xml:space="preserve"> percent</w:t>
      </w:r>
      <w:r w:rsidRPr="00A60FE2">
        <w:rPr>
          <w:rFonts w:ascii="Franklin Gothic Book" w:hAnsi="Franklin Gothic Book" w:cs="Arial"/>
          <w:shd w:val="clear" w:color="auto" w:fill="FFFFFF"/>
        </w:rPr>
        <w:t xml:space="preserve"> below 2008 levels by 2050</w:t>
      </w:r>
    </w:p>
    <w:p w14:paraId="3CF8D323" w14:textId="77777777" w:rsidR="00B74EFC" w:rsidRPr="00983927" w:rsidRDefault="00B74EFC" w:rsidP="00983927">
      <w:pPr>
        <w:pStyle w:val="Level3Head-COG"/>
        <w:tabs>
          <w:tab w:val="left" w:pos="0"/>
        </w:tabs>
        <w:spacing w:before="0"/>
        <w:rPr>
          <w:sz w:val="22"/>
          <w:szCs w:val="22"/>
        </w:rPr>
      </w:pPr>
    </w:p>
    <w:p w14:paraId="7810CEAA" w14:textId="37F49717" w:rsidR="00B74EFC" w:rsidRPr="001541EC" w:rsidRDefault="00B74EFC" w:rsidP="001541EC">
      <w:pPr>
        <w:pStyle w:val="Level3Head-COG"/>
        <w:tabs>
          <w:tab w:val="left" w:pos="0"/>
        </w:tabs>
        <w:rPr>
          <w:sz w:val="34"/>
          <w:szCs w:val="34"/>
        </w:rPr>
      </w:pPr>
      <w:bookmarkStart w:id="86" w:name="_Toc49368808"/>
      <w:bookmarkStart w:id="87" w:name="_Toc49368884"/>
      <w:bookmarkStart w:id="88" w:name="_Toc49861412"/>
      <w:bookmarkStart w:id="89" w:name="_Toc50968705"/>
      <w:bookmarkStart w:id="90" w:name="_Toc51077694"/>
      <w:r>
        <w:t>Washington Suburban sanitary commission (wssc)</w:t>
      </w:r>
      <w:bookmarkEnd w:id="86"/>
      <w:bookmarkEnd w:id="87"/>
      <w:bookmarkEnd w:id="88"/>
      <w:bookmarkEnd w:id="89"/>
      <w:bookmarkEnd w:id="90"/>
      <w:r>
        <w:t xml:space="preserve">     </w:t>
      </w:r>
      <w:r w:rsidRPr="00B964D8">
        <w:t xml:space="preserve"> </w:t>
      </w:r>
    </w:p>
    <w:p w14:paraId="642F833F" w14:textId="4D3AF966" w:rsidR="00B725E3" w:rsidRPr="001541EC" w:rsidRDefault="00DC418B" w:rsidP="00EC12DE">
      <w:pPr>
        <w:pStyle w:val="ListParagraph"/>
        <w:numPr>
          <w:ilvl w:val="1"/>
          <w:numId w:val="6"/>
        </w:numPr>
        <w:tabs>
          <w:tab w:val="clear" w:pos="1440"/>
          <w:tab w:val="num" w:pos="720"/>
        </w:tabs>
        <w:spacing w:after="0" w:line="260" w:lineRule="exact"/>
        <w:ind w:left="720"/>
        <w:rPr>
          <w:rFonts w:ascii="Franklin Gothic Book" w:hAnsi="Franklin Gothic Book"/>
        </w:rPr>
      </w:pPr>
      <w:hyperlink r:id="rId151" w:history="1">
        <w:r w:rsidR="00B725E3" w:rsidRPr="001541EC">
          <w:rPr>
            <w:rStyle w:val="Hyperlink"/>
            <w:rFonts w:ascii="Franklin Gothic Book" w:hAnsi="Franklin Gothic Book"/>
          </w:rPr>
          <w:t>GHG Action Plan</w:t>
        </w:r>
      </w:hyperlink>
      <w:r w:rsidR="001541EC" w:rsidRPr="001541EC">
        <w:rPr>
          <w:rFonts w:ascii="Franklin Gothic Book" w:hAnsi="Franklin Gothic Book"/>
        </w:rPr>
        <w:t>, o</w:t>
      </w:r>
      <w:r w:rsidR="00B725E3" w:rsidRPr="001541EC">
        <w:rPr>
          <w:rFonts w:ascii="Franklin Gothic Book" w:hAnsi="Franklin Gothic Book"/>
        </w:rPr>
        <w:t>riginally adopted in 2012, latest update is 2018</w:t>
      </w:r>
    </w:p>
    <w:p w14:paraId="0DCAEE51" w14:textId="77777777" w:rsidR="00B725E3" w:rsidRPr="001541EC" w:rsidRDefault="00B725E3" w:rsidP="00EC12DE">
      <w:pPr>
        <w:pStyle w:val="ListParagraph"/>
        <w:numPr>
          <w:ilvl w:val="2"/>
          <w:numId w:val="6"/>
        </w:numPr>
        <w:tabs>
          <w:tab w:val="clear" w:pos="2160"/>
          <w:tab w:val="num" w:pos="1440"/>
        </w:tabs>
        <w:spacing w:after="0" w:line="260" w:lineRule="exact"/>
        <w:ind w:left="1440"/>
        <w:rPr>
          <w:rFonts w:ascii="Franklin Gothic Book" w:hAnsi="Franklin Gothic Book"/>
        </w:rPr>
      </w:pPr>
      <w:r w:rsidRPr="001541EC">
        <w:rPr>
          <w:rFonts w:ascii="Franklin Gothic Book" w:hAnsi="Franklin Gothic Book"/>
        </w:rPr>
        <w:t>10 percent reduction in emissions every 5 years through 2050, for a total reduction of 80 percent below the baseline year of 2005</w:t>
      </w:r>
    </w:p>
    <w:p w14:paraId="3D255884" w14:textId="77777777" w:rsidR="00B725E3" w:rsidRPr="001541EC" w:rsidRDefault="00B725E3" w:rsidP="00EC12DE">
      <w:pPr>
        <w:pStyle w:val="ListParagraph"/>
        <w:numPr>
          <w:ilvl w:val="2"/>
          <w:numId w:val="6"/>
        </w:numPr>
        <w:tabs>
          <w:tab w:val="clear" w:pos="2160"/>
          <w:tab w:val="num" w:pos="1440"/>
        </w:tabs>
        <w:spacing w:after="0" w:line="260" w:lineRule="exact"/>
        <w:ind w:left="1440"/>
        <w:rPr>
          <w:rFonts w:ascii="Franklin Gothic Book" w:hAnsi="Franklin Gothic Book"/>
        </w:rPr>
      </w:pPr>
      <w:r w:rsidRPr="001541EC">
        <w:rPr>
          <w:rFonts w:ascii="Franklin Gothic Book" w:hAnsi="Franklin Gothic Book"/>
        </w:rPr>
        <w:t xml:space="preserve">Adopted these to be consistent with the Montgomery County, Prince George’s County and COG goals. </w:t>
      </w:r>
    </w:p>
    <w:p w14:paraId="5CC1978B" w14:textId="2BED7A17" w:rsidR="00B725E3" w:rsidRPr="001541EC" w:rsidRDefault="00E96529" w:rsidP="00E96529">
      <w:pPr>
        <w:tabs>
          <w:tab w:val="left" w:pos="1440"/>
        </w:tabs>
        <w:spacing w:line="260" w:lineRule="exact"/>
        <w:contextualSpacing/>
        <w:rPr>
          <w:rFonts w:ascii="Franklin Gothic Book" w:hAnsi="Franklin Gothic Book"/>
          <w:b/>
          <w:sz w:val="22"/>
          <w:szCs w:val="22"/>
        </w:rPr>
      </w:pPr>
      <w:r>
        <w:rPr>
          <w:rFonts w:ascii="Franklin Gothic Book" w:hAnsi="Franklin Gothic Book"/>
          <w:b/>
          <w:sz w:val="22"/>
          <w:szCs w:val="22"/>
        </w:rPr>
        <w:tab/>
      </w:r>
    </w:p>
    <w:p w14:paraId="59028E1D" w14:textId="4C0CBF72" w:rsidR="00076003" w:rsidRDefault="00076003" w:rsidP="00076003">
      <w:pPr>
        <w:pStyle w:val="Level2Head-COG"/>
        <w:outlineLvl w:val="0"/>
      </w:pPr>
      <w:bookmarkStart w:id="91" w:name="_Toc49368809"/>
      <w:bookmarkStart w:id="92" w:name="_Toc49368885"/>
      <w:bookmarkStart w:id="93" w:name="_Toc49861413"/>
      <w:bookmarkStart w:id="94" w:name="_Toc50968706"/>
      <w:bookmarkStart w:id="95" w:name="_Toc51077695"/>
      <w:r>
        <w:t>Virginia</w:t>
      </w:r>
      <w:bookmarkEnd w:id="91"/>
      <w:bookmarkEnd w:id="92"/>
      <w:bookmarkEnd w:id="93"/>
      <w:bookmarkEnd w:id="94"/>
      <w:bookmarkEnd w:id="95"/>
      <w:r>
        <w:t xml:space="preserve"> </w:t>
      </w:r>
    </w:p>
    <w:p w14:paraId="1A3DEF42" w14:textId="18B592B6" w:rsidR="00B74EFC" w:rsidRPr="00B73849" w:rsidRDefault="00B74EFC" w:rsidP="00B74EFC">
      <w:pPr>
        <w:pStyle w:val="Level3Head-COG"/>
        <w:tabs>
          <w:tab w:val="left" w:pos="0"/>
        </w:tabs>
        <w:rPr>
          <w:sz w:val="34"/>
          <w:szCs w:val="34"/>
        </w:rPr>
      </w:pPr>
      <w:bookmarkStart w:id="96" w:name="_Toc49368810"/>
      <w:bookmarkStart w:id="97" w:name="_Toc49368886"/>
      <w:bookmarkStart w:id="98" w:name="_Toc49861414"/>
      <w:bookmarkStart w:id="99" w:name="_Toc50968707"/>
      <w:bookmarkStart w:id="100" w:name="_Toc51077696"/>
      <w:r>
        <w:t>arlington county</w:t>
      </w:r>
      <w:bookmarkEnd w:id="96"/>
      <w:bookmarkEnd w:id="97"/>
      <w:bookmarkEnd w:id="98"/>
      <w:bookmarkEnd w:id="99"/>
      <w:bookmarkEnd w:id="100"/>
      <w:r>
        <w:t xml:space="preserve">    </w:t>
      </w:r>
      <w:r w:rsidRPr="00B964D8">
        <w:t xml:space="preserve"> </w:t>
      </w:r>
    </w:p>
    <w:p w14:paraId="77B3739F" w14:textId="4820272E" w:rsidR="00606720" w:rsidRPr="00ED1D8A" w:rsidRDefault="00DC418B" w:rsidP="00EC12DE">
      <w:pPr>
        <w:pStyle w:val="ListParagraph"/>
        <w:numPr>
          <w:ilvl w:val="1"/>
          <w:numId w:val="18"/>
        </w:numPr>
        <w:tabs>
          <w:tab w:val="clear" w:pos="1440"/>
          <w:tab w:val="left" w:pos="720"/>
        </w:tabs>
        <w:autoSpaceDE w:val="0"/>
        <w:autoSpaceDN w:val="0"/>
        <w:adjustRightInd w:val="0"/>
        <w:spacing w:after="0" w:line="260" w:lineRule="exact"/>
        <w:ind w:left="720"/>
        <w:rPr>
          <w:rFonts w:ascii="Franklin Gothic Book" w:hAnsi="Franklin Gothic Book"/>
        </w:rPr>
      </w:pPr>
      <w:hyperlink r:id="rId152" w:history="1">
        <w:r w:rsidR="00606720" w:rsidRPr="00ED1D8A">
          <w:rPr>
            <w:rStyle w:val="Hyperlink"/>
            <w:rFonts w:ascii="Franklin Gothic Book" w:hAnsi="Franklin Gothic Book"/>
          </w:rPr>
          <w:t>Community Energy Plan Update</w:t>
        </w:r>
      </w:hyperlink>
      <w:r w:rsidR="005D55D5" w:rsidRPr="00ED1D8A">
        <w:rPr>
          <w:rStyle w:val="Hyperlink"/>
          <w:rFonts w:ascii="Franklin Gothic Book" w:hAnsi="Franklin Gothic Book"/>
        </w:rPr>
        <w:t xml:space="preserve">, </w:t>
      </w:r>
      <w:r w:rsidR="00606720" w:rsidRPr="00ED1D8A">
        <w:rPr>
          <w:rFonts w:ascii="Franklin Gothic Book" w:hAnsi="Franklin Gothic Book"/>
        </w:rPr>
        <w:t>2019</w:t>
      </w:r>
    </w:p>
    <w:p w14:paraId="3A6798B8" w14:textId="77777777" w:rsidR="00606720" w:rsidRPr="00ED1D8A" w:rsidRDefault="00606720" w:rsidP="00EC12DE">
      <w:pPr>
        <w:pStyle w:val="ListParagraph"/>
        <w:numPr>
          <w:ilvl w:val="2"/>
          <w:numId w:val="18"/>
        </w:numPr>
        <w:tabs>
          <w:tab w:val="clear" w:pos="2160"/>
        </w:tabs>
        <w:autoSpaceDE w:val="0"/>
        <w:autoSpaceDN w:val="0"/>
        <w:adjustRightInd w:val="0"/>
        <w:spacing w:after="0" w:line="260" w:lineRule="exact"/>
        <w:ind w:left="1440"/>
        <w:rPr>
          <w:rFonts w:ascii="Franklin Gothic Book" w:hAnsi="Franklin Gothic Book"/>
        </w:rPr>
      </w:pPr>
      <w:r w:rsidRPr="00ED1D8A">
        <w:rPr>
          <w:rFonts w:ascii="Franklin Gothic Book" w:hAnsi="Franklin Gothic Book"/>
        </w:rPr>
        <w:t>County-wide carbon neutral by 2050</w:t>
      </w:r>
    </w:p>
    <w:p w14:paraId="335A8B5C" w14:textId="07A7946C" w:rsidR="00606720" w:rsidRPr="00ED1D8A" w:rsidRDefault="00DC418B" w:rsidP="00EC12DE">
      <w:pPr>
        <w:pStyle w:val="ListParagraph"/>
        <w:numPr>
          <w:ilvl w:val="1"/>
          <w:numId w:val="18"/>
        </w:numPr>
        <w:tabs>
          <w:tab w:val="clear" w:pos="1440"/>
        </w:tabs>
        <w:autoSpaceDE w:val="0"/>
        <w:autoSpaceDN w:val="0"/>
        <w:adjustRightInd w:val="0"/>
        <w:spacing w:after="0" w:line="260" w:lineRule="exact"/>
        <w:ind w:left="720"/>
        <w:rPr>
          <w:rFonts w:ascii="Franklin Gothic Book" w:hAnsi="Franklin Gothic Book"/>
        </w:rPr>
      </w:pPr>
      <w:hyperlink r:id="rId153" w:history="1">
        <w:r w:rsidR="00606720" w:rsidRPr="00ED1D8A">
          <w:rPr>
            <w:rStyle w:val="Hyperlink"/>
            <w:rFonts w:ascii="Franklin Gothic Book" w:hAnsi="Franklin Gothic Book" w:cs="Arial"/>
          </w:rPr>
          <w:t>Community Energy Plan</w:t>
        </w:r>
      </w:hyperlink>
      <w:r w:rsidR="005D55D5" w:rsidRPr="00ED1D8A">
        <w:rPr>
          <w:rStyle w:val="Hyperlink"/>
          <w:rFonts w:ascii="Franklin Gothic Book" w:hAnsi="Franklin Gothic Book" w:cs="Arial"/>
        </w:rPr>
        <w:t xml:space="preserve">, </w:t>
      </w:r>
      <w:r w:rsidR="00606720" w:rsidRPr="00ED1D8A">
        <w:rPr>
          <w:rFonts w:ascii="Franklin Gothic Book" w:hAnsi="Franklin Gothic Book" w:cs="Arial"/>
        </w:rPr>
        <w:t>2013</w:t>
      </w:r>
    </w:p>
    <w:p w14:paraId="33A10AF6" w14:textId="5AAECCA3" w:rsidR="00606720" w:rsidRPr="00ED1D8A" w:rsidRDefault="00606720" w:rsidP="00EC12DE">
      <w:pPr>
        <w:pStyle w:val="ListParagraph"/>
        <w:numPr>
          <w:ilvl w:val="2"/>
          <w:numId w:val="18"/>
        </w:numPr>
        <w:tabs>
          <w:tab w:val="clear" w:pos="2160"/>
        </w:tabs>
        <w:autoSpaceDE w:val="0"/>
        <w:autoSpaceDN w:val="0"/>
        <w:adjustRightInd w:val="0"/>
        <w:spacing w:after="0" w:line="260" w:lineRule="exact"/>
        <w:ind w:left="1440"/>
        <w:rPr>
          <w:rFonts w:ascii="Franklin Gothic Book" w:hAnsi="Franklin Gothic Book"/>
        </w:rPr>
      </w:pPr>
      <w:r w:rsidRPr="00ED1D8A">
        <w:rPr>
          <w:rFonts w:ascii="Franklin Gothic Book" w:hAnsi="Franklin Gothic Book"/>
        </w:rPr>
        <w:t>County-wide &gt; 70</w:t>
      </w:r>
      <w:r w:rsidR="00C534A1" w:rsidRPr="00ED1D8A">
        <w:rPr>
          <w:rFonts w:ascii="Franklin Gothic Book" w:hAnsi="Franklin Gothic Book"/>
        </w:rPr>
        <w:t xml:space="preserve"> percent</w:t>
      </w:r>
      <w:r w:rsidRPr="00ED1D8A">
        <w:rPr>
          <w:rFonts w:ascii="Franklin Gothic Book" w:hAnsi="Franklin Gothic Book"/>
        </w:rPr>
        <w:t xml:space="preserve"> below 2007 levels by 2050, down to </w:t>
      </w:r>
      <w:r w:rsidRPr="00ED1D8A">
        <w:rPr>
          <w:rFonts w:ascii="Franklin Gothic Book" w:hAnsi="Franklin Gothic Book" w:cs="Arial"/>
        </w:rPr>
        <w:t>3.0 mt CO</w:t>
      </w:r>
      <w:r w:rsidRPr="00ED1D8A">
        <w:rPr>
          <w:rFonts w:ascii="Franklin Gothic Book" w:hAnsi="Franklin Gothic Book" w:cs="Arial"/>
          <w:vertAlign w:val="subscript"/>
        </w:rPr>
        <w:t>2</w:t>
      </w:r>
      <w:r w:rsidRPr="00ED1D8A">
        <w:rPr>
          <w:rFonts w:ascii="Franklin Gothic Book" w:hAnsi="Franklin Gothic Book" w:cs="Arial"/>
        </w:rPr>
        <w:t>e per capita per year</w:t>
      </w:r>
    </w:p>
    <w:p w14:paraId="46A38D93" w14:textId="77777777" w:rsidR="00E56645" w:rsidRPr="00ED1D8A" w:rsidRDefault="00E56645" w:rsidP="00ED1D8A">
      <w:pPr>
        <w:pStyle w:val="Level3Head-COG"/>
        <w:tabs>
          <w:tab w:val="left" w:pos="0"/>
        </w:tabs>
        <w:spacing w:before="0"/>
        <w:ind w:left="720"/>
        <w:contextualSpacing/>
        <w:rPr>
          <w:rFonts w:ascii="Franklin Gothic Book" w:hAnsi="Franklin Gothic Book"/>
          <w:sz w:val="22"/>
          <w:szCs w:val="22"/>
        </w:rPr>
      </w:pPr>
    </w:p>
    <w:p w14:paraId="1ACB0B97" w14:textId="4E9F9173" w:rsidR="00E56645" w:rsidRPr="00B73849" w:rsidRDefault="00E56645" w:rsidP="00E56645">
      <w:pPr>
        <w:pStyle w:val="Level3Head-COG"/>
        <w:tabs>
          <w:tab w:val="left" w:pos="0"/>
        </w:tabs>
        <w:rPr>
          <w:sz w:val="34"/>
          <w:szCs w:val="34"/>
        </w:rPr>
      </w:pPr>
      <w:bookmarkStart w:id="101" w:name="_Toc49368811"/>
      <w:bookmarkStart w:id="102" w:name="_Toc49368887"/>
      <w:bookmarkStart w:id="103" w:name="_Toc49861415"/>
      <w:bookmarkStart w:id="104" w:name="_Toc50968708"/>
      <w:bookmarkStart w:id="105" w:name="_Toc51077697"/>
      <w:r>
        <w:t>city of alexandria</w:t>
      </w:r>
      <w:bookmarkEnd w:id="101"/>
      <w:bookmarkEnd w:id="102"/>
      <w:bookmarkEnd w:id="103"/>
      <w:bookmarkEnd w:id="104"/>
      <w:bookmarkEnd w:id="105"/>
      <w:r>
        <w:t xml:space="preserve">     </w:t>
      </w:r>
      <w:r w:rsidRPr="00B964D8">
        <w:t xml:space="preserve"> </w:t>
      </w:r>
    </w:p>
    <w:p w14:paraId="7A1BCDDF" w14:textId="437AE800" w:rsidR="00E51A33" w:rsidRPr="0001030A" w:rsidRDefault="00DC418B" w:rsidP="00EC12DE">
      <w:pPr>
        <w:pStyle w:val="ListParagraph"/>
        <w:numPr>
          <w:ilvl w:val="1"/>
          <w:numId w:val="18"/>
        </w:numPr>
        <w:tabs>
          <w:tab w:val="clear" w:pos="1440"/>
        </w:tabs>
        <w:spacing w:after="0" w:line="260" w:lineRule="exact"/>
        <w:ind w:left="720"/>
        <w:rPr>
          <w:rFonts w:ascii="Franklin Gothic Book" w:hAnsi="Franklin Gothic Book"/>
        </w:rPr>
      </w:pPr>
      <w:hyperlink r:id="rId154" w:history="1">
        <w:r w:rsidR="00E51A33" w:rsidRPr="0001030A">
          <w:rPr>
            <w:rStyle w:val="Hyperlink"/>
            <w:rFonts w:ascii="Franklin Gothic Book" w:hAnsi="Franklin Gothic Book"/>
          </w:rPr>
          <w:t>Climate Emergency Resolution</w:t>
        </w:r>
      </w:hyperlink>
      <w:r w:rsidR="003B4A8A" w:rsidRPr="0001030A">
        <w:rPr>
          <w:rStyle w:val="Hyperlink"/>
          <w:rFonts w:ascii="Franklin Gothic Book" w:hAnsi="Franklin Gothic Book"/>
        </w:rPr>
        <w:t xml:space="preserve">, </w:t>
      </w:r>
      <w:r w:rsidR="00E51A33" w:rsidRPr="0001030A">
        <w:rPr>
          <w:rFonts w:ascii="Franklin Gothic Book" w:hAnsi="Franklin Gothic Book"/>
        </w:rPr>
        <w:t xml:space="preserve">2019 </w:t>
      </w:r>
    </w:p>
    <w:p w14:paraId="17B5E027" w14:textId="2F53C1BC" w:rsidR="00E51A33" w:rsidRPr="0001030A" w:rsidRDefault="00DC418B" w:rsidP="00EC12DE">
      <w:pPr>
        <w:pStyle w:val="ListParagraph"/>
        <w:numPr>
          <w:ilvl w:val="1"/>
          <w:numId w:val="18"/>
        </w:numPr>
        <w:tabs>
          <w:tab w:val="clear" w:pos="1440"/>
        </w:tabs>
        <w:spacing w:after="0" w:line="260" w:lineRule="exact"/>
        <w:ind w:left="720"/>
        <w:rPr>
          <w:rFonts w:ascii="Franklin Gothic Book" w:hAnsi="Franklin Gothic Book"/>
        </w:rPr>
      </w:pPr>
      <w:hyperlink r:id="rId155" w:history="1">
        <w:r w:rsidR="00E51A33" w:rsidRPr="0001030A">
          <w:rPr>
            <w:rStyle w:val="Hyperlink"/>
            <w:rFonts w:ascii="Franklin Gothic Book" w:hAnsi="Franklin Gothic Book"/>
          </w:rPr>
          <w:t>Eco-City Alexandria Environmental Action Plan</w:t>
        </w:r>
      </w:hyperlink>
      <w:r w:rsidR="003B4A8A" w:rsidRPr="0001030A">
        <w:rPr>
          <w:rStyle w:val="Hyperlink"/>
          <w:rFonts w:ascii="Franklin Gothic Book" w:hAnsi="Franklin Gothic Book"/>
        </w:rPr>
        <w:t xml:space="preserve">, </w:t>
      </w:r>
      <w:r w:rsidR="00E51A33" w:rsidRPr="0001030A">
        <w:rPr>
          <w:rFonts w:ascii="Franklin Gothic Book" w:hAnsi="Franklin Gothic Book"/>
        </w:rPr>
        <w:t>2019</w:t>
      </w:r>
    </w:p>
    <w:p w14:paraId="3764F2B0" w14:textId="77777777" w:rsidR="00E51A33" w:rsidRPr="0001030A" w:rsidRDefault="00E51A33" w:rsidP="00EC12DE">
      <w:pPr>
        <w:pStyle w:val="ListParagraph"/>
        <w:numPr>
          <w:ilvl w:val="2"/>
          <w:numId w:val="18"/>
        </w:numPr>
        <w:tabs>
          <w:tab w:val="clear" w:pos="2160"/>
          <w:tab w:val="left" w:pos="1440"/>
        </w:tabs>
        <w:spacing w:after="0" w:line="260" w:lineRule="exact"/>
        <w:ind w:left="1440"/>
        <w:rPr>
          <w:rFonts w:ascii="Franklin Gothic Book" w:hAnsi="Franklin Gothic Book"/>
        </w:rPr>
      </w:pPr>
      <w:r w:rsidRPr="0001030A">
        <w:rPr>
          <w:rFonts w:ascii="Franklin Gothic Book" w:hAnsi="Franklin Gothic Book"/>
        </w:rPr>
        <w:t>50 percent below 2005 levels by 2030</w:t>
      </w:r>
    </w:p>
    <w:p w14:paraId="36BF1E75" w14:textId="44426393" w:rsidR="00E51A33" w:rsidRPr="0001030A" w:rsidRDefault="00E51A33" w:rsidP="00EC12DE">
      <w:pPr>
        <w:pStyle w:val="ListParagraph"/>
        <w:numPr>
          <w:ilvl w:val="2"/>
          <w:numId w:val="18"/>
        </w:numPr>
        <w:tabs>
          <w:tab w:val="clear" w:pos="2160"/>
          <w:tab w:val="left" w:pos="1440"/>
        </w:tabs>
        <w:spacing w:after="0" w:line="260" w:lineRule="exact"/>
        <w:ind w:left="1440"/>
        <w:rPr>
          <w:rFonts w:ascii="Franklin Gothic Book" w:hAnsi="Franklin Gothic Book"/>
        </w:rPr>
      </w:pPr>
      <w:r w:rsidRPr="0001030A">
        <w:rPr>
          <w:rFonts w:ascii="Franklin Gothic Book" w:hAnsi="Franklin Gothic Book"/>
        </w:rPr>
        <w:t>80</w:t>
      </w:r>
      <w:r w:rsidR="0001030A" w:rsidRPr="0001030A">
        <w:rPr>
          <w:rFonts w:ascii="Franklin Gothic Book" w:hAnsi="Franklin Gothic Book"/>
        </w:rPr>
        <w:t xml:space="preserve"> - </w:t>
      </w:r>
      <w:r w:rsidRPr="0001030A">
        <w:rPr>
          <w:rFonts w:ascii="Franklin Gothic Book" w:hAnsi="Franklin Gothic Book"/>
        </w:rPr>
        <w:t>100 percent below 2005 levels by 2050</w:t>
      </w:r>
    </w:p>
    <w:p w14:paraId="5D004425" w14:textId="443A3BA8" w:rsidR="00E51A33" w:rsidRPr="0001030A" w:rsidRDefault="00DC418B" w:rsidP="00EC12DE">
      <w:pPr>
        <w:pStyle w:val="ListParagraph"/>
        <w:numPr>
          <w:ilvl w:val="1"/>
          <w:numId w:val="18"/>
        </w:numPr>
        <w:tabs>
          <w:tab w:val="clear" w:pos="1440"/>
        </w:tabs>
        <w:spacing w:after="0" w:line="260" w:lineRule="exact"/>
        <w:ind w:left="720"/>
        <w:rPr>
          <w:rFonts w:ascii="Franklin Gothic Book" w:hAnsi="Franklin Gothic Book"/>
        </w:rPr>
      </w:pPr>
      <w:hyperlink r:id="rId156" w:history="1">
        <w:r w:rsidR="00E51A33" w:rsidRPr="0001030A">
          <w:rPr>
            <w:rStyle w:val="Hyperlink"/>
            <w:rFonts w:ascii="Franklin Gothic Book" w:hAnsi="Franklin Gothic Book"/>
          </w:rPr>
          <w:t>Energy and Climate Change Action Plan</w:t>
        </w:r>
      </w:hyperlink>
      <w:r w:rsidR="003B4A8A" w:rsidRPr="0001030A">
        <w:rPr>
          <w:rStyle w:val="Hyperlink"/>
          <w:rFonts w:ascii="Franklin Gothic Book" w:hAnsi="Franklin Gothic Book"/>
        </w:rPr>
        <w:t xml:space="preserve">, </w:t>
      </w:r>
      <w:r w:rsidR="00E51A33" w:rsidRPr="0001030A">
        <w:rPr>
          <w:rFonts w:ascii="Franklin Gothic Book" w:hAnsi="Franklin Gothic Book"/>
        </w:rPr>
        <w:t>2011</w:t>
      </w:r>
    </w:p>
    <w:p w14:paraId="6E4330E1" w14:textId="77777777" w:rsidR="00E51A33" w:rsidRPr="0001030A" w:rsidRDefault="00E51A33" w:rsidP="00EC12DE">
      <w:pPr>
        <w:numPr>
          <w:ilvl w:val="2"/>
          <w:numId w:val="19"/>
        </w:numPr>
        <w:tabs>
          <w:tab w:val="clear" w:pos="2160"/>
        </w:tabs>
        <w:spacing w:line="260" w:lineRule="exact"/>
        <w:ind w:left="1440"/>
        <w:contextualSpacing/>
        <w:rPr>
          <w:rFonts w:ascii="Franklin Gothic Book" w:hAnsi="Franklin Gothic Book"/>
          <w:sz w:val="22"/>
          <w:szCs w:val="22"/>
        </w:rPr>
      </w:pPr>
      <w:r w:rsidRPr="0001030A">
        <w:rPr>
          <w:rFonts w:ascii="Franklin Gothic Book" w:hAnsi="Franklin Gothic Book"/>
          <w:sz w:val="22"/>
          <w:szCs w:val="22"/>
        </w:rPr>
        <w:t xml:space="preserve">By 2012, reduce GHG emissions to 2005 </w:t>
      </w:r>
      <w:proofErr w:type="gramStart"/>
      <w:r w:rsidRPr="0001030A">
        <w:rPr>
          <w:rFonts w:ascii="Franklin Gothic Book" w:hAnsi="Franklin Gothic Book"/>
          <w:sz w:val="22"/>
          <w:szCs w:val="22"/>
        </w:rPr>
        <w:t>levels;</w:t>
      </w:r>
      <w:proofErr w:type="gramEnd"/>
    </w:p>
    <w:p w14:paraId="22B72818" w14:textId="77777777" w:rsidR="00E51A33" w:rsidRPr="0001030A" w:rsidRDefault="00E51A33" w:rsidP="00EC12DE">
      <w:pPr>
        <w:numPr>
          <w:ilvl w:val="2"/>
          <w:numId w:val="19"/>
        </w:numPr>
        <w:tabs>
          <w:tab w:val="clear" w:pos="2160"/>
        </w:tabs>
        <w:spacing w:line="260" w:lineRule="exact"/>
        <w:ind w:left="1440"/>
        <w:contextualSpacing/>
        <w:rPr>
          <w:rFonts w:ascii="Franklin Gothic Book" w:hAnsi="Franklin Gothic Book"/>
          <w:sz w:val="22"/>
          <w:szCs w:val="22"/>
        </w:rPr>
      </w:pPr>
      <w:r w:rsidRPr="0001030A">
        <w:rPr>
          <w:rFonts w:ascii="Franklin Gothic Book" w:hAnsi="Franklin Gothic Book"/>
          <w:sz w:val="22"/>
          <w:szCs w:val="22"/>
        </w:rPr>
        <w:t xml:space="preserve">By 2020, reduce GHG emissions by 20 percent below 2005 levels </w:t>
      </w:r>
    </w:p>
    <w:p w14:paraId="6789DA09" w14:textId="77777777" w:rsidR="00E51A33" w:rsidRPr="0001030A" w:rsidRDefault="00E51A33" w:rsidP="00EC12DE">
      <w:pPr>
        <w:numPr>
          <w:ilvl w:val="2"/>
          <w:numId w:val="19"/>
        </w:numPr>
        <w:tabs>
          <w:tab w:val="clear" w:pos="2160"/>
        </w:tabs>
        <w:spacing w:line="260" w:lineRule="exact"/>
        <w:ind w:left="1440"/>
        <w:contextualSpacing/>
        <w:rPr>
          <w:rFonts w:ascii="Franklin Gothic Book" w:hAnsi="Franklin Gothic Book"/>
          <w:sz w:val="22"/>
          <w:szCs w:val="22"/>
        </w:rPr>
      </w:pPr>
      <w:r w:rsidRPr="0001030A">
        <w:rPr>
          <w:rFonts w:ascii="Franklin Gothic Book" w:hAnsi="Franklin Gothic Book"/>
          <w:sz w:val="22"/>
          <w:szCs w:val="22"/>
        </w:rPr>
        <w:t xml:space="preserve">By 2050, reduce GHG emissions by 80 percent below 2005 levels </w:t>
      </w:r>
    </w:p>
    <w:p w14:paraId="6E52F323" w14:textId="77777777" w:rsidR="00E56645" w:rsidRPr="0001030A" w:rsidRDefault="00E56645" w:rsidP="0001030A">
      <w:pPr>
        <w:pStyle w:val="Level3Head-COG"/>
        <w:tabs>
          <w:tab w:val="left" w:pos="0"/>
        </w:tabs>
        <w:spacing w:before="0"/>
        <w:contextualSpacing/>
        <w:rPr>
          <w:rFonts w:ascii="Franklin Gothic Book" w:hAnsi="Franklin Gothic Book"/>
          <w:sz w:val="22"/>
          <w:szCs w:val="22"/>
        </w:rPr>
      </w:pPr>
    </w:p>
    <w:p w14:paraId="17443BEF" w14:textId="5F363803" w:rsidR="00E56645" w:rsidRPr="00B73849" w:rsidRDefault="00E56645" w:rsidP="00E56645">
      <w:pPr>
        <w:pStyle w:val="Level3Head-COG"/>
        <w:tabs>
          <w:tab w:val="left" w:pos="0"/>
        </w:tabs>
        <w:rPr>
          <w:sz w:val="34"/>
          <w:szCs w:val="34"/>
        </w:rPr>
      </w:pPr>
      <w:bookmarkStart w:id="106" w:name="_Toc49368812"/>
      <w:bookmarkStart w:id="107" w:name="_Toc49368888"/>
      <w:bookmarkStart w:id="108" w:name="_Toc49861416"/>
      <w:bookmarkStart w:id="109" w:name="_Toc50968709"/>
      <w:bookmarkStart w:id="110" w:name="_Toc51077698"/>
      <w:r>
        <w:t>city of falls church</w:t>
      </w:r>
      <w:bookmarkEnd w:id="106"/>
      <w:bookmarkEnd w:id="107"/>
      <w:bookmarkEnd w:id="108"/>
      <w:bookmarkEnd w:id="109"/>
      <w:bookmarkEnd w:id="110"/>
      <w:r>
        <w:t xml:space="preserve">      </w:t>
      </w:r>
      <w:r w:rsidRPr="00B964D8">
        <w:t xml:space="preserve"> </w:t>
      </w:r>
    </w:p>
    <w:p w14:paraId="3D16467C" w14:textId="0E6B3CC8" w:rsidR="00606720" w:rsidRPr="00BD7E78" w:rsidRDefault="00DC418B" w:rsidP="00EC12DE">
      <w:pPr>
        <w:pStyle w:val="ListParagraph"/>
        <w:numPr>
          <w:ilvl w:val="1"/>
          <w:numId w:val="18"/>
        </w:numPr>
        <w:tabs>
          <w:tab w:val="clear" w:pos="1440"/>
        </w:tabs>
        <w:autoSpaceDE w:val="0"/>
        <w:autoSpaceDN w:val="0"/>
        <w:adjustRightInd w:val="0"/>
        <w:spacing w:after="0" w:line="260" w:lineRule="exact"/>
        <w:ind w:left="720"/>
        <w:rPr>
          <w:rFonts w:ascii="Franklin Gothic Book" w:hAnsi="Franklin Gothic Book" w:cs="Arial"/>
        </w:rPr>
      </w:pPr>
      <w:hyperlink r:id="rId157" w:history="1">
        <w:r w:rsidR="00606720" w:rsidRPr="00BD7E78">
          <w:rPr>
            <w:rStyle w:val="Hyperlink"/>
            <w:rFonts w:ascii="Franklin Gothic Book" w:hAnsi="Franklin Gothic Book" w:cs="Arial"/>
          </w:rPr>
          <w:t>Resolution</w:t>
        </w:r>
      </w:hyperlink>
      <w:r w:rsidR="00606720" w:rsidRPr="00BD7E78">
        <w:rPr>
          <w:rFonts w:ascii="Franklin Gothic Book" w:hAnsi="Franklin Gothic Book" w:cs="Arial"/>
        </w:rPr>
        <w:t xml:space="preserve"> Adopting COG Regional GHG Emission Reduction Goals</w:t>
      </w:r>
      <w:r w:rsidR="00BD7E78" w:rsidRPr="00BD7E78">
        <w:rPr>
          <w:rFonts w:ascii="Franklin Gothic Book" w:hAnsi="Franklin Gothic Book" w:cs="Arial"/>
        </w:rPr>
        <w:t xml:space="preserve">, </w:t>
      </w:r>
      <w:r w:rsidR="00606720" w:rsidRPr="00BD7E78">
        <w:rPr>
          <w:rFonts w:ascii="Franklin Gothic Book" w:hAnsi="Franklin Gothic Book" w:cs="Arial"/>
        </w:rPr>
        <w:t>2017</w:t>
      </w:r>
    </w:p>
    <w:p w14:paraId="33ACDF2F" w14:textId="77777777" w:rsidR="00B74EFC" w:rsidRPr="00BD7E78" w:rsidRDefault="00B74EFC" w:rsidP="00BD7E78">
      <w:pPr>
        <w:pStyle w:val="Level3Head-COG"/>
        <w:tabs>
          <w:tab w:val="left" w:pos="0"/>
        </w:tabs>
        <w:spacing w:before="0"/>
        <w:ind w:left="720"/>
        <w:contextualSpacing/>
        <w:rPr>
          <w:rFonts w:ascii="Franklin Gothic Book" w:hAnsi="Franklin Gothic Book"/>
          <w:sz w:val="22"/>
          <w:szCs w:val="22"/>
        </w:rPr>
      </w:pPr>
    </w:p>
    <w:p w14:paraId="42A5DD8E" w14:textId="1108F73D" w:rsidR="00B74EFC" w:rsidRPr="00B73849" w:rsidRDefault="00B74EFC" w:rsidP="00B74EFC">
      <w:pPr>
        <w:pStyle w:val="Level3Head-COG"/>
        <w:tabs>
          <w:tab w:val="left" w:pos="0"/>
        </w:tabs>
        <w:rPr>
          <w:sz w:val="34"/>
          <w:szCs w:val="34"/>
        </w:rPr>
      </w:pPr>
      <w:bookmarkStart w:id="111" w:name="_Toc49368813"/>
      <w:bookmarkStart w:id="112" w:name="_Toc49368889"/>
      <w:bookmarkStart w:id="113" w:name="_Toc49861417"/>
      <w:bookmarkStart w:id="114" w:name="_Toc50968710"/>
      <w:bookmarkStart w:id="115" w:name="_Toc51077699"/>
      <w:r>
        <w:t>loudoun county</w:t>
      </w:r>
      <w:bookmarkEnd w:id="111"/>
      <w:bookmarkEnd w:id="112"/>
      <w:bookmarkEnd w:id="113"/>
      <w:bookmarkEnd w:id="114"/>
      <w:bookmarkEnd w:id="115"/>
      <w:r>
        <w:t xml:space="preserve">    </w:t>
      </w:r>
      <w:r w:rsidRPr="00B964D8">
        <w:t xml:space="preserve"> </w:t>
      </w:r>
    </w:p>
    <w:p w14:paraId="1A9ACFDA" w14:textId="1BB768C0" w:rsidR="00606720" w:rsidRPr="001A39D5" w:rsidRDefault="00606720" w:rsidP="00EC12DE">
      <w:pPr>
        <w:pStyle w:val="ListParagraph"/>
        <w:numPr>
          <w:ilvl w:val="0"/>
          <w:numId w:val="18"/>
        </w:numPr>
        <w:tabs>
          <w:tab w:val="num" w:pos="360"/>
        </w:tabs>
        <w:autoSpaceDE w:val="0"/>
        <w:autoSpaceDN w:val="0"/>
        <w:adjustRightInd w:val="0"/>
        <w:spacing w:after="0" w:line="260" w:lineRule="exact"/>
        <w:rPr>
          <w:rStyle w:val="Hyperlink"/>
          <w:rFonts w:ascii="Franklin Gothic Book" w:hAnsi="Franklin Gothic Book"/>
        </w:rPr>
      </w:pPr>
      <w:r w:rsidRPr="001A39D5">
        <w:rPr>
          <w:rFonts w:ascii="Franklin Gothic Book" w:hAnsi="Franklin Gothic Book" w:cs="Arial"/>
        </w:rPr>
        <w:fldChar w:fldCharType="begin"/>
      </w:r>
      <w:r w:rsidRPr="001A39D5">
        <w:rPr>
          <w:rFonts w:ascii="Franklin Gothic Book" w:hAnsi="Franklin Gothic Book" w:cs="Arial"/>
        </w:rPr>
        <w:instrText xml:space="preserve"> HYPERLINK "https://www.loudoun.gov/energystrategy" </w:instrText>
      </w:r>
      <w:r w:rsidRPr="001A39D5">
        <w:rPr>
          <w:rFonts w:ascii="Franklin Gothic Book" w:hAnsi="Franklin Gothic Book" w:cs="Arial"/>
        </w:rPr>
        <w:fldChar w:fldCharType="separate"/>
      </w:r>
      <w:r w:rsidRPr="001A39D5">
        <w:rPr>
          <w:rStyle w:val="Hyperlink"/>
          <w:rFonts w:ascii="Franklin Gothic Book" w:hAnsi="Franklin Gothic Book" w:cs="Arial"/>
        </w:rPr>
        <w:t>Loudoun County Energy Strategy</w:t>
      </w:r>
      <w:r w:rsidR="001A39D5" w:rsidRPr="001A39D5">
        <w:rPr>
          <w:rStyle w:val="Hyperlink"/>
          <w:rFonts w:ascii="Franklin Gothic Book" w:hAnsi="Franklin Gothic Book" w:cs="Arial"/>
        </w:rPr>
        <w:t xml:space="preserve">, </w:t>
      </w:r>
      <w:r w:rsidRPr="001A39D5">
        <w:rPr>
          <w:rStyle w:val="Hyperlink"/>
          <w:rFonts w:ascii="Franklin Gothic Book" w:hAnsi="Franklin Gothic Book" w:cs="Arial"/>
        </w:rPr>
        <w:t>2009</w:t>
      </w:r>
    </w:p>
    <w:p w14:paraId="402498A4" w14:textId="77777777" w:rsidR="00606720" w:rsidRPr="001A39D5" w:rsidRDefault="00606720" w:rsidP="00EC12DE">
      <w:pPr>
        <w:pStyle w:val="ListParagraph"/>
        <w:numPr>
          <w:ilvl w:val="1"/>
          <w:numId w:val="4"/>
        </w:numPr>
        <w:tabs>
          <w:tab w:val="left" w:pos="1440"/>
        </w:tabs>
        <w:autoSpaceDE w:val="0"/>
        <w:autoSpaceDN w:val="0"/>
        <w:adjustRightInd w:val="0"/>
        <w:spacing w:after="0" w:line="260" w:lineRule="exact"/>
        <w:rPr>
          <w:rFonts w:ascii="Franklin Gothic Book" w:hAnsi="Franklin Gothic Book"/>
        </w:rPr>
      </w:pPr>
      <w:r w:rsidRPr="001A39D5">
        <w:rPr>
          <w:rFonts w:ascii="Franklin Gothic Book" w:hAnsi="Franklin Gothic Book" w:cs="Arial"/>
        </w:rPr>
        <w:fldChar w:fldCharType="end"/>
      </w:r>
      <w:r w:rsidRPr="001A39D5">
        <w:rPr>
          <w:rFonts w:ascii="Franklin Gothic Book" w:hAnsi="Franklin Gothic Book" w:cs="Arial"/>
        </w:rPr>
        <w:t xml:space="preserve">County-wide goal to reduce GHGs from 3.85 million metric ton to 3.0 million metric ton by 2040 </w:t>
      </w:r>
    </w:p>
    <w:p w14:paraId="57009921" w14:textId="1AC57CAF" w:rsidR="00606720" w:rsidRPr="001A39D5" w:rsidRDefault="00606720" w:rsidP="00EC12DE">
      <w:pPr>
        <w:pStyle w:val="ListParagraph"/>
        <w:numPr>
          <w:ilvl w:val="1"/>
          <w:numId w:val="4"/>
        </w:numPr>
        <w:tabs>
          <w:tab w:val="left" w:pos="1440"/>
        </w:tabs>
        <w:autoSpaceDE w:val="0"/>
        <w:autoSpaceDN w:val="0"/>
        <w:adjustRightInd w:val="0"/>
        <w:spacing w:after="0" w:line="260" w:lineRule="exact"/>
        <w:rPr>
          <w:rFonts w:ascii="Franklin Gothic Book" w:hAnsi="Franklin Gothic Book"/>
        </w:rPr>
      </w:pPr>
      <w:r w:rsidRPr="001A39D5">
        <w:rPr>
          <w:rFonts w:ascii="Franklin Gothic Book" w:hAnsi="Franklin Gothic Book" w:cs="Arial"/>
        </w:rPr>
        <w:t>Government operations goal to reduce emissions 15</w:t>
      </w:r>
      <w:r w:rsidR="00C534A1" w:rsidRPr="001A39D5">
        <w:rPr>
          <w:rFonts w:ascii="Franklin Gothic Book" w:hAnsi="Franklin Gothic Book" w:cs="Arial"/>
        </w:rPr>
        <w:t xml:space="preserve"> percent</w:t>
      </w:r>
      <w:r w:rsidRPr="001A39D5">
        <w:rPr>
          <w:rFonts w:ascii="Franklin Gothic Book" w:hAnsi="Franklin Gothic Book" w:cs="Arial"/>
        </w:rPr>
        <w:t xml:space="preserve"> between 2007 and 2012 </w:t>
      </w:r>
    </w:p>
    <w:p w14:paraId="57BF0888" w14:textId="77777777" w:rsidR="00B74EFC" w:rsidRPr="001A39D5" w:rsidRDefault="00B74EFC" w:rsidP="001A39D5">
      <w:pPr>
        <w:pStyle w:val="Level3Head-COG"/>
        <w:tabs>
          <w:tab w:val="left" w:pos="0"/>
        </w:tabs>
        <w:spacing w:before="0"/>
        <w:ind w:left="720"/>
        <w:contextualSpacing/>
        <w:rPr>
          <w:rFonts w:ascii="Franklin Gothic Book" w:hAnsi="Franklin Gothic Book"/>
          <w:sz w:val="22"/>
          <w:szCs w:val="22"/>
        </w:rPr>
      </w:pPr>
    </w:p>
    <w:p w14:paraId="4A2684EF" w14:textId="5DF5E199" w:rsidR="00B74EFC" w:rsidRPr="00B73849" w:rsidRDefault="00B74EFC" w:rsidP="00B74EFC">
      <w:pPr>
        <w:pStyle w:val="Level3Head-COG"/>
        <w:tabs>
          <w:tab w:val="left" w:pos="0"/>
        </w:tabs>
        <w:rPr>
          <w:sz w:val="34"/>
          <w:szCs w:val="34"/>
        </w:rPr>
      </w:pPr>
      <w:bookmarkStart w:id="116" w:name="_Toc49368814"/>
      <w:bookmarkStart w:id="117" w:name="_Toc49368890"/>
      <w:bookmarkStart w:id="118" w:name="_Toc49861418"/>
      <w:bookmarkStart w:id="119" w:name="_Toc50968711"/>
      <w:bookmarkStart w:id="120" w:name="_Toc51077700"/>
      <w:r>
        <w:t>prince william county</w:t>
      </w:r>
      <w:bookmarkEnd w:id="116"/>
      <w:bookmarkEnd w:id="117"/>
      <w:bookmarkEnd w:id="118"/>
      <w:bookmarkEnd w:id="119"/>
      <w:bookmarkEnd w:id="120"/>
      <w:r>
        <w:t xml:space="preserve">    </w:t>
      </w:r>
      <w:r w:rsidRPr="00B964D8">
        <w:t xml:space="preserve"> </w:t>
      </w:r>
    </w:p>
    <w:p w14:paraId="363CE6B4" w14:textId="77777777" w:rsidR="001F4A04" w:rsidRDefault="00606720" w:rsidP="00EC12DE">
      <w:pPr>
        <w:pStyle w:val="ListParagraph"/>
        <w:numPr>
          <w:ilvl w:val="0"/>
          <w:numId w:val="18"/>
        </w:numPr>
        <w:spacing w:after="0" w:line="260" w:lineRule="exact"/>
        <w:rPr>
          <w:rStyle w:val="Hyperlink"/>
          <w:rFonts w:ascii="Franklin Gothic Book" w:hAnsi="Franklin Gothic Book"/>
        </w:rPr>
      </w:pPr>
      <w:r w:rsidRPr="001A39D5">
        <w:rPr>
          <w:rFonts w:ascii="Franklin Gothic Book" w:hAnsi="Franklin Gothic Book"/>
        </w:rPr>
        <w:t>County Energy Plan</w:t>
      </w:r>
      <w:r w:rsidR="00B74EFC" w:rsidRPr="001A39D5">
        <w:rPr>
          <w:rFonts w:ascii="Franklin Gothic Book" w:hAnsi="Franklin Gothic Book"/>
        </w:rPr>
        <w:t xml:space="preserve">, </w:t>
      </w:r>
      <w:r w:rsidRPr="001A39D5">
        <w:rPr>
          <w:rFonts w:ascii="Franklin Gothic Book" w:hAnsi="Franklin Gothic Book"/>
        </w:rPr>
        <w:t>2007</w:t>
      </w:r>
      <w:r w:rsidR="001A39D5" w:rsidRPr="001A39D5">
        <w:rPr>
          <w:rFonts w:ascii="Franklin Gothic Book" w:hAnsi="Franklin Gothic Book"/>
        </w:rPr>
        <w:t xml:space="preserve">, </w:t>
      </w:r>
      <w:r w:rsidRPr="001A39D5">
        <w:rPr>
          <w:rFonts w:ascii="Franklin Gothic Book" w:hAnsi="Franklin Gothic Book"/>
        </w:rPr>
        <w:t xml:space="preserve">and the </w:t>
      </w:r>
      <w:hyperlink r:id="rId158" w:history="1">
        <w:r w:rsidRPr="001A39D5">
          <w:rPr>
            <w:rStyle w:val="Hyperlink"/>
            <w:rFonts w:ascii="Franklin Gothic Book" w:hAnsi="Franklin Gothic Book"/>
          </w:rPr>
          <w:t>Green Guiding Principles</w:t>
        </w:r>
      </w:hyperlink>
      <w:r w:rsidR="001A39D5" w:rsidRPr="001A39D5">
        <w:rPr>
          <w:rStyle w:val="Hyperlink"/>
          <w:rFonts w:ascii="Franklin Gothic Book" w:hAnsi="Franklin Gothic Book"/>
        </w:rPr>
        <w:t>, 2009</w:t>
      </w:r>
    </w:p>
    <w:p w14:paraId="48B9AD70" w14:textId="0D169920" w:rsidR="00606720" w:rsidRPr="00FD78F2" w:rsidRDefault="00606720" w:rsidP="00FD78F2">
      <w:pPr>
        <w:pStyle w:val="ListParagraph"/>
        <w:numPr>
          <w:ilvl w:val="0"/>
          <w:numId w:val="24"/>
        </w:numPr>
        <w:tabs>
          <w:tab w:val="clear" w:pos="720"/>
          <w:tab w:val="num" w:pos="1440"/>
        </w:tabs>
        <w:spacing w:line="260" w:lineRule="exact"/>
        <w:ind w:left="1440"/>
        <w:rPr>
          <w:rFonts w:ascii="Franklin Gothic Book" w:hAnsi="Franklin Gothic Book"/>
        </w:rPr>
      </w:pPr>
      <w:r w:rsidRPr="001F4A04">
        <w:rPr>
          <w:rFonts w:ascii="Franklin Gothic Book" w:hAnsi="Franklin Gothic Book"/>
        </w:rPr>
        <w:t>30</w:t>
      </w:r>
      <w:r w:rsidR="00C534A1" w:rsidRPr="001F4A04">
        <w:rPr>
          <w:rFonts w:ascii="Franklin Gothic Book" w:hAnsi="Franklin Gothic Book"/>
        </w:rPr>
        <w:t xml:space="preserve"> percent</w:t>
      </w:r>
      <w:r w:rsidRPr="001F4A04">
        <w:rPr>
          <w:rFonts w:ascii="Franklin Gothic Book" w:hAnsi="Franklin Gothic Book"/>
        </w:rPr>
        <w:t xml:space="preserve"> by 2025, bringing emissions back to 2000 levels </w:t>
      </w:r>
    </w:p>
    <w:p w14:paraId="1251C747" w14:textId="77777777" w:rsidR="00A5430E" w:rsidRDefault="00A5430E" w:rsidP="00490671">
      <w:pPr>
        <w:pStyle w:val="Level1Head-COG"/>
        <w:outlineLvl w:val="0"/>
      </w:pPr>
    </w:p>
    <w:p w14:paraId="2653CEF4" w14:textId="77777777" w:rsidR="00A5430E" w:rsidRDefault="00A5430E" w:rsidP="00490671">
      <w:pPr>
        <w:pStyle w:val="Level1Head-COG"/>
        <w:outlineLvl w:val="0"/>
      </w:pPr>
    </w:p>
    <w:p w14:paraId="7ABF8810" w14:textId="6656ADBB" w:rsidR="00490671" w:rsidRDefault="00490671" w:rsidP="00490671">
      <w:pPr>
        <w:pStyle w:val="Level1Head-COG"/>
        <w:outlineLvl w:val="0"/>
      </w:pPr>
      <w:bookmarkStart w:id="121" w:name="_Toc51077701"/>
      <w:r w:rsidRPr="003E433C">
        <w:lastRenderedPageBreak/>
        <w:t xml:space="preserve">Appendix </w:t>
      </w:r>
      <w:r>
        <w:t>d: cog member collaborative climate program commitments</w:t>
      </w:r>
      <w:bookmarkEnd w:id="121"/>
    </w:p>
    <w:p w14:paraId="78AE8848" w14:textId="5AAF343B" w:rsidR="00490671" w:rsidRDefault="00490671" w:rsidP="00490671">
      <w:pPr>
        <w:pStyle w:val="BodyText-COG"/>
      </w:pPr>
    </w:p>
    <w:p w14:paraId="3F1A4A86" w14:textId="33732378" w:rsidR="008D41B8" w:rsidRPr="008D41B8" w:rsidRDefault="008D41B8" w:rsidP="00505F59">
      <w:pPr>
        <w:pStyle w:val="Level2Head-COG"/>
        <w:spacing w:before="0"/>
        <w:outlineLvl w:val="0"/>
        <w:rPr>
          <w:i/>
          <w:iCs/>
        </w:rPr>
      </w:pPr>
      <w:bookmarkStart w:id="122" w:name="_Toc49368816"/>
      <w:bookmarkStart w:id="123" w:name="_Toc49368892"/>
      <w:bookmarkStart w:id="124" w:name="_Toc49861420"/>
      <w:bookmarkStart w:id="125" w:name="_Toc50968713"/>
      <w:bookmarkStart w:id="126" w:name="_Toc51077702"/>
      <w:r w:rsidRPr="008D41B8">
        <w:rPr>
          <w:i/>
          <w:iCs/>
        </w:rPr>
        <w:t>Region Forward</w:t>
      </w:r>
      <w:bookmarkEnd w:id="122"/>
      <w:bookmarkEnd w:id="123"/>
      <w:bookmarkEnd w:id="124"/>
      <w:bookmarkEnd w:id="125"/>
      <w:bookmarkEnd w:id="126"/>
    </w:p>
    <w:p w14:paraId="6CCACC7A" w14:textId="77777777" w:rsidR="008D41B8" w:rsidRPr="008D41B8" w:rsidRDefault="008D41B8" w:rsidP="002B5CF6">
      <w:pPr>
        <w:spacing w:line="260" w:lineRule="exact"/>
        <w:rPr>
          <w:rFonts w:ascii="Franklin Gothic Book" w:hAnsi="Franklin Gothic Book"/>
          <w:sz w:val="22"/>
          <w:szCs w:val="22"/>
        </w:rPr>
      </w:pPr>
      <w:r w:rsidRPr="008D41B8">
        <w:rPr>
          <w:rFonts w:ascii="Franklin Gothic Book" w:hAnsi="Franklin Gothic Book"/>
          <w:sz w:val="22"/>
          <w:szCs w:val="22"/>
        </w:rPr>
        <w:t xml:space="preserve">The Metropolitan Washington Council of Governments’ (COG) </w:t>
      </w:r>
      <w:hyperlink r:id="rId159" w:history="1">
        <w:r w:rsidRPr="008D41B8">
          <w:rPr>
            <w:rStyle w:val="Hyperlink"/>
            <w:rFonts w:ascii="Franklin Gothic Book" w:hAnsi="Franklin Gothic Book"/>
            <w:i/>
            <w:iCs/>
            <w:sz w:val="22"/>
            <w:szCs w:val="22"/>
          </w:rPr>
          <w:t>Region Forward</w:t>
        </w:r>
        <w:r w:rsidRPr="008D41B8">
          <w:rPr>
            <w:rStyle w:val="Hyperlink"/>
            <w:rFonts w:ascii="Franklin Gothic Book" w:hAnsi="Franklin Gothic Book"/>
            <w:sz w:val="22"/>
            <w:szCs w:val="22"/>
          </w:rPr>
          <w:t xml:space="preserve"> Vision</w:t>
        </w:r>
      </w:hyperlink>
      <w:r w:rsidRPr="008D41B8">
        <w:rPr>
          <w:rFonts w:ascii="Franklin Gothic Book" w:hAnsi="Franklin Gothic Book"/>
          <w:sz w:val="22"/>
          <w:szCs w:val="22"/>
        </w:rPr>
        <w:t xml:space="preserve"> focuses on creating a more prosperous, accessible, livable, and sustainable metropolitan Washington. All COG members in 2010 signed onto the </w:t>
      </w:r>
      <w:r w:rsidRPr="008D41B8">
        <w:rPr>
          <w:rFonts w:ascii="Franklin Gothic Book" w:hAnsi="Franklin Gothic Book"/>
          <w:i/>
          <w:iCs/>
          <w:sz w:val="22"/>
          <w:szCs w:val="22"/>
        </w:rPr>
        <w:t>Region Forward</w:t>
      </w:r>
      <w:r w:rsidRPr="008D41B8">
        <w:rPr>
          <w:rFonts w:ascii="Franklin Gothic Book" w:hAnsi="Franklin Gothic Book"/>
          <w:sz w:val="22"/>
          <w:szCs w:val="22"/>
        </w:rPr>
        <w:t xml:space="preserve"> goals by adopting via their local governing body (i.e. city council, county commission). The climate and energy goals include commitments to reducing greenhouse gas (GHG) emissions and the efficient use of energy, with reliance on renewable energy and alternative fuels. </w:t>
      </w:r>
    </w:p>
    <w:p w14:paraId="3B134893" w14:textId="77777777" w:rsidR="008D41B8" w:rsidRPr="008D41B8" w:rsidRDefault="008D41B8" w:rsidP="008D41B8">
      <w:pPr>
        <w:rPr>
          <w:rFonts w:ascii="Franklin Gothic Book" w:hAnsi="Franklin Gothic Book"/>
          <w:sz w:val="22"/>
          <w:szCs w:val="22"/>
        </w:rPr>
      </w:pPr>
    </w:p>
    <w:p w14:paraId="1C9CAC6E" w14:textId="41A344B8" w:rsidR="008D41B8" w:rsidRDefault="008D41B8" w:rsidP="008D41B8">
      <w:pPr>
        <w:pStyle w:val="Level3Head-COG"/>
        <w:outlineLvl w:val="0"/>
      </w:pPr>
      <w:bookmarkStart w:id="127" w:name="_Toc49368817"/>
      <w:bookmarkStart w:id="128" w:name="_Toc49368893"/>
      <w:bookmarkStart w:id="129" w:name="_Toc49861421"/>
      <w:bookmarkStart w:id="130" w:name="_Toc50968714"/>
      <w:bookmarkStart w:id="131" w:name="_Toc51077703"/>
      <w:r>
        <w:t>COG MEMBER participants</w:t>
      </w:r>
      <w:bookmarkEnd w:id="127"/>
      <w:bookmarkEnd w:id="128"/>
      <w:bookmarkEnd w:id="129"/>
      <w:bookmarkEnd w:id="130"/>
      <w:bookmarkEnd w:id="131"/>
    </w:p>
    <w:p w14:paraId="46BFD9CA" w14:textId="77777777" w:rsidR="00946CD4" w:rsidRDefault="00946CD4" w:rsidP="00EC12DE">
      <w:pPr>
        <w:pStyle w:val="BodyText-COG"/>
        <w:numPr>
          <w:ilvl w:val="0"/>
          <w:numId w:val="7"/>
        </w:numPr>
        <w:outlineLvl w:val="0"/>
      </w:pPr>
      <w:r>
        <w:t>COG</w:t>
      </w:r>
    </w:p>
    <w:p w14:paraId="418FCBC5" w14:textId="10614689" w:rsidR="008D41B8" w:rsidRPr="00113005" w:rsidRDefault="008D41B8" w:rsidP="00EC12DE">
      <w:pPr>
        <w:pStyle w:val="BodyText-COG"/>
        <w:numPr>
          <w:ilvl w:val="0"/>
          <w:numId w:val="7"/>
        </w:numPr>
        <w:outlineLvl w:val="0"/>
      </w:pPr>
      <w:r>
        <w:t>All COG Member Jurisdictions</w:t>
      </w:r>
    </w:p>
    <w:p w14:paraId="4489118E" w14:textId="4FA89809" w:rsidR="008D41B8" w:rsidRPr="00113005" w:rsidRDefault="008D41B8" w:rsidP="008D41B8">
      <w:pPr>
        <w:pStyle w:val="BodyText-COG"/>
        <w:outlineLvl w:val="0"/>
      </w:pPr>
    </w:p>
    <w:p w14:paraId="4BCC69E3" w14:textId="7F852DD5" w:rsidR="008D41B8" w:rsidRPr="008D41B8" w:rsidRDefault="0085591A" w:rsidP="008D41B8">
      <w:pPr>
        <w:pStyle w:val="Level2Head-COG"/>
        <w:outlineLvl w:val="0"/>
      </w:pPr>
      <w:bookmarkStart w:id="132" w:name="_Toc49368818"/>
      <w:bookmarkStart w:id="133" w:name="_Toc49368894"/>
      <w:bookmarkStart w:id="134" w:name="_Toc49861422"/>
      <w:bookmarkStart w:id="135" w:name="_Toc50968715"/>
      <w:bookmarkStart w:id="136" w:name="_Toc51077704"/>
      <w:r>
        <w:t>Global Covenant of Mayors</w:t>
      </w:r>
      <w:bookmarkEnd w:id="132"/>
      <w:bookmarkEnd w:id="133"/>
      <w:bookmarkEnd w:id="134"/>
      <w:bookmarkEnd w:id="135"/>
      <w:bookmarkEnd w:id="136"/>
    </w:p>
    <w:p w14:paraId="6DAF7026" w14:textId="10FD2F42" w:rsidR="008D41B8" w:rsidRDefault="0082327F" w:rsidP="0082327F">
      <w:pPr>
        <w:spacing w:line="260" w:lineRule="exact"/>
        <w:rPr>
          <w:rFonts w:ascii="Franklin Gothic Book" w:hAnsi="Franklin Gothic Book"/>
          <w:sz w:val="22"/>
          <w:szCs w:val="22"/>
        </w:rPr>
      </w:pPr>
      <w:r w:rsidRPr="0082327F">
        <w:rPr>
          <w:rFonts w:ascii="Franklin Gothic Book" w:hAnsi="Franklin Gothic Book"/>
          <w:sz w:val="22"/>
          <w:szCs w:val="22"/>
        </w:rPr>
        <w:t xml:space="preserve">The </w:t>
      </w:r>
      <w:hyperlink r:id="rId160" w:history="1">
        <w:r w:rsidRPr="0082327F">
          <w:rPr>
            <w:rStyle w:val="Hyperlink"/>
            <w:rFonts w:ascii="Franklin Gothic Book" w:hAnsi="Franklin Gothic Book"/>
            <w:sz w:val="22"/>
            <w:szCs w:val="22"/>
          </w:rPr>
          <w:t>Global Covenant of Mayors for Climate &amp; Energy</w:t>
        </w:r>
      </w:hyperlink>
      <w:r w:rsidRPr="0082327F">
        <w:rPr>
          <w:rFonts w:ascii="Franklin Gothic Book" w:hAnsi="Franklin Gothic Book"/>
          <w:sz w:val="22"/>
          <w:szCs w:val="22"/>
        </w:rPr>
        <w:t xml:space="preserve"> (GCoM) is the largest global alliance for local climate leadership working toward a resilient and low-emission society. Over 9,000 local governments from 6 continents and 132 countries are signatories. GCoM, formed in 2017, is a merger of the Covenant of Mayors (formed in 2008) and the Compact of Mayors (formed in 2014). Signatory in both initiatives merged into GCoM. GCoM cities are working toward a goal of reducing GHG emissions 40</w:t>
      </w:r>
      <w:r>
        <w:rPr>
          <w:rFonts w:ascii="Franklin Gothic Book" w:hAnsi="Franklin Gothic Book"/>
          <w:sz w:val="22"/>
          <w:szCs w:val="22"/>
        </w:rPr>
        <w:t xml:space="preserve"> percent</w:t>
      </w:r>
      <w:r w:rsidRPr="0082327F">
        <w:rPr>
          <w:rFonts w:ascii="Franklin Gothic Book" w:hAnsi="Franklin Gothic Book"/>
          <w:sz w:val="22"/>
          <w:szCs w:val="22"/>
        </w:rPr>
        <w:t xml:space="preserve"> by 2030. Signatories communicate their commitment to citizens, develop citywide knowledge, goals, and plans that aim at least as high as their country’s own climate protections commitments to the Paris Climate Agreement, and track and report their progress every two years.</w:t>
      </w:r>
    </w:p>
    <w:p w14:paraId="7539E9E9" w14:textId="77777777" w:rsidR="0082327F" w:rsidRPr="0082327F" w:rsidRDefault="0082327F" w:rsidP="0082327F">
      <w:pPr>
        <w:spacing w:line="260" w:lineRule="exact"/>
        <w:rPr>
          <w:rFonts w:ascii="Franklin Gothic Book" w:hAnsi="Franklin Gothic Book"/>
          <w:sz w:val="22"/>
          <w:szCs w:val="22"/>
        </w:rPr>
      </w:pPr>
    </w:p>
    <w:p w14:paraId="7E6E550A" w14:textId="77777777" w:rsidR="008D41B8" w:rsidRDefault="008D41B8" w:rsidP="008D41B8">
      <w:pPr>
        <w:pStyle w:val="Level3Head-COG"/>
        <w:outlineLvl w:val="0"/>
      </w:pPr>
      <w:bookmarkStart w:id="137" w:name="_Toc49368819"/>
      <w:bookmarkStart w:id="138" w:name="_Toc49368895"/>
      <w:bookmarkStart w:id="139" w:name="_Toc49861423"/>
      <w:bookmarkStart w:id="140" w:name="_Toc50968716"/>
      <w:bookmarkStart w:id="141" w:name="_Toc51077705"/>
      <w:r>
        <w:t>COG MEMBER participants</w:t>
      </w:r>
      <w:bookmarkEnd w:id="137"/>
      <w:bookmarkEnd w:id="138"/>
      <w:bookmarkEnd w:id="139"/>
      <w:bookmarkEnd w:id="140"/>
      <w:bookmarkEnd w:id="141"/>
    </w:p>
    <w:p w14:paraId="667DE142" w14:textId="77777777" w:rsidR="007F265F" w:rsidRDefault="007F265F" w:rsidP="00EC12DE">
      <w:pPr>
        <w:pStyle w:val="BodyText-COG"/>
        <w:numPr>
          <w:ilvl w:val="0"/>
          <w:numId w:val="7"/>
        </w:numPr>
        <w:rPr>
          <w:szCs w:val="22"/>
        </w:rPr>
      </w:pPr>
      <w:r>
        <w:rPr>
          <w:szCs w:val="22"/>
        </w:rPr>
        <w:t>Arlington County</w:t>
      </w:r>
    </w:p>
    <w:p w14:paraId="4743DA79" w14:textId="78C87C23" w:rsidR="00946CD4" w:rsidRDefault="00946CD4" w:rsidP="00EC12DE">
      <w:pPr>
        <w:pStyle w:val="BodyText-COG"/>
        <w:numPr>
          <w:ilvl w:val="0"/>
          <w:numId w:val="7"/>
        </w:numPr>
        <w:rPr>
          <w:szCs w:val="22"/>
        </w:rPr>
      </w:pPr>
      <w:r>
        <w:rPr>
          <w:szCs w:val="22"/>
        </w:rPr>
        <w:t>City of Greenbelt</w:t>
      </w:r>
    </w:p>
    <w:p w14:paraId="1F38EC78" w14:textId="42D24163" w:rsidR="00490671" w:rsidRDefault="0082327F" w:rsidP="00EC12DE">
      <w:pPr>
        <w:pStyle w:val="BodyText-COG"/>
        <w:numPr>
          <w:ilvl w:val="0"/>
          <w:numId w:val="7"/>
        </w:numPr>
        <w:rPr>
          <w:szCs w:val="22"/>
        </w:rPr>
      </w:pPr>
      <w:r w:rsidRPr="0082327F">
        <w:rPr>
          <w:szCs w:val="22"/>
        </w:rPr>
        <w:t>City of Takoma Park</w:t>
      </w:r>
    </w:p>
    <w:p w14:paraId="172352A7" w14:textId="54E91B70" w:rsidR="003D423B" w:rsidRDefault="003D423B" w:rsidP="00EC12DE">
      <w:pPr>
        <w:pStyle w:val="BodyText-COG"/>
        <w:numPr>
          <w:ilvl w:val="0"/>
          <w:numId w:val="7"/>
        </w:numPr>
        <w:rPr>
          <w:szCs w:val="22"/>
        </w:rPr>
      </w:pPr>
      <w:r>
        <w:rPr>
          <w:szCs w:val="22"/>
        </w:rPr>
        <w:t>COG</w:t>
      </w:r>
    </w:p>
    <w:p w14:paraId="1EED165C" w14:textId="77777777" w:rsidR="007F265F" w:rsidRDefault="007F265F" w:rsidP="00EC12DE">
      <w:pPr>
        <w:pStyle w:val="BodyText-COG"/>
        <w:numPr>
          <w:ilvl w:val="0"/>
          <w:numId w:val="7"/>
        </w:numPr>
        <w:rPr>
          <w:szCs w:val="22"/>
        </w:rPr>
      </w:pPr>
      <w:r>
        <w:rPr>
          <w:szCs w:val="22"/>
        </w:rPr>
        <w:t>District of Columbia</w:t>
      </w:r>
    </w:p>
    <w:p w14:paraId="5FC64A1C" w14:textId="77777777" w:rsidR="00946CD4" w:rsidRDefault="00946CD4" w:rsidP="00EC12DE">
      <w:pPr>
        <w:pStyle w:val="BodyText-COG"/>
        <w:numPr>
          <w:ilvl w:val="0"/>
          <w:numId w:val="7"/>
        </w:numPr>
        <w:rPr>
          <w:szCs w:val="22"/>
        </w:rPr>
      </w:pPr>
      <w:r>
        <w:rPr>
          <w:szCs w:val="22"/>
        </w:rPr>
        <w:t>Town of Bladensburg</w:t>
      </w:r>
    </w:p>
    <w:p w14:paraId="230DACD7" w14:textId="5EAC7717" w:rsidR="00490671" w:rsidRPr="0082327F" w:rsidRDefault="00490671" w:rsidP="0082327F">
      <w:pPr>
        <w:pStyle w:val="BodyText-COG"/>
        <w:rPr>
          <w:szCs w:val="22"/>
        </w:rPr>
      </w:pPr>
    </w:p>
    <w:p w14:paraId="63922C63" w14:textId="6B0E7A50" w:rsidR="00DC6695" w:rsidRPr="008D41B8" w:rsidRDefault="005777BB" w:rsidP="00DC6695">
      <w:pPr>
        <w:pStyle w:val="Level2Head-COG"/>
        <w:outlineLvl w:val="0"/>
      </w:pPr>
      <w:bookmarkStart w:id="142" w:name="_Toc49368820"/>
      <w:bookmarkStart w:id="143" w:name="_Toc49368896"/>
      <w:bookmarkStart w:id="144" w:name="_Toc49861424"/>
      <w:bookmarkStart w:id="145" w:name="_Toc50968717"/>
      <w:bookmarkStart w:id="146" w:name="_Toc51077706"/>
      <w:r>
        <w:t>The Climate Mobilization</w:t>
      </w:r>
      <w:bookmarkEnd w:id="142"/>
      <w:bookmarkEnd w:id="143"/>
      <w:bookmarkEnd w:id="144"/>
      <w:bookmarkEnd w:id="145"/>
      <w:bookmarkEnd w:id="146"/>
      <w:r>
        <w:t xml:space="preserve"> </w:t>
      </w:r>
    </w:p>
    <w:p w14:paraId="28D529A1" w14:textId="77777777" w:rsidR="005777BB" w:rsidRPr="005777BB" w:rsidRDefault="005777BB" w:rsidP="002B5CF6">
      <w:pPr>
        <w:spacing w:line="260" w:lineRule="exact"/>
        <w:rPr>
          <w:rFonts w:ascii="Franklin Gothic Book" w:hAnsi="Franklin Gothic Book"/>
          <w:sz w:val="22"/>
          <w:szCs w:val="22"/>
        </w:rPr>
      </w:pPr>
      <w:r w:rsidRPr="005777BB">
        <w:rPr>
          <w:rFonts w:ascii="Franklin Gothic Book" w:hAnsi="Franklin Gothic Book"/>
          <w:noProof/>
          <w:sz w:val="22"/>
          <w:szCs w:val="22"/>
        </w:rPr>
        <w:t xml:space="preserve">The </w:t>
      </w:r>
      <w:hyperlink r:id="rId161" w:history="1">
        <w:r w:rsidRPr="005777BB">
          <w:rPr>
            <w:rStyle w:val="Hyperlink"/>
            <w:rFonts w:ascii="Franklin Gothic Book" w:hAnsi="Franklin Gothic Book"/>
            <w:noProof/>
            <w:sz w:val="22"/>
            <w:szCs w:val="22"/>
          </w:rPr>
          <w:t>Climate Emergency Campaign</w:t>
        </w:r>
      </w:hyperlink>
      <w:r w:rsidRPr="005777BB">
        <w:rPr>
          <w:rFonts w:ascii="Franklin Gothic Book" w:hAnsi="Franklin Gothic Book"/>
          <w:noProof/>
          <w:sz w:val="22"/>
          <w:szCs w:val="22"/>
        </w:rPr>
        <w:t xml:space="preserve"> encourages governments to adopt an emergency response to climate change with a commitment to reach zero emissions at emergency speed and for elected officials to become emergency Climate Mobilization advocates. The first government to declare a climate emergency was in 2016. There are now more than 860 governments across 18 countries that have declared a climate emergency. The Climate Mobilization is a non-profit that develops and advocates for climate mobilization policies and leads this campaign. Organizer tools, declaration templates and other resources are available. </w:t>
      </w:r>
    </w:p>
    <w:p w14:paraId="46A37A29" w14:textId="36FD220A" w:rsidR="003D423B" w:rsidRDefault="003D423B" w:rsidP="00490671">
      <w:pPr>
        <w:pStyle w:val="BodyText-COG"/>
      </w:pPr>
    </w:p>
    <w:p w14:paraId="280FA310" w14:textId="77777777" w:rsidR="00FD78F2" w:rsidRDefault="00FD78F2" w:rsidP="00490671">
      <w:pPr>
        <w:pStyle w:val="BodyText-COG"/>
      </w:pPr>
    </w:p>
    <w:p w14:paraId="52DBCFA9" w14:textId="77777777" w:rsidR="00DC6695" w:rsidRDefault="00DC6695" w:rsidP="00DC6695">
      <w:pPr>
        <w:pStyle w:val="Level3Head-COG"/>
        <w:outlineLvl w:val="0"/>
      </w:pPr>
      <w:bookmarkStart w:id="147" w:name="_Toc49368821"/>
      <w:bookmarkStart w:id="148" w:name="_Toc49368897"/>
      <w:bookmarkStart w:id="149" w:name="_Toc49861425"/>
      <w:bookmarkStart w:id="150" w:name="_Toc50968718"/>
      <w:bookmarkStart w:id="151" w:name="_Toc51077707"/>
      <w:r>
        <w:lastRenderedPageBreak/>
        <w:t>COG MEMBER participants</w:t>
      </w:r>
      <w:bookmarkEnd w:id="147"/>
      <w:bookmarkEnd w:id="148"/>
      <w:bookmarkEnd w:id="149"/>
      <w:bookmarkEnd w:id="150"/>
      <w:bookmarkEnd w:id="151"/>
    </w:p>
    <w:p w14:paraId="55BA7823" w14:textId="087F8C82" w:rsidR="00DC6695" w:rsidRDefault="007F265F" w:rsidP="00EC12DE">
      <w:pPr>
        <w:pStyle w:val="BodyText-COG"/>
        <w:numPr>
          <w:ilvl w:val="0"/>
          <w:numId w:val="7"/>
        </w:numPr>
        <w:rPr>
          <w:szCs w:val="22"/>
        </w:rPr>
      </w:pPr>
      <w:r>
        <w:rPr>
          <w:szCs w:val="22"/>
        </w:rPr>
        <w:t>City of Alexandria</w:t>
      </w:r>
    </w:p>
    <w:p w14:paraId="203E1CD6" w14:textId="073B4D2A" w:rsidR="007F265F" w:rsidRDefault="007F265F" w:rsidP="00EC12DE">
      <w:pPr>
        <w:pStyle w:val="BodyText-COG"/>
        <w:numPr>
          <w:ilvl w:val="0"/>
          <w:numId w:val="7"/>
        </w:numPr>
        <w:rPr>
          <w:szCs w:val="22"/>
        </w:rPr>
      </w:pPr>
      <w:r>
        <w:rPr>
          <w:szCs w:val="22"/>
        </w:rPr>
        <w:t xml:space="preserve">City of Frederick </w:t>
      </w:r>
    </w:p>
    <w:p w14:paraId="090BE993" w14:textId="0133D4EF" w:rsidR="007F265F" w:rsidRDefault="007F265F" w:rsidP="00EC12DE">
      <w:pPr>
        <w:pStyle w:val="BodyText-COG"/>
        <w:numPr>
          <w:ilvl w:val="0"/>
          <w:numId w:val="7"/>
        </w:numPr>
        <w:rPr>
          <w:szCs w:val="22"/>
        </w:rPr>
      </w:pPr>
      <w:r>
        <w:rPr>
          <w:szCs w:val="22"/>
        </w:rPr>
        <w:t xml:space="preserve">City of Takoma Park </w:t>
      </w:r>
    </w:p>
    <w:p w14:paraId="3C7C8E98" w14:textId="18AE6B3A" w:rsidR="007F265F" w:rsidRDefault="007F265F" w:rsidP="00EC12DE">
      <w:pPr>
        <w:pStyle w:val="BodyText-COG"/>
        <w:numPr>
          <w:ilvl w:val="0"/>
          <w:numId w:val="7"/>
        </w:numPr>
        <w:rPr>
          <w:szCs w:val="22"/>
        </w:rPr>
      </w:pPr>
      <w:r>
        <w:rPr>
          <w:szCs w:val="22"/>
        </w:rPr>
        <w:t>Frederick County</w:t>
      </w:r>
    </w:p>
    <w:p w14:paraId="76545FCB" w14:textId="2C173B9E" w:rsidR="007F265F" w:rsidRDefault="007F265F" w:rsidP="00EC12DE">
      <w:pPr>
        <w:pStyle w:val="BodyText-COG"/>
        <w:numPr>
          <w:ilvl w:val="0"/>
          <w:numId w:val="7"/>
        </w:numPr>
        <w:rPr>
          <w:szCs w:val="22"/>
        </w:rPr>
      </w:pPr>
      <w:r>
        <w:rPr>
          <w:szCs w:val="22"/>
        </w:rPr>
        <w:t xml:space="preserve">Montgomery County </w:t>
      </w:r>
    </w:p>
    <w:p w14:paraId="2B387AB6" w14:textId="30C87148" w:rsidR="00490671" w:rsidRDefault="00490671" w:rsidP="00490671">
      <w:pPr>
        <w:pStyle w:val="BodyText-COG"/>
      </w:pPr>
    </w:p>
    <w:p w14:paraId="3DE0BA01" w14:textId="1BC8FCCA" w:rsidR="002B5CF6" w:rsidRPr="008D41B8" w:rsidRDefault="002B5CF6" w:rsidP="002B5CF6">
      <w:pPr>
        <w:pStyle w:val="Level2Head-COG"/>
        <w:outlineLvl w:val="0"/>
      </w:pPr>
      <w:bookmarkStart w:id="152" w:name="_Toc49368822"/>
      <w:bookmarkStart w:id="153" w:name="_Toc49368898"/>
      <w:bookmarkStart w:id="154" w:name="_Toc49861426"/>
      <w:bookmarkStart w:id="155" w:name="_Toc50968719"/>
      <w:bookmarkStart w:id="156" w:name="_Toc51077708"/>
      <w:r>
        <w:t>We Are Still In</w:t>
      </w:r>
      <w:bookmarkEnd w:id="152"/>
      <w:bookmarkEnd w:id="153"/>
      <w:bookmarkEnd w:id="154"/>
      <w:bookmarkEnd w:id="155"/>
      <w:bookmarkEnd w:id="156"/>
    </w:p>
    <w:p w14:paraId="40B6ED79" w14:textId="77777777" w:rsidR="002B5CF6" w:rsidRPr="002B5CF6" w:rsidRDefault="002B5CF6" w:rsidP="002B5CF6">
      <w:pPr>
        <w:spacing w:line="260" w:lineRule="exact"/>
        <w:rPr>
          <w:rFonts w:ascii="Franklin Gothic Book" w:hAnsi="Franklin Gothic Book"/>
          <w:sz w:val="22"/>
          <w:szCs w:val="22"/>
        </w:rPr>
      </w:pPr>
      <w:r w:rsidRPr="002B5CF6">
        <w:rPr>
          <w:rFonts w:ascii="Franklin Gothic Book" w:hAnsi="Franklin Gothic Book"/>
          <w:sz w:val="22"/>
          <w:szCs w:val="22"/>
        </w:rPr>
        <w:t xml:space="preserve">The </w:t>
      </w:r>
      <w:hyperlink r:id="rId162" w:history="1">
        <w:r w:rsidRPr="002B5CF6">
          <w:rPr>
            <w:rStyle w:val="Hyperlink"/>
            <w:rFonts w:ascii="Franklin Gothic Book" w:hAnsi="Franklin Gothic Book"/>
            <w:sz w:val="22"/>
            <w:szCs w:val="22"/>
          </w:rPr>
          <w:t>We Are Still In</w:t>
        </w:r>
      </w:hyperlink>
      <w:r w:rsidRPr="002B5CF6">
        <w:rPr>
          <w:rFonts w:ascii="Franklin Gothic Book" w:hAnsi="Franklin Gothic Book"/>
          <w:sz w:val="22"/>
          <w:szCs w:val="22"/>
        </w:rPr>
        <w:t xml:space="preserve"> pledge is an open letter signed by multiple types of entities, including universities, businesses, non-profits, and governments declaring that signatories will continue to support climate action to meet the Paris Agreement. The group formed in 2017 in the wake of the US announcing it would withdraw from the Paris Agreement. There are no tracking requirements, but signatories can submit information on their climate actions and the organization will connect them to resources and support.</w:t>
      </w:r>
    </w:p>
    <w:p w14:paraId="227D5BF6" w14:textId="77777777" w:rsidR="002B5CF6" w:rsidRDefault="002B5CF6" w:rsidP="002B5CF6">
      <w:pPr>
        <w:pStyle w:val="BodyText-COG"/>
      </w:pPr>
    </w:p>
    <w:p w14:paraId="3E3DA6BD" w14:textId="77777777" w:rsidR="002B5CF6" w:rsidRDefault="002B5CF6" w:rsidP="002B5CF6">
      <w:pPr>
        <w:pStyle w:val="Level3Head-COG"/>
        <w:outlineLvl w:val="0"/>
      </w:pPr>
      <w:bookmarkStart w:id="157" w:name="_Toc49368823"/>
      <w:bookmarkStart w:id="158" w:name="_Toc49368899"/>
      <w:bookmarkStart w:id="159" w:name="_Toc49861427"/>
      <w:bookmarkStart w:id="160" w:name="_Toc50968720"/>
      <w:bookmarkStart w:id="161" w:name="_Toc51077709"/>
      <w:r>
        <w:t>COG MEMBER participants</w:t>
      </w:r>
      <w:bookmarkEnd w:id="157"/>
      <w:bookmarkEnd w:id="158"/>
      <w:bookmarkEnd w:id="159"/>
      <w:bookmarkEnd w:id="160"/>
      <w:bookmarkEnd w:id="161"/>
    </w:p>
    <w:p w14:paraId="6A7BD294" w14:textId="06D702DF" w:rsidR="009D1DEA" w:rsidRDefault="009D1DEA" w:rsidP="00EC12DE">
      <w:pPr>
        <w:pStyle w:val="BodyText-COG"/>
        <w:numPr>
          <w:ilvl w:val="0"/>
          <w:numId w:val="7"/>
        </w:numPr>
        <w:rPr>
          <w:szCs w:val="22"/>
        </w:rPr>
      </w:pPr>
      <w:r>
        <w:rPr>
          <w:szCs w:val="22"/>
        </w:rPr>
        <w:t xml:space="preserve">Arlington County </w:t>
      </w:r>
    </w:p>
    <w:p w14:paraId="5E32673E" w14:textId="0195C66F" w:rsidR="002B5CF6" w:rsidRDefault="002B5CF6" w:rsidP="00EC12DE">
      <w:pPr>
        <w:pStyle w:val="BodyText-COG"/>
        <w:numPr>
          <w:ilvl w:val="0"/>
          <w:numId w:val="7"/>
        </w:numPr>
        <w:rPr>
          <w:szCs w:val="22"/>
        </w:rPr>
      </w:pPr>
      <w:r>
        <w:rPr>
          <w:szCs w:val="22"/>
        </w:rPr>
        <w:t>City of Alexandria</w:t>
      </w:r>
    </w:p>
    <w:p w14:paraId="69EA443F" w14:textId="3617D0CE" w:rsidR="009D1DEA" w:rsidRDefault="009D1DEA" w:rsidP="00EC12DE">
      <w:pPr>
        <w:pStyle w:val="BodyText-COG"/>
        <w:numPr>
          <w:ilvl w:val="0"/>
          <w:numId w:val="7"/>
        </w:numPr>
        <w:rPr>
          <w:szCs w:val="22"/>
        </w:rPr>
      </w:pPr>
      <w:r>
        <w:rPr>
          <w:szCs w:val="22"/>
        </w:rPr>
        <w:t>City of College Park</w:t>
      </w:r>
    </w:p>
    <w:p w14:paraId="4AB24E72" w14:textId="2AFE4B2E" w:rsidR="009D1DEA" w:rsidRDefault="009D1DEA" w:rsidP="00EC12DE">
      <w:pPr>
        <w:pStyle w:val="BodyText-COG"/>
        <w:numPr>
          <w:ilvl w:val="0"/>
          <w:numId w:val="7"/>
        </w:numPr>
        <w:rPr>
          <w:szCs w:val="22"/>
        </w:rPr>
      </w:pPr>
      <w:r>
        <w:rPr>
          <w:szCs w:val="22"/>
        </w:rPr>
        <w:t>City of Fairfax</w:t>
      </w:r>
    </w:p>
    <w:p w14:paraId="7896E904" w14:textId="2E154783" w:rsidR="009D1DEA" w:rsidRDefault="009D1DEA" w:rsidP="00EC12DE">
      <w:pPr>
        <w:pStyle w:val="BodyText-COG"/>
        <w:numPr>
          <w:ilvl w:val="0"/>
          <w:numId w:val="7"/>
        </w:numPr>
        <w:rPr>
          <w:szCs w:val="22"/>
        </w:rPr>
      </w:pPr>
      <w:r>
        <w:rPr>
          <w:szCs w:val="22"/>
        </w:rPr>
        <w:t>City of Falls Church</w:t>
      </w:r>
    </w:p>
    <w:p w14:paraId="01652C0F" w14:textId="40306E1D" w:rsidR="009D1DEA" w:rsidRDefault="009D1DEA" w:rsidP="00EC12DE">
      <w:pPr>
        <w:pStyle w:val="BodyText-COG"/>
        <w:numPr>
          <w:ilvl w:val="0"/>
          <w:numId w:val="7"/>
        </w:numPr>
        <w:rPr>
          <w:szCs w:val="22"/>
        </w:rPr>
      </w:pPr>
      <w:r>
        <w:rPr>
          <w:szCs w:val="22"/>
        </w:rPr>
        <w:t>City of Gaithersburg</w:t>
      </w:r>
    </w:p>
    <w:p w14:paraId="1CFD1E43" w14:textId="4BB4BFDF" w:rsidR="009D1DEA" w:rsidRDefault="009D1DEA" w:rsidP="00EC12DE">
      <w:pPr>
        <w:pStyle w:val="BodyText-COG"/>
        <w:numPr>
          <w:ilvl w:val="0"/>
          <w:numId w:val="7"/>
        </w:numPr>
        <w:rPr>
          <w:szCs w:val="22"/>
        </w:rPr>
      </w:pPr>
      <w:r>
        <w:rPr>
          <w:szCs w:val="22"/>
        </w:rPr>
        <w:t>City of Laurel</w:t>
      </w:r>
    </w:p>
    <w:p w14:paraId="70319A70" w14:textId="24CD14B6" w:rsidR="009D1DEA" w:rsidRDefault="009D1DEA" w:rsidP="00EC12DE">
      <w:pPr>
        <w:pStyle w:val="BodyText-COG"/>
        <w:numPr>
          <w:ilvl w:val="0"/>
          <w:numId w:val="7"/>
        </w:numPr>
        <w:rPr>
          <w:szCs w:val="22"/>
        </w:rPr>
      </w:pPr>
      <w:r>
        <w:rPr>
          <w:szCs w:val="22"/>
        </w:rPr>
        <w:t>City of Rockville</w:t>
      </w:r>
    </w:p>
    <w:p w14:paraId="6AA05CC3" w14:textId="774AC296" w:rsidR="009D1DEA" w:rsidRDefault="009D1DEA" w:rsidP="00EC12DE">
      <w:pPr>
        <w:pStyle w:val="BodyText-COG"/>
        <w:numPr>
          <w:ilvl w:val="0"/>
          <w:numId w:val="7"/>
        </w:numPr>
        <w:rPr>
          <w:szCs w:val="22"/>
        </w:rPr>
      </w:pPr>
      <w:r>
        <w:rPr>
          <w:szCs w:val="22"/>
        </w:rPr>
        <w:t xml:space="preserve">City of Takoma Park </w:t>
      </w:r>
    </w:p>
    <w:p w14:paraId="2592BDA0" w14:textId="29C1C6D0" w:rsidR="009D1DEA" w:rsidRDefault="009D1DEA" w:rsidP="00EC12DE">
      <w:pPr>
        <w:pStyle w:val="BodyText-COG"/>
        <w:numPr>
          <w:ilvl w:val="0"/>
          <w:numId w:val="7"/>
        </w:numPr>
        <w:rPr>
          <w:szCs w:val="22"/>
        </w:rPr>
      </w:pPr>
      <w:r>
        <w:rPr>
          <w:szCs w:val="22"/>
        </w:rPr>
        <w:t xml:space="preserve">Commonwealth of Virginia </w:t>
      </w:r>
    </w:p>
    <w:p w14:paraId="09F4D463" w14:textId="1C22DFBB" w:rsidR="009D1DEA" w:rsidRDefault="009D1DEA" w:rsidP="00EC12DE">
      <w:pPr>
        <w:pStyle w:val="BodyText-COG"/>
        <w:numPr>
          <w:ilvl w:val="0"/>
          <w:numId w:val="7"/>
        </w:numPr>
        <w:rPr>
          <w:szCs w:val="22"/>
        </w:rPr>
      </w:pPr>
      <w:r>
        <w:rPr>
          <w:szCs w:val="22"/>
        </w:rPr>
        <w:t xml:space="preserve">District of Columbia </w:t>
      </w:r>
    </w:p>
    <w:p w14:paraId="00EDBD3D" w14:textId="7286B360" w:rsidR="00EC4E53" w:rsidRDefault="00EC4E53" w:rsidP="00EC12DE">
      <w:pPr>
        <w:pStyle w:val="BodyText-COG"/>
        <w:numPr>
          <w:ilvl w:val="0"/>
          <w:numId w:val="7"/>
        </w:numPr>
        <w:rPr>
          <w:szCs w:val="22"/>
        </w:rPr>
      </w:pPr>
      <w:r>
        <w:rPr>
          <w:szCs w:val="22"/>
        </w:rPr>
        <w:t>Fairfax County</w:t>
      </w:r>
    </w:p>
    <w:p w14:paraId="349C67FB" w14:textId="4CAF82EE" w:rsidR="00EC4E53" w:rsidRDefault="00EC4E53" w:rsidP="00EC12DE">
      <w:pPr>
        <w:pStyle w:val="BodyText-COG"/>
        <w:numPr>
          <w:ilvl w:val="0"/>
          <w:numId w:val="7"/>
        </w:numPr>
        <w:rPr>
          <w:szCs w:val="22"/>
        </w:rPr>
      </w:pPr>
      <w:r>
        <w:rPr>
          <w:szCs w:val="22"/>
        </w:rPr>
        <w:t>Frederick County</w:t>
      </w:r>
    </w:p>
    <w:p w14:paraId="6B90E7CC" w14:textId="2F480429" w:rsidR="00EC4E53" w:rsidRDefault="00EC4E53" w:rsidP="00EC12DE">
      <w:pPr>
        <w:pStyle w:val="BodyText-COG"/>
        <w:numPr>
          <w:ilvl w:val="0"/>
          <w:numId w:val="7"/>
        </w:numPr>
        <w:rPr>
          <w:szCs w:val="22"/>
        </w:rPr>
      </w:pPr>
      <w:r>
        <w:rPr>
          <w:szCs w:val="22"/>
        </w:rPr>
        <w:t>Montgomery County</w:t>
      </w:r>
    </w:p>
    <w:p w14:paraId="78D47188" w14:textId="66F3363F" w:rsidR="00EC4E53" w:rsidRDefault="00EC4E53" w:rsidP="00EC12DE">
      <w:pPr>
        <w:pStyle w:val="BodyText-COG"/>
        <w:numPr>
          <w:ilvl w:val="0"/>
          <w:numId w:val="7"/>
        </w:numPr>
        <w:rPr>
          <w:szCs w:val="22"/>
        </w:rPr>
      </w:pPr>
      <w:r>
        <w:rPr>
          <w:szCs w:val="22"/>
        </w:rPr>
        <w:t xml:space="preserve">Prince George’s County </w:t>
      </w:r>
    </w:p>
    <w:p w14:paraId="14AEB6D8" w14:textId="0DA92E39" w:rsidR="00490671" w:rsidRDefault="00490671" w:rsidP="00490671">
      <w:pPr>
        <w:pStyle w:val="BodyText-COG"/>
      </w:pPr>
    </w:p>
    <w:p w14:paraId="7C7394DA" w14:textId="6E1E225F" w:rsidR="00DE6416" w:rsidRPr="008D41B8" w:rsidRDefault="00DE6416" w:rsidP="00DE6416">
      <w:pPr>
        <w:pStyle w:val="Level2Head-COG"/>
        <w:outlineLvl w:val="0"/>
      </w:pPr>
      <w:bookmarkStart w:id="162" w:name="_Toc49368824"/>
      <w:bookmarkStart w:id="163" w:name="_Toc49368900"/>
      <w:bookmarkStart w:id="164" w:name="_Toc49861428"/>
      <w:bookmarkStart w:id="165" w:name="_Toc50968721"/>
      <w:bookmarkStart w:id="166" w:name="_Toc51077710"/>
      <w:r>
        <w:t>Climate Mayors</w:t>
      </w:r>
      <w:bookmarkEnd w:id="162"/>
      <w:bookmarkEnd w:id="163"/>
      <w:bookmarkEnd w:id="164"/>
      <w:bookmarkEnd w:id="165"/>
      <w:bookmarkEnd w:id="166"/>
    </w:p>
    <w:p w14:paraId="15198F73" w14:textId="77777777" w:rsidR="00DE6416" w:rsidRPr="00DE6416" w:rsidRDefault="00DE6416" w:rsidP="00DE6416">
      <w:pPr>
        <w:spacing w:line="260" w:lineRule="exact"/>
        <w:rPr>
          <w:rFonts w:ascii="Franklin Gothic Book" w:hAnsi="Franklin Gothic Book"/>
          <w:sz w:val="22"/>
          <w:szCs w:val="22"/>
        </w:rPr>
      </w:pPr>
      <w:r w:rsidRPr="00DE6416">
        <w:rPr>
          <w:rFonts w:ascii="Franklin Gothic Book" w:hAnsi="Franklin Gothic Book"/>
          <w:sz w:val="22"/>
          <w:szCs w:val="22"/>
        </w:rPr>
        <w:t xml:space="preserve">The Mayors National Climate Action Agenda, aka </w:t>
      </w:r>
      <w:hyperlink r:id="rId163" w:history="1">
        <w:r w:rsidRPr="00DE6416">
          <w:rPr>
            <w:rStyle w:val="Hyperlink"/>
            <w:rFonts w:ascii="Franklin Gothic Book" w:hAnsi="Franklin Gothic Book"/>
            <w:sz w:val="22"/>
            <w:szCs w:val="22"/>
          </w:rPr>
          <w:t>Climate Mayors</w:t>
        </w:r>
      </w:hyperlink>
      <w:r w:rsidRPr="00DE6416">
        <w:rPr>
          <w:rFonts w:ascii="Franklin Gothic Book" w:hAnsi="Franklin Gothic Book"/>
          <w:sz w:val="22"/>
          <w:szCs w:val="22"/>
        </w:rPr>
        <w:t>, founded in 2014, is a network of mayors that work together to strengthen local efforts for reducing GHG emissions and support binding federal and global-level policymaking.</w:t>
      </w:r>
    </w:p>
    <w:p w14:paraId="10A0E8DA" w14:textId="77777777" w:rsidR="00DE6416" w:rsidRPr="00DE6416" w:rsidRDefault="00DE6416" w:rsidP="00DE6416">
      <w:pPr>
        <w:spacing w:line="260" w:lineRule="exact"/>
        <w:rPr>
          <w:rFonts w:ascii="Franklin Gothic Book" w:hAnsi="Franklin Gothic Book"/>
          <w:sz w:val="22"/>
          <w:szCs w:val="22"/>
        </w:rPr>
      </w:pPr>
    </w:p>
    <w:p w14:paraId="08119DE8" w14:textId="77777777" w:rsidR="00DE6416" w:rsidRPr="00DE6416" w:rsidRDefault="00DE6416" w:rsidP="00DE6416">
      <w:pPr>
        <w:spacing w:line="260" w:lineRule="exact"/>
        <w:rPr>
          <w:rFonts w:ascii="Franklin Gothic Book" w:hAnsi="Franklin Gothic Book"/>
          <w:sz w:val="22"/>
          <w:szCs w:val="22"/>
        </w:rPr>
      </w:pPr>
      <w:r w:rsidRPr="00DE6416">
        <w:rPr>
          <w:rFonts w:ascii="Franklin Gothic Book" w:hAnsi="Franklin Gothic Book"/>
          <w:sz w:val="22"/>
          <w:szCs w:val="22"/>
        </w:rPr>
        <w:t>There are no binding commitments as a Climate Mayors member, only that cities are pursuing actions to achieve an emissions reduction target through developing a GHG inventory, setting near- and long-term targets to reduce emissions, and developing a Climate Action Plan aligned with the city’s targets.</w:t>
      </w:r>
    </w:p>
    <w:p w14:paraId="3B0F773F" w14:textId="77777777" w:rsidR="00DE6416" w:rsidRDefault="00DE6416" w:rsidP="00DE6416">
      <w:pPr>
        <w:pStyle w:val="BodyText-COG"/>
      </w:pPr>
    </w:p>
    <w:p w14:paraId="5B5E74A4" w14:textId="77777777" w:rsidR="00DE6416" w:rsidRDefault="00DE6416" w:rsidP="00DE6416">
      <w:pPr>
        <w:pStyle w:val="Level3Head-COG"/>
        <w:outlineLvl w:val="0"/>
      </w:pPr>
      <w:bookmarkStart w:id="167" w:name="_Toc49368825"/>
      <w:bookmarkStart w:id="168" w:name="_Toc49368901"/>
      <w:bookmarkStart w:id="169" w:name="_Toc49861429"/>
      <w:bookmarkStart w:id="170" w:name="_Toc50968722"/>
      <w:bookmarkStart w:id="171" w:name="_Toc51077711"/>
      <w:r>
        <w:t>COG MEMBER participants</w:t>
      </w:r>
      <w:bookmarkEnd w:id="167"/>
      <w:bookmarkEnd w:id="168"/>
      <w:bookmarkEnd w:id="169"/>
      <w:bookmarkEnd w:id="170"/>
      <w:bookmarkEnd w:id="171"/>
    </w:p>
    <w:p w14:paraId="51AD9FBA" w14:textId="5FB94232" w:rsidR="00DE6416" w:rsidRDefault="007043D1" w:rsidP="00EC12DE">
      <w:pPr>
        <w:pStyle w:val="BodyText-COG"/>
        <w:numPr>
          <w:ilvl w:val="0"/>
          <w:numId w:val="7"/>
        </w:numPr>
        <w:rPr>
          <w:szCs w:val="22"/>
        </w:rPr>
      </w:pPr>
      <w:r>
        <w:rPr>
          <w:szCs w:val="22"/>
        </w:rPr>
        <w:t>City of Alexandria</w:t>
      </w:r>
    </w:p>
    <w:p w14:paraId="612D70CC" w14:textId="7F2F3254" w:rsidR="007043D1" w:rsidRDefault="007043D1" w:rsidP="00EC12DE">
      <w:pPr>
        <w:pStyle w:val="BodyText-COG"/>
        <w:numPr>
          <w:ilvl w:val="0"/>
          <w:numId w:val="7"/>
        </w:numPr>
        <w:rPr>
          <w:szCs w:val="22"/>
        </w:rPr>
      </w:pPr>
      <w:r>
        <w:rPr>
          <w:szCs w:val="22"/>
        </w:rPr>
        <w:t xml:space="preserve">City of College Park </w:t>
      </w:r>
    </w:p>
    <w:p w14:paraId="50AAB9C0" w14:textId="4B8FE757" w:rsidR="007043D1" w:rsidRDefault="007043D1" w:rsidP="00EC12DE">
      <w:pPr>
        <w:pStyle w:val="BodyText-COG"/>
        <w:numPr>
          <w:ilvl w:val="0"/>
          <w:numId w:val="7"/>
        </w:numPr>
        <w:rPr>
          <w:szCs w:val="22"/>
        </w:rPr>
      </w:pPr>
      <w:r>
        <w:rPr>
          <w:szCs w:val="22"/>
        </w:rPr>
        <w:t>City of Fairfax</w:t>
      </w:r>
    </w:p>
    <w:p w14:paraId="6AAADC27" w14:textId="3EC79919" w:rsidR="007043D1" w:rsidRDefault="007043D1" w:rsidP="00EC12DE">
      <w:pPr>
        <w:pStyle w:val="BodyText-COG"/>
        <w:numPr>
          <w:ilvl w:val="0"/>
          <w:numId w:val="7"/>
        </w:numPr>
        <w:rPr>
          <w:szCs w:val="22"/>
        </w:rPr>
      </w:pPr>
      <w:r>
        <w:rPr>
          <w:szCs w:val="22"/>
        </w:rPr>
        <w:t>City of Falls Church</w:t>
      </w:r>
    </w:p>
    <w:p w14:paraId="0A491739" w14:textId="144C5927" w:rsidR="007043D1" w:rsidRDefault="007043D1" w:rsidP="00EC12DE">
      <w:pPr>
        <w:pStyle w:val="BodyText-COG"/>
        <w:numPr>
          <w:ilvl w:val="0"/>
          <w:numId w:val="7"/>
        </w:numPr>
        <w:rPr>
          <w:szCs w:val="22"/>
        </w:rPr>
      </w:pPr>
      <w:r>
        <w:rPr>
          <w:szCs w:val="22"/>
        </w:rPr>
        <w:lastRenderedPageBreak/>
        <w:t>City of Greenbelt</w:t>
      </w:r>
    </w:p>
    <w:p w14:paraId="5004D8C7" w14:textId="0BCB07EF" w:rsidR="007043D1" w:rsidRDefault="007043D1" w:rsidP="00EC12DE">
      <w:pPr>
        <w:pStyle w:val="BodyText-COG"/>
        <w:numPr>
          <w:ilvl w:val="0"/>
          <w:numId w:val="7"/>
        </w:numPr>
        <w:rPr>
          <w:szCs w:val="22"/>
        </w:rPr>
      </w:pPr>
      <w:r>
        <w:rPr>
          <w:szCs w:val="22"/>
        </w:rPr>
        <w:t>City of Hyattsville</w:t>
      </w:r>
    </w:p>
    <w:p w14:paraId="06FC014B" w14:textId="2B062EF2" w:rsidR="007043D1" w:rsidRDefault="007043D1" w:rsidP="00EC12DE">
      <w:pPr>
        <w:pStyle w:val="BodyText-COG"/>
        <w:numPr>
          <w:ilvl w:val="0"/>
          <w:numId w:val="7"/>
        </w:numPr>
        <w:rPr>
          <w:szCs w:val="22"/>
        </w:rPr>
      </w:pPr>
      <w:r>
        <w:rPr>
          <w:szCs w:val="22"/>
        </w:rPr>
        <w:t xml:space="preserve">City of Laurel </w:t>
      </w:r>
    </w:p>
    <w:p w14:paraId="2743CD29" w14:textId="0869E4C6" w:rsidR="007043D1" w:rsidRDefault="007043D1" w:rsidP="00EC12DE">
      <w:pPr>
        <w:pStyle w:val="BodyText-COG"/>
        <w:numPr>
          <w:ilvl w:val="0"/>
          <w:numId w:val="7"/>
        </w:numPr>
        <w:rPr>
          <w:szCs w:val="22"/>
        </w:rPr>
      </w:pPr>
      <w:r>
        <w:rPr>
          <w:szCs w:val="22"/>
        </w:rPr>
        <w:t xml:space="preserve">City of Takoma Park </w:t>
      </w:r>
    </w:p>
    <w:p w14:paraId="617A4037" w14:textId="652D510A" w:rsidR="007043D1" w:rsidRDefault="007043D1" w:rsidP="00EC12DE">
      <w:pPr>
        <w:pStyle w:val="BodyText-COG"/>
        <w:numPr>
          <w:ilvl w:val="0"/>
          <w:numId w:val="7"/>
        </w:numPr>
        <w:rPr>
          <w:szCs w:val="22"/>
        </w:rPr>
      </w:pPr>
      <w:r>
        <w:rPr>
          <w:szCs w:val="22"/>
        </w:rPr>
        <w:t>District of Columbia</w:t>
      </w:r>
    </w:p>
    <w:p w14:paraId="168AD935" w14:textId="3F46E651" w:rsidR="007043D1" w:rsidRDefault="007043D1" w:rsidP="00EC12DE">
      <w:pPr>
        <w:pStyle w:val="BodyText-COG"/>
        <w:numPr>
          <w:ilvl w:val="0"/>
          <w:numId w:val="7"/>
        </w:numPr>
        <w:rPr>
          <w:szCs w:val="22"/>
        </w:rPr>
      </w:pPr>
      <w:r>
        <w:rPr>
          <w:szCs w:val="22"/>
        </w:rPr>
        <w:t>Fairfax County</w:t>
      </w:r>
    </w:p>
    <w:p w14:paraId="1DFE7517" w14:textId="45DEA7A8" w:rsidR="005C143C" w:rsidRDefault="005C143C" w:rsidP="005C143C">
      <w:pPr>
        <w:pStyle w:val="BodyText-COG"/>
        <w:rPr>
          <w:szCs w:val="22"/>
        </w:rPr>
      </w:pPr>
    </w:p>
    <w:p w14:paraId="09A34ED2" w14:textId="162B3DCE" w:rsidR="005C143C" w:rsidRPr="008D41B8" w:rsidRDefault="005C143C" w:rsidP="005C143C">
      <w:pPr>
        <w:pStyle w:val="Level2Head-COG"/>
        <w:outlineLvl w:val="0"/>
      </w:pPr>
      <w:bookmarkStart w:id="172" w:name="_Toc49368826"/>
      <w:bookmarkStart w:id="173" w:name="_Toc49368902"/>
      <w:bookmarkStart w:id="174" w:name="_Toc49861430"/>
      <w:bookmarkStart w:id="175" w:name="_Toc50968723"/>
      <w:bookmarkStart w:id="176" w:name="_Toc51077712"/>
      <w:r>
        <w:t>Mayors Climate Protection Agreement</w:t>
      </w:r>
      <w:bookmarkEnd w:id="172"/>
      <w:bookmarkEnd w:id="173"/>
      <w:bookmarkEnd w:id="174"/>
      <w:bookmarkEnd w:id="175"/>
      <w:bookmarkEnd w:id="176"/>
      <w:r>
        <w:t xml:space="preserve"> </w:t>
      </w:r>
    </w:p>
    <w:p w14:paraId="71C257E8" w14:textId="77777777" w:rsidR="005C143C" w:rsidRPr="005C143C" w:rsidRDefault="005C143C" w:rsidP="00250974">
      <w:pPr>
        <w:spacing w:after="160" w:line="260" w:lineRule="exact"/>
        <w:rPr>
          <w:rFonts w:ascii="Franklin Gothic Book" w:hAnsi="Franklin Gothic Book"/>
          <w:sz w:val="22"/>
          <w:szCs w:val="22"/>
        </w:rPr>
      </w:pPr>
      <w:r w:rsidRPr="005C143C">
        <w:rPr>
          <w:rFonts w:ascii="Franklin Gothic Book" w:hAnsi="Franklin Gothic Book"/>
          <w:sz w:val="22"/>
          <w:szCs w:val="22"/>
        </w:rPr>
        <w:t xml:space="preserve">The US Conference of Mayors launched the </w:t>
      </w:r>
      <w:hyperlink r:id="rId164" w:history="1">
        <w:r w:rsidRPr="005C143C">
          <w:rPr>
            <w:rStyle w:val="Hyperlink"/>
            <w:rFonts w:ascii="Franklin Gothic Book" w:hAnsi="Franklin Gothic Book"/>
            <w:sz w:val="22"/>
            <w:szCs w:val="22"/>
          </w:rPr>
          <w:t>Mayors Climate Protection Agreement</w:t>
        </w:r>
      </w:hyperlink>
      <w:r w:rsidRPr="005C143C">
        <w:rPr>
          <w:rFonts w:ascii="Franklin Gothic Book" w:hAnsi="Franklin Gothic Book"/>
          <w:sz w:val="22"/>
          <w:szCs w:val="22"/>
        </w:rPr>
        <w:t xml:space="preserve"> in 2005 after 141 nations ratified the Kyoto Protocol. Participating cities commit to:</w:t>
      </w:r>
    </w:p>
    <w:p w14:paraId="47B357FE" w14:textId="77777777" w:rsidR="005C143C" w:rsidRPr="005C143C" w:rsidRDefault="005C143C" w:rsidP="00EC12DE">
      <w:pPr>
        <w:pStyle w:val="ListParagraph"/>
        <w:numPr>
          <w:ilvl w:val="0"/>
          <w:numId w:val="8"/>
        </w:numPr>
        <w:spacing w:after="0" w:line="260" w:lineRule="exact"/>
        <w:rPr>
          <w:rFonts w:ascii="Franklin Gothic Book" w:hAnsi="Franklin Gothic Book"/>
        </w:rPr>
      </w:pPr>
      <w:r w:rsidRPr="005C143C">
        <w:rPr>
          <w:rFonts w:ascii="Franklin Gothic Book" w:hAnsi="Franklin Gothic Book"/>
        </w:rPr>
        <w:t xml:space="preserve">Strive to meet or beat the Kyoto Protocol targets in their own communities. </w:t>
      </w:r>
    </w:p>
    <w:p w14:paraId="464376BA" w14:textId="4305A353" w:rsidR="005C143C" w:rsidRPr="005C143C" w:rsidRDefault="005C143C" w:rsidP="00EC12DE">
      <w:pPr>
        <w:pStyle w:val="ListParagraph"/>
        <w:numPr>
          <w:ilvl w:val="0"/>
          <w:numId w:val="8"/>
        </w:numPr>
        <w:spacing w:after="0" w:line="260" w:lineRule="exact"/>
        <w:rPr>
          <w:rFonts w:ascii="Franklin Gothic Book" w:hAnsi="Franklin Gothic Book"/>
        </w:rPr>
      </w:pPr>
      <w:r w:rsidRPr="005C143C">
        <w:rPr>
          <w:rFonts w:ascii="Franklin Gothic Book" w:hAnsi="Franklin Gothic Book"/>
        </w:rPr>
        <w:t>Urge their state governments, and the federal government, to enact policies and programs to meet or beat the GHG emission reduction target suggested for the US in the Kyoto Protocol (7</w:t>
      </w:r>
      <w:r>
        <w:rPr>
          <w:rFonts w:ascii="Franklin Gothic Book" w:hAnsi="Franklin Gothic Book"/>
        </w:rPr>
        <w:t xml:space="preserve"> percent</w:t>
      </w:r>
      <w:r w:rsidRPr="005C143C">
        <w:rPr>
          <w:rFonts w:ascii="Franklin Gothic Book" w:hAnsi="Franklin Gothic Book"/>
        </w:rPr>
        <w:t xml:space="preserve"> reduction from 1990 levels by 2012). </w:t>
      </w:r>
    </w:p>
    <w:p w14:paraId="252E940A" w14:textId="77777777" w:rsidR="005C143C" w:rsidRPr="005C143C" w:rsidRDefault="005C143C" w:rsidP="00EC12DE">
      <w:pPr>
        <w:pStyle w:val="ListParagraph"/>
        <w:numPr>
          <w:ilvl w:val="0"/>
          <w:numId w:val="8"/>
        </w:numPr>
        <w:spacing w:after="0" w:line="260" w:lineRule="exact"/>
        <w:rPr>
          <w:rFonts w:ascii="Franklin Gothic Book" w:hAnsi="Franklin Gothic Book"/>
        </w:rPr>
      </w:pPr>
      <w:r w:rsidRPr="005C143C">
        <w:rPr>
          <w:rFonts w:ascii="Franklin Gothic Book" w:hAnsi="Franklin Gothic Book"/>
        </w:rPr>
        <w:t>Urge the US Congress to pass bipartisan GHG reduction legislation, which would create a national emission trading system.</w:t>
      </w:r>
    </w:p>
    <w:p w14:paraId="09D2A9A2" w14:textId="77777777" w:rsidR="005C143C" w:rsidRDefault="005C143C" w:rsidP="005C143C">
      <w:pPr>
        <w:pStyle w:val="BodyText-COG"/>
        <w:rPr>
          <w:szCs w:val="22"/>
        </w:rPr>
      </w:pPr>
    </w:p>
    <w:p w14:paraId="27E30C5A" w14:textId="77777777" w:rsidR="00250974" w:rsidRDefault="00250974" w:rsidP="00250974">
      <w:pPr>
        <w:pStyle w:val="Level3Head-COG"/>
        <w:outlineLvl w:val="0"/>
      </w:pPr>
      <w:bookmarkStart w:id="177" w:name="_Toc49368827"/>
      <w:bookmarkStart w:id="178" w:name="_Toc49368903"/>
      <w:bookmarkStart w:id="179" w:name="_Toc49861431"/>
      <w:bookmarkStart w:id="180" w:name="_Toc50968724"/>
      <w:bookmarkStart w:id="181" w:name="_Toc51077713"/>
      <w:r>
        <w:t>COG MEMBER participants</w:t>
      </w:r>
      <w:bookmarkEnd w:id="177"/>
      <w:bookmarkEnd w:id="178"/>
      <w:bookmarkEnd w:id="179"/>
      <w:bookmarkEnd w:id="180"/>
      <w:bookmarkEnd w:id="181"/>
    </w:p>
    <w:p w14:paraId="4C5D9636" w14:textId="77777777" w:rsidR="00250974" w:rsidRDefault="00250974" w:rsidP="00EC12DE">
      <w:pPr>
        <w:pStyle w:val="BodyText-COG"/>
        <w:numPr>
          <w:ilvl w:val="0"/>
          <w:numId w:val="7"/>
        </w:numPr>
        <w:rPr>
          <w:szCs w:val="22"/>
        </w:rPr>
      </w:pPr>
      <w:r>
        <w:rPr>
          <w:szCs w:val="22"/>
        </w:rPr>
        <w:t>City of Alexandria</w:t>
      </w:r>
    </w:p>
    <w:p w14:paraId="72920D3D" w14:textId="77777777" w:rsidR="00250974" w:rsidRDefault="00250974" w:rsidP="00EC12DE">
      <w:pPr>
        <w:pStyle w:val="BodyText-COG"/>
        <w:numPr>
          <w:ilvl w:val="0"/>
          <w:numId w:val="7"/>
        </w:numPr>
        <w:rPr>
          <w:szCs w:val="22"/>
        </w:rPr>
      </w:pPr>
      <w:r>
        <w:rPr>
          <w:szCs w:val="22"/>
        </w:rPr>
        <w:t xml:space="preserve">City of Laurel </w:t>
      </w:r>
    </w:p>
    <w:p w14:paraId="42CF4AA1" w14:textId="5CDB0B68" w:rsidR="00250974" w:rsidRDefault="00250974" w:rsidP="00EC12DE">
      <w:pPr>
        <w:pStyle w:val="BodyText-COG"/>
        <w:numPr>
          <w:ilvl w:val="0"/>
          <w:numId w:val="7"/>
        </w:numPr>
        <w:rPr>
          <w:szCs w:val="22"/>
        </w:rPr>
      </w:pPr>
      <w:r>
        <w:rPr>
          <w:szCs w:val="22"/>
        </w:rPr>
        <w:t>City of Gaithersburg</w:t>
      </w:r>
    </w:p>
    <w:p w14:paraId="5A516D92" w14:textId="681C9050" w:rsidR="00250974" w:rsidRDefault="00250974" w:rsidP="00EC12DE">
      <w:pPr>
        <w:pStyle w:val="BodyText-COG"/>
        <w:numPr>
          <w:ilvl w:val="0"/>
          <w:numId w:val="7"/>
        </w:numPr>
        <w:rPr>
          <w:szCs w:val="22"/>
        </w:rPr>
      </w:pPr>
      <w:r>
        <w:rPr>
          <w:szCs w:val="22"/>
        </w:rPr>
        <w:t>City of Rockville</w:t>
      </w:r>
    </w:p>
    <w:p w14:paraId="6CD5029D" w14:textId="77777777" w:rsidR="003D423B" w:rsidRDefault="003D423B" w:rsidP="00EC12DE">
      <w:pPr>
        <w:pStyle w:val="BodyText-COG"/>
        <w:numPr>
          <w:ilvl w:val="0"/>
          <w:numId w:val="7"/>
        </w:numPr>
        <w:rPr>
          <w:szCs w:val="22"/>
        </w:rPr>
      </w:pPr>
      <w:r>
        <w:rPr>
          <w:szCs w:val="22"/>
        </w:rPr>
        <w:t xml:space="preserve">City of Takoma Park </w:t>
      </w:r>
    </w:p>
    <w:p w14:paraId="33115528" w14:textId="77777777" w:rsidR="00250974" w:rsidRDefault="00250974" w:rsidP="00EC12DE">
      <w:pPr>
        <w:pStyle w:val="BodyText-COG"/>
        <w:numPr>
          <w:ilvl w:val="0"/>
          <w:numId w:val="7"/>
        </w:numPr>
        <w:rPr>
          <w:szCs w:val="22"/>
        </w:rPr>
      </w:pPr>
      <w:r>
        <w:rPr>
          <w:szCs w:val="22"/>
        </w:rPr>
        <w:t>District of Columbia</w:t>
      </w:r>
    </w:p>
    <w:p w14:paraId="588B06A9" w14:textId="688B77C7" w:rsidR="00490671" w:rsidRDefault="00490671" w:rsidP="00490671">
      <w:pPr>
        <w:pStyle w:val="BodyText-COG"/>
      </w:pPr>
    </w:p>
    <w:p w14:paraId="648E2CF4" w14:textId="6BA84082" w:rsidR="00491C12" w:rsidRPr="008D41B8" w:rsidRDefault="001969DC" w:rsidP="00491C12">
      <w:pPr>
        <w:pStyle w:val="Level2Head-COG"/>
        <w:outlineLvl w:val="0"/>
      </w:pPr>
      <w:bookmarkStart w:id="182" w:name="_Toc49368828"/>
      <w:bookmarkStart w:id="183" w:name="_Toc49368904"/>
      <w:bookmarkStart w:id="184" w:name="_Toc49861432"/>
      <w:bookmarkStart w:id="185" w:name="_Toc50968725"/>
      <w:bookmarkStart w:id="186" w:name="_Toc51077714"/>
      <w:r>
        <w:t>C40 Cites</w:t>
      </w:r>
      <w:bookmarkEnd w:id="182"/>
      <w:bookmarkEnd w:id="183"/>
      <w:bookmarkEnd w:id="184"/>
      <w:bookmarkEnd w:id="185"/>
      <w:bookmarkEnd w:id="186"/>
    </w:p>
    <w:p w14:paraId="7FAD4478" w14:textId="77777777" w:rsidR="001969DC" w:rsidRPr="001969DC" w:rsidRDefault="00DC418B" w:rsidP="001969DC">
      <w:pPr>
        <w:rPr>
          <w:rFonts w:ascii="Franklin Gothic Book" w:hAnsi="Franklin Gothic Book"/>
          <w:sz w:val="22"/>
          <w:szCs w:val="22"/>
        </w:rPr>
      </w:pPr>
      <w:hyperlink r:id="rId165" w:history="1">
        <w:r w:rsidR="001969DC" w:rsidRPr="001969DC">
          <w:rPr>
            <w:rStyle w:val="Hyperlink"/>
            <w:rFonts w:ascii="Franklin Gothic Book" w:hAnsi="Franklin Gothic Book"/>
            <w:sz w:val="22"/>
            <w:szCs w:val="22"/>
          </w:rPr>
          <w:t>C40 Cities Climate Leadership Group</w:t>
        </w:r>
      </w:hyperlink>
      <w:r w:rsidR="001969DC" w:rsidRPr="001969DC">
        <w:rPr>
          <w:rFonts w:ascii="Franklin Gothic Book" w:hAnsi="Franklin Gothic Book"/>
          <w:sz w:val="22"/>
          <w:szCs w:val="22"/>
        </w:rPr>
        <w:t xml:space="preserve"> (C40), founded in 2005, is a network of 94 of the world’s megacities committed to addressing climate change and achieving the goals of the Paris Agreement. C40 supports cities to collaborate effectively, share knowledge and drive meaningful, </w:t>
      </w:r>
      <w:proofErr w:type="gramStart"/>
      <w:r w:rsidR="001969DC" w:rsidRPr="001969DC">
        <w:rPr>
          <w:rFonts w:ascii="Franklin Gothic Book" w:hAnsi="Franklin Gothic Book"/>
          <w:sz w:val="22"/>
          <w:szCs w:val="22"/>
        </w:rPr>
        <w:t>measurable</w:t>
      </w:r>
      <w:proofErr w:type="gramEnd"/>
      <w:r w:rsidR="001969DC" w:rsidRPr="001969DC">
        <w:rPr>
          <w:rFonts w:ascii="Franklin Gothic Book" w:hAnsi="Franklin Gothic Book"/>
          <w:sz w:val="22"/>
          <w:szCs w:val="22"/>
        </w:rPr>
        <w:t xml:space="preserve"> and sustainable action on climate change.</w:t>
      </w:r>
    </w:p>
    <w:p w14:paraId="24064F37" w14:textId="77777777" w:rsidR="00491C12" w:rsidRPr="001969DC" w:rsidRDefault="00491C12" w:rsidP="00491C12">
      <w:pPr>
        <w:pStyle w:val="BodyText-COG"/>
        <w:rPr>
          <w:szCs w:val="22"/>
        </w:rPr>
      </w:pPr>
    </w:p>
    <w:p w14:paraId="2119AD9A" w14:textId="77777777" w:rsidR="00491C12" w:rsidRDefault="00491C12" w:rsidP="00491C12">
      <w:pPr>
        <w:pStyle w:val="Level3Head-COG"/>
        <w:outlineLvl w:val="0"/>
      </w:pPr>
      <w:bookmarkStart w:id="187" w:name="_Toc49368829"/>
      <w:bookmarkStart w:id="188" w:name="_Toc49368905"/>
      <w:bookmarkStart w:id="189" w:name="_Toc49861433"/>
      <w:bookmarkStart w:id="190" w:name="_Toc50968726"/>
      <w:bookmarkStart w:id="191" w:name="_Toc51077715"/>
      <w:r>
        <w:t>COG MEMBER participants</w:t>
      </w:r>
      <w:bookmarkEnd w:id="187"/>
      <w:bookmarkEnd w:id="188"/>
      <w:bookmarkEnd w:id="189"/>
      <w:bookmarkEnd w:id="190"/>
      <w:bookmarkEnd w:id="191"/>
    </w:p>
    <w:p w14:paraId="14EC0AB9" w14:textId="77777777" w:rsidR="00491C12" w:rsidRDefault="00491C12" w:rsidP="00EC12DE">
      <w:pPr>
        <w:pStyle w:val="BodyText-COG"/>
        <w:numPr>
          <w:ilvl w:val="0"/>
          <w:numId w:val="7"/>
        </w:numPr>
        <w:rPr>
          <w:szCs w:val="22"/>
        </w:rPr>
      </w:pPr>
      <w:r>
        <w:rPr>
          <w:szCs w:val="22"/>
        </w:rPr>
        <w:t>District of Columbia</w:t>
      </w:r>
    </w:p>
    <w:p w14:paraId="497F0D32" w14:textId="2A2A1354" w:rsidR="00490671" w:rsidRDefault="00490671" w:rsidP="00490671">
      <w:pPr>
        <w:pStyle w:val="BodyText-COG"/>
      </w:pPr>
    </w:p>
    <w:p w14:paraId="7D7C89DF" w14:textId="29C6BDB2" w:rsidR="001969DC" w:rsidRPr="008D41B8" w:rsidRDefault="00B714CD" w:rsidP="001969DC">
      <w:pPr>
        <w:pStyle w:val="Level2Head-COG"/>
        <w:outlineLvl w:val="0"/>
      </w:pPr>
      <w:bookmarkStart w:id="192" w:name="_Toc49368830"/>
      <w:bookmarkStart w:id="193" w:name="_Toc49368906"/>
      <w:bookmarkStart w:id="194" w:name="_Toc49861434"/>
      <w:bookmarkStart w:id="195" w:name="_Toc50968727"/>
      <w:bookmarkStart w:id="196" w:name="_Toc51077716"/>
      <w:r>
        <w:t>Carbon Neutral Cities Alliance</w:t>
      </w:r>
      <w:bookmarkEnd w:id="192"/>
      <w:bookmarkEnd w:id="193"/>
      <w:bookmarkEnd w:id="194"/>
      <w:bookmarkEnd w:id="195"/>
      <w:bookmarkEnd w:id="196"/>
    </w:p>
    <w:p w14:paraId="665455BB" w14:textId="5ABFC781" w:rsidR="00CF0CCE" w:rsidRPr="00B714CD" w:rsidRDefault="00CF0CCE" w:rsidP="00B714CD">
      <w:pPr>
        <w:spacing w:after="160" w:line="260" w:lineRule="exact"/>
        <w:rPr>
          <w:rFonts w:ascii="Franklin Gothic Book" w:hAnsi="Franklin Gothic Book"/>
          <w:noProof/>
          <w:sz w:val="22"/>
          <w:szCs w:val="22"/>
        </w:rPr>
      </w:pPr>
      <w:r w:rsidRPr="00B714CD">
        <w:rPr>
          <w:rFonts w:ascii="Franklin Gothic Book" w:hAnsi="Franklin Gothic Book"/>
          <w:noProof/>
          <w:sz w:val="22"/>
          <w:szCs w:val="22"/>
        </w:rPr>
        <w:t xml:space="preserve">The </w:t>
      </w:r>
      <w:hyperlink r:id="rId166" w:history="1">
        <w:r w:rsidRPr="00B714CD">
          <w:rPr>
            <w:rStyle w:val="Hyperlink"/>
            <w:rFonts w:ascii="Franklin Gothic Book" w:hAnsi="Franklin Gothic Book"/>
            <w:noProof/>
            <w:sz w:val="22"/>
            <w:szCs w:val="22"/>
          </w:rPr>
          <w:t>Carbon Neutral Cities Alliance</w:t>
        </w:r>
      </w:hyperlink>
      <w:r w:rsidRPr="00B714CD">
        <w:rPr>
          <w:rFonts w:ascii="Franklin Gothic Book" w:hAnsi="Franklin Gothic Book"/>
          <w:noProof/>
          <w:sz w:val="22"/>
          <w:szCs w:val="22"/>
        </w:rPr>
        <w:t xml:space="preserve"> (CNCA), founded in 2014, is a collaboration of cities working to cut GHG emissions by 80</w:t>
      </w:r>
      <w:r w:rsidR="00880728">
        <w:rPr>
          <w:rFonts w:ascii="Franklin Gothic Book" w:hAnsi="Franklin Gothic Book"/>
          <w:noProof/>
          <w:sz w:val="22"/>
          <w:szCs w:val="22"/>
        </w:rPr>
        <w:t xml:space="preserve"> - </w:t>
      </w:r>
      <w:r w:rsidRPr="00B714CD">
        <w:rPr>
          <w:rFonts w:ascii="Franklin Gothic Book" w:hAnsi="Franklin Gothic Book"/>
          <w:noProof/>
          <w:sz w:val="22"/>
          <w:szCs w:val="22"/>
        </w:rPr>
        <w:t>100</w:t>
      </w:r>
      <w:r w:rsidR="00880728">
        <w:rPr>
          <w:rFonts w:ascii="Franklin Gothic Book" w:hAnsi="Franklin Gothic Book"/>
          <w:noProof/>
          <w:sz w:val="22"/>
          <w:szCs w:val="22"/>
        </w:rPr>
        <w:t xml:space="preserve"> percent</w:t>
      </w:r>
      <w:r w:rsidRPr="00B714CD">
        <w:rPr>
          <w:rFonts w:ascii="Franklin Gothic Book" w:hAnsi="Franklin Gothic Book"/>
          <w:noProof/>
          <w:sz w:val="22"/>
          <w:szCs w:val="22"/>
        </w:rPr>
        <w:t xml:space="preserve"> by 2050 or sooner. Cities must meet the following criteria:</w:t>
      </w:r>
    </w:p>
    <w:p w14:paraId="4C69CCC3" w14:textId="77777777" w:rsidR="00CF0CCE" w:rsidRPr="00B714CD" w:rsidRDefault="00CF0CCE" w:rsidP="00EC12DE">
      <w:pPr>
        <w:pStyle w:val="ListParagraph"/>
        <w:numPr>
          <w:ilvl w:val="0"/>
          <w:numId w:val="9"/>
        </w:numPr>
        <w:spacing w:after="0" w:line="260" w:lineRule="exact"/>
        <w:rPr>
          <w:rFonts w:ascii="Franklin Gothic Book" w:hAnsi="Franklin Gothic Book"/>
          <w:noProof/>
        </w:rPr>
      </w:pPr>
      <w:r w:rsidRPr="00B714CD">
        <w:rPr>
          <w:rFonts w:ascii="Franklin Gothic Book" w:hAnsi="Franklin Gothic Book"/>
          <w:noProof/>
        </w:rPr>
        <w:t>City Council formally adopted community-wide carbon neutrality goal across all sectors.</w:t>
      </w:r>
    </w:p>
    <w:p w14:paraId="11E128EA" w14:textId="77777777" w:rsidR="00CF0CCE" w:rsidRPr="00B714CD" w:rsidRDefault="00CF0CCE" w:rsidP="00EC12DE">
      <w:pPr>
        <w:pStyle w:val="ListParagraph"/>
        <w:numPr>
          <w:ilvl w:val="0"/>
          <w:numId w:val="9"/>
        </w:numPr>
        <w:spacing w:after="0" w:line="260" w:lineRule="exact"/>
        <w:rPr>
          <w:rFonts w:ascii="Franklin Gothic Book" w:hAnsi="Franklin Gothic Book"/>
          <w:noProof/>
        </w:rPr>
      </w:pPr>
      <w:r w:rsidRPr="00B714CD">
        <w:rPr>
          <w:rFonts w:ascii="Franklin Gothic Book" w:hAnsi="Franklin Gothic Book"/>
          <w:noProof/>
        </w:rPr>
        <w:t>Developed, or is currently developing, community-wide carbon neutrality implementation plan.</w:t>
      </w:r>
    </w:p>
    <w:p w14:paraId="05EB44D8" w14:textId="77777777" w:rsidR="00CF0CCE" w:rsidRPr="00B714CD" w:rsidRDefault="00CF0CCE" w:rsidP="00EC12DE">
      <w:pPr>
        <w:pStyle w:val="ListParagraph"/>
        <w:numPr>
          <w:ilvl w:val="0"/>
          <w:numId w:val="9"/>
        </w:numPr>
        <w:spacing w:after="0" w:line="260" w:lineRule="exact"/>
        <w:rPr>
          <w:rFonts w:ascii="Franklin Gothic Book" w:hAnsi="Franklin Gothic Book"/>
          <w:noProof/>
        </w:rPr>
      </w:pPr>
      <w:r w:rsidRPr="00B714CD">
        <w:rPr>
          <w:rFonts w:ascii="Franklin Gothic Book" w:hAnsi="Franklin Gothic Book"/>
          <w:noProof/>
        </w:rPr>
        <w:t>Dedicated budget and staff allocated to implementing its carbon neutrality plan.</w:t>
      </w:r>
    </w:p>
    <w:p w14:paraId="2DBCCFE9" w14:textId="317A71E4" w:rsidR="00CF0CCE" w:rsidRPr="00B714CD" w:rsidRDefault="00CF0CCE" w:rsidP="00EC12DE">
      <w:pPr>
        <w:pStyle w:val="ListParagraph"/>
        <w:numPr>
          <w:ilvl w:val="0"/>
          <w:numId w:val="9"/>
        </w:numPr>
        <w:spacing w:after="0" w:line="260" w:lineRule="exact"/>
        <w:rPr>
          <w:rFonts w:ascii="Franklin Gothic Book" w:hAnsi="Franklin Gothic Book"/>
          <w:noProof/>
        </w:rPr>
      </w:pPr>
      <w:r w:rsidRPr="00B714CD">
        <w:rPr>
          <w:rFonts w:ascii="Franklin Gothic Book" w:hAnsi="Franklin Gothic Book"/>
          <w:noProof/>
        </w:rPr>
        <w:t>City is committed to active participation in the Alliiance.</w:t>
      </w:r>
    </w:p>
    <w:p w14:paraId="6EE85CB6" w14:textId="2924A8B6" w:rsidR="003D423B" w:rsidRDefault="003D423B" w:rsidP="00B714CD">
      <w:pPr>
        <w:pStyle w:val="ListParagraph"/>
        <w:spacing w:after="0" w:line="260" w:lineRule="exact"/>
        <w:rPr>
          <w:rFonts w:ascii="Franklin Gothic Book" w:hAnsi="Franklin Gothic Book"/>
          <w:noProof/>
        </w:rPr>
      </w:pPr>
    </w:p>
    <w:p w14:paraId="7E690569" w14:textId="77777777" w:rsidR="00FD78F2" w:rsidRPr="00EE61BD" w:rsidRDefault="00FD78F2" w:rsidP="00B714CD">
      <w:pPr>
        <w:pStyle w:val="ListParagraph"/>
        <w:spacing w:after="0" w:line="260" w:lineRule="exact"/>
        <w:rPr>
          <w:rFonts w:ascii="Franklin Gothic Book" w:hAnsi="Franklin Gothic Book"/>
          <w:noProof/>
        </w:rPr>
      </w:pPr>
    </w:p>
    <w:p w14:paraId="11416444" w14:textId="77777777" w:rsidR="001969DC" w:rsidRDefault="001969DC" w:rsidP="001969DC">
      <w:pPr>
        <w:pStyle w:val="Level3Head-COG"/>
        <w:outlineLvl w:val="0"/>
      </w:pPr>
      <w:bookmarkStart w:id="197" w:name="_Toc49368831"/>
      <w:bookmarkStart w:id="198" w:name="_Toc49368907"/>
      <w:bookmarkStart w:id="199" w:name="_Toc49861435"/>
      <w:bookmarkStart w:id="200" w:name="_Toc50968728"/>
      <w:bookmarkStart w:id="201" w:name="_Toc51077717"/>
      <w:r>
        <w:lastRenderedPageBreak/>
        <w:t>COG MEMBER participants</w:t>
      </w:r>
      <w:bookmarkEnd w:id="197"/>
      <w:bookmarkEnd w:id="198"/>
      <w:bookmarkEnd w:id="199"/>
      <w:bookmarkEnd w:id="200"/>
      <w:bookmarkEnd w:id="201"/>
    </w:p>
    <w:p w14:paraId="14B04CA3" w14:textId="77777777" w:rsidR="001969DC" w:rsidRDefault="001969DC" w:rsidP="00EC12DE">
      <w:pPr>
        <w:pStyle w:val="BodyText-COG"/>
        <w:numPr>
          <w:ilvl w:val="0"/>
          <w:numId w:val="7"/>
        </w:numPr>
        <w:rPr>
          <w:szCs w:val="22"/>
        </w:rPr>
      </w:pPr>
      <w:r>
        <w:rPr>
          <w:szCs w:val="22"/>
        </w:rPr>
        <w:t>District of Columbia</w:t>
      </w:r>
    </w:p>
    <w:p w14:paraId="5EDA892E" w14:textId="00CD85F4" w:rsidR="00490671" w:rsidRDefault="00490671" w:rsidP="00490671">
      <w:pPr>
        <w:pStyle w:val="BodyText-COG"/>
      </w:pPr>
    </w:p>
    <w:p w14:paraId="102F2728" w14:textId="4891241B" w:rsidR="001969DC" w:rsidRPr="008D41B8" w:rsidRDefault="00880728" w:rsidP="001969DC">
      <w:pPr>
        <w:pStyle w:val="Level2Head-COG"/>
        <w:outlineLvl w:val="0"/>
      </w:pPr>
      <w:bookmarkStart w:id="202" w:name="_Toc49368832"/>
      <w:bookmarkStart w:id="203" w:name="_Toc49368908"/>
      <w:bookmarkStart w:id="204" w:name="_Toc49861436"/>
      <w:bookmarkStart w:id="205" w:name="_Toc50968729"/>
      <w:bookmarkStart w:id="206" w:name="_Toc51077718"/>
      <w:r>
        <w:t>Ready for 100 Campaign</w:t>
      </w:r>
      <w:bookmarkEnd w:id="202"/>
      <w:bookmarkEnd w:id="203"/>
      <w:bookmarkEnd w:id="204"/>
      <w:bookmarkEnd w:id="205"/>
      <w:bookmarkEnd w:id="206"/>
    </w:p>
    <w:p w14:paraId="6DAFE7AB" w14:textId="2DBAE418" w:rsidR="00880728" w:rsidRPr="00880728" w:rsidRDefault="00880728" w:rsidP="00880728">
      <w:pPr>
        <w:spacing w:line="260" w:lineRule="exact"/>
        <w:rPr>
          <w:rFonts w:ascii="Franklin Gothic Book" w:hAnsi="Franklin Gothic Book"/>
          <w:noProof/>
          <w:sz w:val="22"/>
          <w:szCs w:val="22"/>
        </w:rPr>
      </w:pPr>
      <w:r w:rsidRPr="00880728">
        <w:rPr>
          <w:rFonts w:ascii="Franklin Gothic Book" w:hAnsi="Franklin Gothic Book"/>
          <w:noProof/>
          <w:sz w:val="22"/>
          <w:szCs w:val="22"/>
        </w:rPr>
        <w:t xml:space="preserve">The Sierra Club’s </w:t>
      </w:r>
      <w:hyperlink r:id="rId167" w:history="1">
        <w:r w:rsidRPr="00880728">
          <w:rPr>
            <w:rStyle w:val="Hyperlink"/>
            <w:rFonts w:ascii="Franklin Gothic Book" w:hAnsi="Franklin Gothic Book"/>
            <w:noProof/>
            <w:sz w:val="22"/>
            <w:szCs w:val="22"/>
          </w:rPr>
          <w:t>Ready for 100</w:t>
        </w:r>
      </w:hyperlink>
      <w:r w:rsidRPr="00880728">
        <w:rPr>
          <w:rFonts w:ascii="Franklin Gothic Book" w:hAnsi="Franklin Gothic Book"/>
          <w:noProof/>
          <w:sz w:val="22"/>
          <w:szCs w:val="22"/>
        </w:rPr>
        <w:t xml:space="preserve"> campaign, launched in 2016, is a national movement of people working to inspire our leaders to embrace 100</w:t>
      </w:r>
      <w:r w:rsidR="00C37B0D">
        <w:rPr>
          <w:rFonts w:ascii="Franklin Gothic Book" w:hAnsi="Franklin Gothic Book"/>
          <w:noProof/>
          <w:sz w:val="22"/>
          <w:szCs w:val="22"/>
        </w:rPr>
        <w:t xml:space="preserve"> percent</w:t>
      </w:r>
      <w:r w:rsidRPr="00880728">
        <w:rPr>
          <w:rFonts w:ascii="Franklin Gothic Book" w:hAnsi="Franklin Gothic Book"/>
          <w:noProof/>
          <w:sz w:val="22"/>
          <w:szCs w:val="22"/>
        </w:rPr>
        <w:t xml:space="preserve"> clean, renewable energy. Commitments often start with a statement or procl</w:t>
      </w:r>
      <w:r w:rsidR="00C37B0D">
        <w:rPr>
          <w:rFonts w:ascii="Franklin Gothic Book" w:hAnsi="Franklin Gothic Book"/>
          <w:noProof/>
          <w:sz w:val="22"/>
          <w:szCs w:val="22"/>
        </w:rPr>
        <w:t>a</w:t>
      </w:r>
      <w:r w:rsidRPr="00880728">
        <w:rPr>
          <w:rFonts w:ascii="Franklin Gothic Book" w:hAnsi="Franklin Gothic Book"/>
          <w:noProof/>
          <w:sz w:val="22"/>
          <w:szCs w:val="22"/>
        </w:rPr>
        <w:t>mation in support of 100</w:t>
      </w:r>
      <w:r w:rsidR="00C37B0D">
        <w:rPr>
          <w:rFonts w:ascii="Franklin Gothic Book" w:hAnsi="Franklin Gothic Book"/>
          <w:noProof/>
          <w:sz w:val="22"/>
          <w:szCs w:val="22"/>
        </w:rPr>
        <w:t xml:space="preserve"> percent</w:t>
      </w:r>
      <w:r w:rsidRPr="00880728">
        <w:rPr>
          <w:rFonts w:ascii="Franklin Gothic Book" w:hAnsi="Franklin Gothic Book"/>
          <w:noProof/>
          <w:sz w:val="22"/>
          <w:szCs w:val="22"/>
        </w:rPr>
        <w:t xml:space="preserve"> renewable energy that moves to a binding commitment, but communities can commit through a variety of pathways.</w:t>
      </w:r>
    </w:p>
    <w:p w14:paraId="55174745" w14:textId="77777777" w:rsidR="001969DC" w:rsidRPr="00880728" w:rsidRDefault="001969DC" w:rsidP="00880728">
      <w:pPr>
        <w:spacing w:line="260" w:lineRule="exact"/>
        <w:rPr>
          <w:rFonts w:ascii="Franklin Gothic Book" w:hAnsi="Franklin Gothic Book"/>
          <w:sz w:val="22"/>
          <w:szCs w:val="22"/>
        </w:rPr>
      </w:pPr>
    </w:p>
    <w:p w14:paraId="7915F768" w14:textId="77777777" w:rsidR="001969DC" w:rsidRDefault="001969DC" w:rsidP="001969DC">
      <w:pPr>
        <w:pStyle w:val="Level3Head-COG"/>
        <w:outlineLvl w:val="0"/>
      </w:pPr>
      <w:bookmarkStart w:id="207" w:name="_Toc49368833"/>
      <w:bookmarkStart w:id="208" w:name="_Toc49368909"/>
      <w:bookmarkStart w:id="209" w:name="_Toc49861437"/>
      <w:bookmarkStart w:id="210" w:name="_Toc50968730"/>
      <w:bookmarkStart w:id="211" w:name="_Toc51077719"/>
      <w:r>
        <w:t>COG MEMBER participants</w:t>
      </w:r>
      <w:bookmarkEnd w:id="207"/>
      <w:bookmarkEnd w:id="208"/>
      <w:bookmarkEnd w:id="209"/>
      <w:bookmarkEnd w:id="210"/>
      <w:bookmarkEnd w:id="211"/>
    </w:p>
    <w:p w14:paraId="5AC14CB6" w14:textId="2EB5E517" w:rsidR="001969DC" w:rsidRPr="003D423B" w:rsidRDefault="003D423B" w:rsidP="00EC12DE">
      <w:pPr>
        <w:pStyle w:val="BodyText-COG"/>
        <w:numPr>
          <w:ilvl w:val="0"/>
          <w:numId w:val="7"/>
        </w:numPr>
        <w:rPr>
          <w:szCs w:val="22"/>
        </w:rPr>
      </w:pPr>
      <w:r w:rsidRPr="003D423B">
        <w:rPr>
          <w:szCs w:val="22"/>
        </w:rPr>
        <w:t>Arlington County</w:t>
      </w:r>
    </w:p>
    <w:p w14:paraId="07967BE0" w14:textId="404414FD" w:rsidR="003D423B" w:rsidRPr="003D423B" w:rsidRDefault="003D423B" w:rsidP="00EC12DE">
      <w:pPr>
        <w:pStyle w:val="BodyText-COG"/>
        <w:numPr>
          <w:ilvl w:val="0"/>
          <w:numId w:val="7"/>
        </w:numPr>
        <w:rPr>
          <w:szCs w:val="22"/>
        </w:rPr>
      </w:pPr>
      <w:r w:rsidRPr="003D423B">
        <w:rPr>
          <w:szCs w:val="22"/>
        </w:rPr>
        <w:t>City of Alexandria</w:t>
      </w:r>
    </w:p>
    <w:p w14:paraId="4F20DC4D" w14:textId="77777777" w:rsidR="00C37B0D" w:rsidRPr="003D423B" w:rsidRDefault="00C37B0D" w:rsidP="00C37B0D">
      <w:pPr>
        <w:pStyle w:val="BodyText-COG"/>
        <w:ind w:left="720"/>
        <w:rPr>
          <w:szCs w:val="22"/>
        </w:rPr>
      </w:pPr>
    </w:p>
    <w:p w14:paraId="07F093D1" w14:textId="404B880E" w:rsidR="00E33F24" w:rsidRPr="00505F59" w:rsidRDefault="00754879" w:rsidP="00E33F24">
      <w:pPr>
        <w:pStyle w:val="Level2Head-COG"/>
        <w:outlineLvl w:val="0"/>
      </w:pPr>
      <w:bookmarkStart w:id="212" w:name="_Toc49368834"/>
      <w:bookmarkStart w:id="213" w:name="_Toc49368910"/>
      <w:bookmarkStart w:id="214" w:name="_Toc49861438"/>
      <w:bookmarkStart w:id="215" w:name="_Toc50968731"/>
      <w:bookmarkStart w:id="216" w:name="_Toc51077720"/>
      <w:r w:rsidRPr="00505F59">
        <w:t>Net Zero Carbon Buildings Commitment</w:t>
      </w:r>
      <w:bookmarkEnd w:id="212"/>
      <w:bookmarkEnd w:id="213"/>
      <w:bookmarkEnd w:id="214"/>
      <w:bookmarkEnd w:id="215"/>
      <w:bookmarkEnd w:id="216"/>
      <w:r w:rsidRPr="00505F59">
        <w:t xml:space="preserve"> </w:t>
      </w:r>
    </w:p>
    <w:p w14:paraId="7E19E8EB" w14:textId="55FD73BA" w:rsidR="00C37B0D" w:rsidRPr="00505F59" w:rsidRDefault="00C37B0D" w:rsidP="00505F59">
      <w:pPr>
        <w:spacing w:line="260" w:lineRule="exact"/>
        <w:rPr>
          <w:rStyle w:val="Strong"/>
          <w:rFonts w:ascii="Franklin Gothic Book" w:hAnsi="Franklin Gothic Book" w:cstheme="minorHAnsi"/>
          <w:b w:val="0"/>
          <w:bCs w:val="0"/>
          <w:sz w:val="22"/>
          <w:szCs w:val="22"/>
        </w:rPr>
      </w:pPr>
      <w:r w:rsidRPr="00505F59">
        <w:rPr>
          <w:rStyle w:val="Strong"/>
          <w:rFonts w:ascii="Franklin Gothic Book" w:hAnsi="Franklin Gothic Book" w:cstheme="minorHAnsi"/>
          <w:b w:val="0"/>
          <w:bCs w:val="0"/>
          <w:sz w:val="22"/>
          <w:szCs w:val="22"/>
          <w:shd w:val="clear" w:color="auto" w:fill="FFFFFF"/>
        </w:rPr>
        <w:t xml:space="preserve">The </w:t>
      </w:r>
      <w:hyperlink r:id="rId168" w:history="1">
        <w:r w:rsidRPr="00505F59">
          <w:rPr>
            <w:rStyle w:val="Hyperlink"/>
            <w:rFonts w:ascii="Franklin Gothic Book" w:hAnsi="Franklin Gothic Book" w:cstheme="minorHAnsi"/>
            <w:sz w:val="22"/>
            <w:szCs w:val="22"/>
            <w:shd w:val="clear" w:color="auto" w:fill="FFFFFF"/>
          </w:rPr>
          <w:t>Net Zero Carbon Buildings Commitment</w:t>
        </w:r>
      </w:hyperlink>
      <w:r w:rsidRPr="00505F59">
        <w:rPr>
          <w:rStyle w:val="Strong"/>
          <w:rFonts w:ascii="Franklin Gothic Book" w:hAnsi="Franklin Gothic Book" w:cstheme="minorHAnsi"/>
          <w:b w:val="0"/>
          <w:bCs w:val="0"/>
          <w:sz w:val="22"/>
          <w:szCs w:val="22"/>
          <w:shd w:val="clear" w:color="auto" w:fill="FFFFFF"/>
        </w:rPr>
        <w:t xml:space="preserve"> </w:t>
      </w:r>
      <w:r w:rsidRPr="00505F59">
        <w:rPr>
          <w:rFonts w:ascii="Franklin Gothic Book" w:hAnsi="Franklin Gothic Book" w:cstheme="minorHAnsi"/>
          <w:sz w:val="22"/>
          <w:szCs w:val="22"/>
          <w:shd w:val="clear" w:color="auto" w:fill="FFFFFF"/>
        </w:rPr>
        <w:t xml:space="preserve">challenges companies, cities, states and regions to reach Net Zero operating emissions in their portfolios by 2030, and to advocate for all buildings to be Net Zero in operation by 2050. </w:t>
      </w:r>
      <w:r w:rsidRPr="00505F59">
        <w:rPr>
          <w:rStyle w:val="Strong"/>
          <w:rFonts w:ascii="Franklin Gothic Book" w:hAnsi="Franklin Gothic Book" w:cstheme="minorHAnsi"/>
          <w:b w:val="0"/>
          <w:bCs w:val="0"/>
          <w:sz w:val="22"/>
          <w:szCs w:val="22"/>
        </w:rPr>
        <w:t xml:space="preserve">This Commitment initiative launched in 2018 to help ensure delivery of the highest ambitions of the Paris Agreement. Signatories commit to the goals, annually measuring and disclosing asset and portfolio energy demand and carbon emissions, </w:t>
      </w:r>
      <w:proofErr w:type="gramStart"/>
      <w:r w:rsidRPr="00505F59">
        <w:rPr>
          <w:rStyle w:val="Strong"/>
          <w:rFonts w:ascii="Franklin Gothic Book" w:hAnsi="Franklin Gothic Book" w:cstheme="minorHAnsi"/>
          <w:b w:val="0"/>
          <w:bCs w:val="0"/>
          <w:sz w:val="22"/>
          <w:szCs w:val="22"/>
        </w:rPr>
        <w:t>developing</w:t>
      </w:r>
      <w:proofErr w:type="gramEnd"/>
      <w:r w:rsidRPr="00505F59">
        <w:rPr>
          <w:rStyle w:val="Strong"/>
          <w:rFonts w:ascii="Franklin Gothic Book" w:hAnsi="Franklin Gothic Book" w:cstheme="minorHAnsi"/>
          <w:b w:val="0"/>
          <w:bCs w:val="0"/>
          <w:sz w:val="22"/>
          <w:szCs w:val="22"/>
        </w:rPr>
        <w:t xml:space="preserve"> and implementing a carbon roadmap, demonstrate progress and advocate for the transition to net zero carbon buildings. Partner organizations include the World Green Building Council, C40 Cities, and Under2 Coalition.  </w:t>
      </w:r>
    </w:p>
    <w:p w14:paraId="092592E0" w14:textId="77777777" w:rsidR="00E33F24" w:rsidRPr="00505F59" w:rsidRDefault="00E33F24" w:rsidP="00505F59">
      <w:pPr>
        <w:spacing w:line="260" w:lineRule="exact"/>
        <w:rPr>
          <w:rFonts w:ascii="Franklin Gothic Book" w:hAnsi="Franklin Gothic Book"/>
          <w:sz w:val="22"/>
          <w:szCs w:val="22"/>
        </w:rPr>
      </w:pPr>
    </w:p>
    <w:p w14:paraId="0180621D" w14:textId="77777777" w:rsidR="00E33F24" w:rsidRPr="006D58F5" w:rsidRDefault="00E33F24" w:rsidP="00E33F24">
      <w:pPr>
        <w:pStyle w:val="Level3Head-COG"/>
        <w:outlineLvl w:val="0"/>
      </w:pPr>
      <w:bookmarkStart w:id="217" w:name="_Toc49368835"/>
      <w:bookmarkStart w:id="218" w:name="_Toc49368911"/>
      <w:bookmarkStart w:id="219" w:name="_Toc49861439"/>
      <w:bookmarkStart w:id="220" w:name="_Toc50968732"/>
      <w:bookmarkStart w:id="221" w:name="_Toc51077721"/>
      <w:r w:rsidRPr="006D58F5">
        <w:t>COG MEMBER participants</w:t>
      </w:r>
      <w:bookmarkEnd w:id="217"/>
      <w:bookmarkEnd w:id="218"/>
      <w:bookmarkEnd w:id="219"/>
      <w:bookmarkEnd w:id="220"/>
      <w:bookmarkEnd w:id="221"/>
    </w:p>
    <w:p w14:paraId="354091A2" w14:textId="09476047" w:rsidR="00E33F24" w:rsidRPr="006D58F5" w:rsidRDefault="006D58F5" w:rsidP="00EC12DE">
      <w:pPr>
        <w:pStyle w:val="BodyText-COG"/>
        <w:numPr>
          <w:ilvl w:val="0"/>
          <w:numId w:val="7"/>
        </w:numPr>
        <w:rPr>
          <w:szCs w:val="22"/>
        </w:rPr>
      </w:pPr>
      <w:r w:rsidRPr="006D58F5">
        <w:rPr>
          <w:szCs w:val="22"/>
        </w:rPr>
        <w:t>Arlington County</w:t>
      </w:r>
    </w:p>
    <w:p w14:paraId="53663F0A" w14:textId="28BBE59B" w:rsidR="006D58F5" w:rsidRPr="006D58F5" w:rsidRDefault="006D58F5" w:rsidP="00EC12DE">
      <w:pPr>
        <w:pStyle w:val="BodyText-COG"/>
        <w:numPr>
          <w:ilvl w:val="0"/>
          <w:numId w:val="7"/>
        </w:numPr>
        <w:rPr>
          <w:szCs w:val="22"/>
        </w:rPr>
      </w:pPr>
      <w:r w:rsidRPr="006D58F5">
        <w:rPr>
          <w:szCs w:val="22"/>
        </w:rPr>
        <w:t>District of Columbia</w:t>
      </w:r>
    </w:p>
    <w:p w14:paraId="07C550A8" w14:textId="77777777" w:rsidR="00E33F24" w:rsidRPr="006D58F5" w:rsidRDefault="00E33F24" w:rsidP="00E33F24">
      <w:pPr>
        <w:pStyle w:val="BodyText-COG"/>
        <w:ind w:left="720"/>
        <w:rPr>
          <w:szCs w:val="22"/>
        </w:rPr>
      </w:pPr>
    </w:p>
    <w:p w14:paraId="091FB5F1" w14:textId="7A7DA287" w:rsidR="00E33F24" w:rsidRPr="00505F59" w:rsidRDefault="00754879" w:rsidP="00E33F24">
      <w:pPr>
        <w:pStyle w:val="Level2Head-COG"/>
        <w:outlineLvl w:val="0"/>
      </w:pPr>
      <w:bookmarkStart w:id="222" w:name="_Toc49368836"/>
      <w:bookmarkStart w:id="223" w:name="_Toc49368912"/>
      <w:bookmarkStart w:id="224" w:name="_Toc49861440"/>
      <w:bookmarkStart w:id="225" w:name="_Toc50968733"/>
      <w:bookmarkStart w:id="226" w:name="_Toc51077722"/>
      <w:r w:rsidRPr="00505F59">
        <w:t>Under2 Coalition</w:t>
      </w:r>
      <w:bookmarkEnd w:id="222"/>
      <w:bookmarkEnd w:id="223"/>
      <w:bookmarkEnd w:id="224"/>
      <w:bookmarkEnd w:id="225"/>
      <w:bookmarkEnd w:id="226"/>
    </w:p>
    <w:p w14:paraId="3FEDA9EB" w14:textId="6CA95C8E" w:rsidR="00754879" w:rsidRPr="00F92A09" w:rsidRDefault="00754879" w:rsidP="00F92A09">
      <w:pPr>
        <w:spacing w:line="260" w:lineRule="exact"/>
        <w:rPr>
          <w:rFonts w:ascii="Franklin Gothic Book" w:hAnsi="Franklin Gothic Book"/>
          <w:sz w:val="22"/>
          <w:szCs w:val="22"/>
        </w:rPr>
      </w:pPr>
      <w:r w:rsidRPr="00F92A09">
        <w:rPr>
          <w:rFonts w:ascii="Franklin Gothic Book" w:hAnsi="Franklin Gothic Book"/>
          <w:sz w:val="22"/>
          <w:szCs w:val="22"/>
        </w:rPr>
        <w:t xml:space="preserve">The </w:t>
      </w:r>
      <w:hyperlink r:id="rId169" w:history="1">
        <w:r w:rsidRPr="00F92A09">
          <w:rPr>
            <w:rStyle w:val="Hyperlink"/>
            <w:rFonts w:ascii="Franklin Gothic Book" w:hAnsi="Franklin Gothic Book"/>
            <w:sz w:val="22"/>
            <w:szCs w:val="22"/>
          </w:rPr>
          <w:t>Under2 Coalition</w:t>
        </w:r>
      </w:hyperlink>
      <w:r w:rsidRPr="00F92A09">
        <w:rPr>
          <w:rFonts w:ascii="Franklin Gothic Book" w:hAnsi="Franklin Gothic Book"/>
          <w:sz w:val="22"/>
          <w:szCs w:val="22"/>
        </w:rPr>
        <w:t>, founded in 2015, is a group of ambitious city, state, and regional governments representing 1.3 billion people and 43</w:t>
      </w:r>
      <w:r w:rsidR="00F92A09">
        <w:rPr>
          <w:rFonts w:ascii="Franklin Gothic Book" w:hAnsi="Franklin Gothic Book"/>
          <w:sz w:val="22"/>
          <w:szCs w:val="22"/>
        </w:rPr>
        <w:t xml:space="preserve"> percent</w:t>
      </w:r>
      <w:r w:rsidRPr="00F92A09">
        <w:rPr>
          <w:rFonts w:ascii="Franklin Gothic Book" w:hAnsi="Franklin Gothic Book"/>
          <w:sz w:val="22"/>
          <w:szCs w:val="22"/>
        </w:rPr>
        <w:t xml:space="preserve"> of the global economy that are committed to deep decarbonization pathway planning, scaling innovative policy solutions, and transparency to keep the global temperature rise to well below 2 degrees Celsius. Under2 Coalition promotes capacity building and peer learning amongst members, encourages members to disclose annually to CDP, and provides members guidance resources. </w:t>
      </w:r>
    </w:p>
    <w:p w14:paraId="5B3FD6A7" w14:textId="77777777" w:rsidR="00E33F24" w:rsidRPr="00F92A09" w:rsidRDefault="00E33F24" w:rsidP="00F92A09">
      <w:pPr>
        <w:spacing w:line="260" w:lineRule="exact"/>
        <w:rPr>
          <w:rFonts w:ascii="Franklin Gothic Book" w:hAnsi="Franklin Gothic Book"/>
          <w:sz w:val="22"/>
          <w:szCs w:val="22"/>
        </w:rPr>
      </w:pPr>
    </w:p>
    <w:p w14:paraId="3B1AB5FF" w14:textId="77777777" w:rsidR="00E33F24" w:rsidRPr="00950991" w:rsidRDefault="00E33F24" w:rsidP="00E33F24">
      <w:pPr>
        <w:pStyle w:val="Level3Head-COG"/>
        <w:outlineLvl w:val="0"/>
      </w:pPr>
      <w:bookmarkStart w:id="227" w:name="_Toc49368837"/>
      <w:bookmarkStart w:id="228" w:name="_Toc49368913"/>
      <w:bookmarkStart w:id="229" w:name="_Toc49861441"/>
      <w:bookmarkStart w:id="230" w:name="_Toc50968734"/>
      <w:bookmarkStart w:id="231" w:name="_Toc51077723"/>
      <w:r w:rsidRPr="00950991">
        <w:t>COG MEMBER participants</w:t>
      </w:r>
      <w:bookmarkEnd w:id="227"/>
      <w:bookmarkEnd w:id="228"/>
      <w:bookmarkEnd w:id="229"/>
      <w:bookmarkEnd w:id="230"/>
      <w:bookmarkEnd w:id="231"/>
    </w:p>
    <w:p w14:paraId="0F7582D0" w14:textId="60525AEC" w:rsidR="00950991" w:rsidRDefault="00950991" w:rsidP="00EC12DE">
      <w:pPr>
        <w:pStyle w:val="BodyText-COG"/>
        <w:numPr>
          <w:ilvl w:val="0"/>
          <w:numId w:val="7"/>
        </w:numPr>
        <w:rPr>
          <w:szCs w:val="22"/>
        </w:rPr>
      </w:pPr>
      <w:r w:rsidRPr="00AB2FCB">
        <w:rPr>
          <w:szCs w:val="22"/>
        </w:rPr>
        <w:t>Commonwealth of Virginia</w:t>
      </w:r>
    </w:p>
    <w:p w14:paraId="5276FE1A" w14:textId="411D1F25" w:rsidR="00950991" w:rsidRPr="00AB2FCB" w:rsidRDefault="00950991" w:rsidP="00EC12DE">
      <w:pPr>
        <w:pStyle w:val="BodyText-COG"/>
        <w:numPr>
          <w:ilvl w:val="0"/>
          <w:numId w:val="7"/>
        </w:numPr>
        <w:rPr>
          <w:szCs w:val="22"/>
        </w:rPr>
      </w:pPr>
      <w:r>
        <w:rPr>
          <w:szCs w:val="22"/>
        </w:rPr>
        <w:t xml:space="preserve">Montgomery County </w:t>
      </w:r>
    </w:p>
    <w:p w14:paraId="0AC4DA65" w14:textId="7EF536B2" w:rsidR="00E33F24" w:rsidRPr="00950991" w:rsidRDefault="00950991" w:rsidP="00EC12DE">
      <w:pPr>
        <w:pStyle w:val="BodyText-COG"/>
        <w:numPr>
          <w:ilvl w:val="0"/>
          <w:numId w:val="7"/>
        </w:numPr>
        <w:rPr>
          <w:szCs w:val="22"/>
        </w:rPr>
      </w:pPr>
      <w:r w:rsidRPr="00AB2FCB">
        <w:rPr>
          <w:szCs w:val="22"/>
        </w:rPr>
        <w:t xml:space="preserve">State of Maryland </w:t>
      </w:r>
    </w:p>
    <w:p w14:paraId="679885C1" w14:textId="068EF794" w:rsidR="00490671" w:rsidRDefault="00490671" w:rsidP="00490671">
      <w:pPr>
        <w:pStyle w:val="BodyText-COG"/>
        <w:rPr>
          <w:highlight w:val="yellow"/>
        </w:rPr>
      </w:pPr>
    </w:p>
    <w:p w14:paraId="61DC94D1" w14:textId="0066B214" w:rsidR="00E33F24" w:rsidRPr="00505F59" w:rsidRDefault="00754879" w:rsidP="00E33F24">
      <w:pPr>
        <w:pStyle w:val="Level2Head-COG"/>
        <w:outlineLvl w:val="0"/>
      </w:pPr>
      <w:bookmarkStart w:id="232" w:name="_Toc49368838"/>
      <w:bookmarkStart w:id="233" w:name="_Toc49368914"/>
      <w:bookmarkStart w:id="234" w:name="_Toc49861442"/>
      <w:bookmarkStart w:id="235" w:name="_Toc50968735"/>
      <w:bookmarkStart w:id="236" w:name="_Toc51077724"/>
      <w:r w:rsidRPr="00505F59">
        <w:t>United States Climate Alliance</w:t>
      </w:r>
      <w:bookmarkEnd w:id="232"/>
      <w:bookmarkEnd w:id="233"/>
      <w:bookmarkEnd w:id="234"/>
      <w:bookmarkEnd w:id="235"/>
      <w:bookmarkEnd w:id="236"/>
      <w:r w:rsidRPr="00505F59">
        <w:t xml:space="preserve"> </w:t>
      </w:r>
    </w:p>
    <w:p w14:paraId="5ACA890B" w14:textId="77777777" w:rsidR="00754879" w:rsidRPr="00DC535E" w:rsidRDefault="00754879" w:rsidP="00DC535E">
      <w:pPr>
        <w:spacing w:after="160" w:line="260" w:lineRule="exact"/>
        <w:contextualSpacing/>
        <w:rPr>
          <w:rFonts w:ascii="Franklin Gothic Book" w:hAnsi="Franklin Gothic Book"/>
          <w:sz w:val="22"/>
          <w:szCs w:val="22"/>
        </w:rPr>
      </w:pPr>
      <w:r w:rsidRPr="00DC535E">
        <w:rPr>
          <w:rFonts w:ascii="Franklin Gothic Book" w:hAnsi="Franklin Gothic Book"/>
          <w:sz w:val="22"/>
          <w:szCs w:val="22"/>
        </w:rPr>
        <w:t xml:space="preserve">The </w:t>
      </w:r>
      <w:hyperlink r:id="rId170" w:history="1">
        <w:r w:rsidRPr="00DC535E">
          <w:rPr>
            <w:rStyle w:val="Hyperlink"/>
            <w:rFonts w:ascii="Franklin Gothic Book" w:hAnsi="Franklin Gothic Book"/>
            <w:sz w:val="22"/>
            <w:szCs w:val="22"/>
          </w:rPr>
          <w:t>United States Climate Alliance</w:t>
        </w:r>
      </w:hyperlink>
      <w:r w:rsidRPr="00DC535E">
        <w:rPr>
          <w:rFonts w:ascii="Franklin Gothic Book" w:hAnsi="Franklin Gothic Book"/>
          <w:sz w:val="22"/>
          <w:szCs w:val="22"/>
        </w:rPr>
        <w:t xml:space="preserve"> is a bipartisan coalition of 24 governors committed to reducing GHGs consistent with the goals of the Paris Agreement. The Alliance launched in 2017 in response to the US decision to withdraw from the Paris Agreement. Member states commit to:</w:t>
      </w:r>
    </w:p>
    <w:p w14:paraId="26F841EA" w14:textId="4AAE2E44" w:rsidR="00754879" w:rsidRPr="00DC535E" w:rsidRDefault="00754879" w:rsidP="00EC12DE">
      <w:pPr>
        <w:pStyle w:val="ListParagraph"/>
        <w:numPr>
          <w:ilvl w:val="0"/>
          <w:numId w:val="20"/>
        </w:numPr>
        <w:spacing w:after="0" w:line="260" w:lineRule="exact"/>
        <w:rPr>
          <w:rFonts w:ascii="Franklin Gothic Book" w:hAnsi="Franklin Gothic Book"/>
        </w:rPr>
      </w:pPr>
      <w:r w:rsidRPr="00DC535E">
        <w:rPr>
          <w:rFonts w:ascii="Franklin Gothic Book" w:hAnsi="Franklin Gothic Book"/>
        </w:rPr>
        <w:lastRenderedPageBreak/>
        <w:t>Implement policies that advance the goals of the Paris Agreement, aiming to reduce greenhouse gas emissions by at least 26</w:t>
      </w:r>
      <w:r w:rsidR="00DC535E">
        <w:rPr>
          <w:rFonts w:ascii="Franklin Gothic Book" w:hAnsi="Franklin Gothic Book"/>
        </w:rPr>
        <w:t xml:space="preserve"> </w:t>
      </w:r>
      <w:r w:rsidRPr="00DC535E">
        <w:rPr>
          <w:rFonts w:ascii="Franklin Gothic Book" w:hAnsi="Franklin Gothic Book"/>
        </w:rPr>
        <w:t>-</w:t>
      </w:r>
      <w:r w:rsidR="00DC535E">
        <w:rPr>
          <w:rFonts w:ascii="Franklin Gothic Book" w:hAnsi="Franklin Gothic Book"/>
        </w:rPr>
        <w:t xml:space="preserve"> </w:t>
      </w:r>
      <w:r w:rsidRPr="00DC535E">
        <w:rPr>
          <w:rFonts w:ascii="Franklin Gothic Book" w:hAnsi="Franklin Gothic Book"/>
        </w:rPr>
        <w:t>28 percent below 2005 levels by 2025.</w:t>
      </w:r>
    </w:p>
    <w:p w14:paraId="1D057C76" w14:textId="77777777" w:rsidR="00754879" w:rsidRPr="00DC535E" w:rsidRDefault="00754879" w:rsidP="00EC12DE">
      <w:pPr>
        <w:pStyle w:val="ListParagraph"/>
        <w:numPr>
          <w:ilvl w:val="0"/>
          <w:numId w:val="20"/>
        </w:numPr>
        <w:spacing w:after="0" w:line="260" w:lineRule="exact"/>
        <w:rPr>
          <w:rFonts w:ascii="Franklin Gothic Book" w:hAnsi="Franklin Gothic Book"/>
        </w:rPr>
      </w:pPr>
      <w:r w:rsidRPr="00DC535E">
        <w:rPr>
          <w:rFonts w:ascii="Franklin Gothic Book" w:hAnsi="Franklin Gothic Book"/>
        </w:rPr>
        <w:t>Track and report progress to the global community in appropriate settings, including when the world convenes to take stock of the Paris Agreement.</w:t>
      </w:r>
    </w:p>
    <w:p w14:paraId="76847529" w14:textId="77777777" w:rsidR="00754879" w:rsidRPr="00DC535E" w:rsidRDefault="00754879" w:rsidP="00EC12DE">
      <w:pPr>
        <w:pStyle w:val="ListParagraph"/>
        <w:numPr>
          <w:ilvl w:val="0"/>
          <w:numId w:val="20"/>
        </w:numPr>
        <w:spacing w:after="0" w:line="260" w:lineRule="exact"/>
        <w:rPr>
          <w:rFonts w:ascii="Franklin Gothic Book" w:hAnsi="Franklin Gothic Book"/>
          <w:noProof/>
        </w:rPr>
      </w:pPr>
      <w:r w:rsidRPr="00DC535E">
        <w:rPr>
          <w:rFonts w:ascii="Franklin Gothic Book" w:hAnsi="Franklin Gothic Book"/>
        </w:rPr>
        <w:t>Accelerate new and existing policies to reduce carbon pollution and promote clean energy deployment at the state and federal level.</w:t>
      </w:r>
    </w:p>
    <w:p w14:paraId="24036444" w14:textId="77777777" w:rsidR="00E33F24" w:rsidRPr="00DC535E" w:rsidRDefault="00E33F24" w:rsidP="00DC535E">
      <w:pPr>
        <w:spacing w:line="260" w:lineRule="exact"/>
        <w:contextualSpacing/>
        <w:rPr>
          <w:rFonts w:ascii="Franklin Gothic Book" w:hAnsi="Franklin Gothic Book"/>
          <w:sz w:val="22"/>
          <w:szCs w:val="22"/>
          <w:highlight w:val="yellow"/>
        </w:rPr>
      </w:pPr>
    </w:p>
    <w:p w14:paraId="312A4418" w14:textId="77777777" w:rsidR="00E33F24" w:rsidRPr="00C12982" w:rsidRDefault="00E33F24" w:rsidP="00E33F24">
      <w:pPr>
        <w:pStyle w:val="Level3Head-COG"/>
        <w:outlineLvl w:val="0"/>
      </w:pPr>
      <w:bookmarkStart w:id="237" w:name="_Toc49368839"/>
      <w:bookmarkStart w:id="238" w:name="_Toc49368915"/>
      <w:bookmarkStart w:id="239" w:name="_Toc49861443"/>
      <w:bookmarkStart w:id="240" w:name="_Toc50968736"/>
      <w:bookmarkStart w:id="241" w:name="_Toc51077725"/>
      <w:r w:rsidRPr="00C12982">
        <w:t>COG MEMBER participants</w:t>
      </w:r>
      <w:bookmarkEnd w:id="237"/>
      <w:bookmarkEnd w:id="238"/>
      <w:bookmarkEnd w:id="239"/>
      <w:bookmarkEnd w:id="240"/>
      <w:bookmarkEnd w:id="241"/>
    </w:p>
    <w:p w14:paraId="7648B01C" w14:textId="77777777" w:rsidR="00C12982" w:rsidRPr="00AB2FCB" w:rsidRDefault="00C12982" w:rsidP="00EC12DE">
      <w:pPr>
        <w:pStyle w:val="BodyText-COG"/>
        <w:numPr>
          <w:ilvl w:val="0"/>
          <w:numId w:val="7"/>
        </w:numPr>
        <w:rPr>
          <w:szCs w:val="22"/>
        </w:rPr>
      </w:pPr>
      <w:r w:rsidRPr="00AB2FCB">
        <w:rPr>
          <w:szCs w:val="22"/>
        </w:rPr>
        <w:t>Commonwealth of Virginia</w:t>
      </w:r>
    </w:p>
    <w:p w14:paraId="5D992452" w14:textId="77777777" w:rsidR="00C12982" w:rsidRPr="00AB2FCB" w:rsidRDefault="00C12982" w:rsidP="00EC12DE">
      <w:pPr>
        <w:pStyle w:val="BodyText-COG"/>
        <w:numPr>
          <w:ilvl w:val="0"/>
          <w:numId w:val="7"/>
        </w:numPr>
        <w:rPr>
          <w:szCs w:val="22"/>
        </w:rPr>
      </w:pPr>
      <w:r w:rsidRPr="00AB2FCB">
        <w:rPr>
          <w:szCs w:val="22"/>
        </w:rPr>
        <w:t xml:space="preserve">State of Maryland </w:t>
      </w:r>
    </w:p>
    <w:p w14:paraId="0C4F8637" w14:textId="6982639B" w:rsidR="00E33F24" w:rsidRPr="005524C6" w:rsidRDefault="00E33F24" w:rsidP="00490671">
      <w:pPr>
        <w:pStyle w:val="BodyText-COG"/>
        <w:rPr>
          <w:highlight w:val="yellow"/>
        </w:rPr>
      </w:pPr>
    </w:p>
    <w:p w14:paraId="4B0C71EC" w14:textId="3259236F" w:rsidR="00E33F24" w:rsidRPr="00505F59" w:rsidRDefault="00754879" w:rsidP="00E33F24">
      <w:pPr>
        <w:pStyle w:val="Level2Head-COG"/>
        <w:outlineLvl w:val="0"/>
      </w:pPr>
      <w:bookmarkStart w:id="242" w:name="_Toc49368840"/>
      <w:bookmarkStart w:id="243" w:name="_Toc49368916"/>
      <w:bookmarkStart w:id="244" w:name="_Toc49861444"/>
      <w:bookmarkStart w:id="245" w:name="_Toc50968737"/>
      <w:bookmarkStart w:id="246" w:name="_Toc51077726"/>
      <w:r w:rsidRPr="00505F59">
        <w:t>Regional Greenhouse Gas Initiative</w:t>
      </w:r>
      <w:bookmarkEnd w:id="242"/>
      <w:bookmarkEnd w:id="243"/>
      <w:bookmarkEnd w:id="244"/>
      <w:bookmarkEnd w:id="245"/>
      <w:bookmarkEnd w:id="246"/>
    </w:p>
    <w:p w14:paraId="10613D4D" w14:textId="3E059595" w:rsidR="00E33F24" w:rsidRPr="005B5215" w:rsidRDefault="00754879" w:rsidP="005B5215">
      <w:pPr>
        <w:spacing w:line="260" w:lineRule="exact"/>
        <w:rPr>
          <w:rFonts w:ascii="Franklin Gothic Book" w:hAnsi="Franklin Gothic Book"/>
          <w:sz w:val="22"/>
          <w:szCs w:val="22"/>
        </w:rPr>
      </w:pPr>
      <w:r w:rsidRPr="005B5215">
        <w:rPr>
          <w:rFonts w:ascii="Franklin Gothic Book" w:hAnsi="Franklin Gothic Book"/>
          <w:sz w:val="22"/>
          <w:szCs w:val="22"/>
        </w:rPr>
        <w:t xml:space="preserve">The </w:t>
      </w:r>
      <w:hyperlink r:id="rId171" w:history="1">
        <w:r w:rsidRPr="005B5215">
          <w:rPr>
            <w:rStyle w:val="Hyperlink"/>
            <w:rFonts w:ascii="Franklin Gothic Book" w:hAnsi="Franklin Gothic Book"/>
            <w:sz w:val="22"/>
            <w:szCs w:val="22"/>
          </w:rPr>
          <w:t>Regional Greenhouse Gas Initiative</w:t>
        </w:r>
      </w:hyperlink>
      <w:r w:rsidRPr="005B5215">
        <w:rPr>
          <w:rFonts w:ascii="Franklin Gothic Book" w:hAnsi="Franklin Gothic Book"/>
          <w:sz w:val="22"/>
          <w:szCs w:val="22"/>
        </w:rPr>
        <w:t xml:space="preserve"> (RGGI), established in 2009, is the first mandatory market-based program in the US to reduce GHGs. RGGI is a cooperative effort among the states of Connecticut, Delaware, Maine, Maryland, Massachusetts, New Hampshire, New York, Rhode Island, and Vermont to cap and reduce CO</w:t>
      </w:r>
      <w:r w:rsidRPr="005B5215">
        <w:rPr>
          <w:rFonts w:ascii="Franklin Gothic Book" w:hAnsi="Franklin Gothic Book"/>
          <w:sz w:val="22"/>
          <w:szCs w:val="22"/>
          <w:vertAlign w:val="subscript"/>
        </w:rPr>
        <w:t>2</w:t>
      </w:r>
      <w:r w:rsidRPr="005B5215">
        <w:rPr>
          <w:rFonts w:ascii="Franklin Gothic Book" w:hAnsi="Franklin Gothic Book"/>
          <w:sz w:val="22"/>
          <w:szCs w:val="22"/>
        </w:rPr>
        <w:t xml:space="preserve"> emissions from the power sector. </w:t>
      </w:r>
    </w:p>
    <w:p w14:paraId="77485915" w14:textId="77777777" w:rsidR="005B5215" w:rsidRPr="005B5215" w:rsidRDefault="005B5215" w:rsidP="005B5215">
      <w:pPr>
        <w:spacing w:line="260" w:lineRule="exact"/>
        <w:rPr>
          <w:rFonts w:ascii="Franklin Gothic Book" w:hAnsi="Franklin Gothic Book"/>
          <w:sz w:val="22"/>
          <w:szCs w:val="22"/>
          <w:highlight w:val="yellow"/>
        </w:rPr>
      </w:pPr>
    </w:p>
    <w:p w14:paraId="7D7961F3" w14:textId="77777777" w:rsidR="00E33F24" w:rsidRPr="00AB2FCB" w:rsidRDefault="00E33F24" w:rsidP="00E33F24">
      <w:pPr>
        <w:pStyle w:val="Level3Head-COG"/>
        <w:outlineLvl w:val="0"/>
      </w:pPr>
      <w:bookmarkStart w:id="247" w:name="_Toc49368841"/>
      <w:bookmarkStart w:id="248" w:name="_Toc49368917"/>
      <w:bookmarkStart w:id="249" w:name="_Toc49861445"/>
      <w:bookmarkStart w:id="250" w:name="_Toc50968738"/>
      <w:bookmarkStart w:id="251" w:name="_Toc51077727"/>
      <w:r w:rsidRPr="00AB2FCB">
        <w:t>COG MEMBER participants</w:t>
      </w:r>
      <w:bookmarkEnd w:id="247"/>
      <w:bookmarkEnd w:id="248"/>
      <w:bookmarkEnd w:id="249"/>
      <w:bookmarkEnd w:id="250"/>
      <w:bookmarkEnd w:id="251"/>
    </w:p>
    <w:p w14:paraId="34AFA336" w14:textId="477F1E89" w:rsidR="00E33F24" w:rsidRPr="00AB2FCB" w:rsidRDefault="00AB2FCB" w:rsidP="00EC12DE">
      <w:pPr>
        <w:pStyle w:val="BodyText-COG"/>
        <w:numPr>
          <w:ilvl w:val="0"/>
          <w:numId w:val="7"/>
        </w:numPr>
        <w:rPr>
          <w:szCs w:val="22"/>
        </w:rPr>
      </w:pPr>
      <w:r w:rsidRPr="00AB2FCB">
        <w:rPr>
          <w:szCs w:val="22"/>
        </w:rPr>
        <w:t>Commonwealth of Virginia</w:t>
      </w:r>
    </w:p>
    <w:p w14:paraId="72C33EB0" w14:textId="150F157C" w:rsidR="00AB2FCB" w:rsidRPr="00AB2FCB" w:rsidRDefault="00AB2FCB" w:rsidP="00EC12DE">
      <w:pPr>
        <w:pStyle w:val="BodyText-COG"/>
        <w:numPr>
          <w:ilvl w:val="0"/>
          <w:numId w:val="7"/>
        </w:numPr>
        <w:rPr>
          <w:szCs w:val="22"/>
        </w:rPr>
      </w:pPr>
      <w:r w:rsidRPr="00AB2FCB">
        <w:rPr>
          <w:szCs w:val="22"/>
        </w:rPr>
        <w:t xml:space="preserve">State of Maryland </w:t>
      </w:r>
    </w:p>
    <w:p w14:paraId="4A3414BD" w14:textId="511512E0" w:rsidR="00E33F24" w:rsidRPr="00AB2FCB" w:rsidRDefault="00E33F24" w:rsidP="00490671">
      <w:pPr>
        <w:pStyle w:val="BodyText-COG"/>
      </w:pPr>
    </w:p>
    <w:p w14:paraId="0763913B" w14:textId="13620AD5" w:rsidR="00E33F24" w:rsidRPr="00393414" w:rsidRDefault="00812F3E" w:rsidP="00E33F24">
      <w:pPr>
        <w:pStyle w:val="Level2Head-COG"/>
        <w:outlineLvl w:val="0"/>
      </w:pPr>
      <w:bookmarkStart w:id="252" w:name="_Toc49368842"/>
      <w:bookmarkStart w:id="253" w:name="_Toc49368918"/>
      <w:bookmarkStart w:id="254" w:name="_Toc49861446"/>
      <w:bookmarkStart w:id="255" w:name="_Toc50968739"/>
      <w:bookmarkStart w:id="256" w:name="_Toc51077728"/>
      <w:r w:rsidRPr="00393414">
        <w:t>Transportation and Climate Initiative</w:t>
      </w:r>
      <w:bookmarkEnd w:id="252"/>
      <w:bookmarkEnd w:id="253"/>
      <w:bookmarkEnd w:id="254"/>
      <w:bookmarkEnd w:id="255"/>
      <w:bookmarkEnd w:id="256"/>
      <w:r w:rsidRPr="00393414">
        <w:t xml:space="preserve"> </w:t>
      </w:r>
    </w:p>
    <w:p w14:paraId="6029D0FE" w14:textId="77777777" w:rsidR="00812F3E" w:rsidRPr="00393414" w:rsidRDefault="00812F3E" w:rsidP="00393414">
      <w:pPr>
        <w:spacing w:line="260" w:lineRule="exact"/>
        <w:rPr>
          <w:rFonts w:ascii="Franklin Gothic Book" w:hAnsi="Franklin Gothic Book"/>
          <w:sz w:val="22"/>
          <w:szCs w:val="22"/>
        </w:rPr>
      </w:pPr>
      <w:r w:rsidRPr="00393414">
        <w:rPr>
          <w:rFonts w:ascii="Franklin Gothic Book" w:hAnsi="Franklin Gothic Book"/>
          <w:sz w:val="22"/>
          <w:szCs w:val="22"/>
        </w:rPr>
        <w:t xml:space="preserve">The </w:t>
      </w:r>
      <w:hyperlink r:id="rId172" w:history="1">
        <w:r w:rsidRPr="00393414">
          <w:rPr>
            <w:rStyle w:val="Hyperlink"/>
            <w:rFonts w:ascii="Franklin Gothic Book" w:hAnsi="Franklin Gothic Book"/>
            <w:sz w:val="22"/>
            <w:szCs w:val="22"/>
          </w:rPr>
          <w:t>Transportation and Climate Initiative</w:t>
        </w:r>
      </w:hyperlink>
      <w:r w:rsidRPr="00393414">
        <w:rPr>
          <w:rFonts w:ascii="Franklin Gothic Book" w:hAnsi="Franklin Gothic Book"/>
          <w:sz w:val="22"/>
          <w:szCs w:val="22"/>
        </w:rPr>
        <w:t xml:space="preserve"> (TCI), launched in 2010 and modeled after RGGI, is a regional collaboration of 12 Northeast and Mid-Atlantic states and the District of Columbia that are committed to improve transportation, develop the clean energy economy, and reduce carbon emissions from the transportation sector. </w:t>
      </w:r>
    </w:p>
    <w:p w14:paraId="220F1EF3" w14:textId="77777777" w:rsidR="00E33F24" w:rsidRPr="00977D7F" w:rsidRDefault="00E33F24" w:rsidP="00393414">
      <w:pPr>
        <w:spacing w:line="260" w:lineRule="exact"/>
        <w:rPr>
          <w:rFonts w:ascii="Franklin Gothic Book" w:hAnsi="Franklin Gothic Book"/>
          <w:sz w:val="22"/>
          <w:szCs w:val="22"/>
        </w:rPr>
      </w:pPr>
    </w:p>
    <w:p w14:paraId="39231044" w14:textId="77777777" w:rsidR="00E33F24" w:rsidRPr="00977D7F" w:rsidRDefault="00E33F24" w:rsidP="00E33F24">
      <w:pPr>
        <w:pStyle w:val="Level3Head-COG"/>
        <w:outlineLvl w:val="0"/>
      </w:pPr>
      <w:bookmarkStart w:id="257" w:name="_Toc49368843"/>
      <w:bookmarkStart w:id="258" w:name="_Toc49368919"/>
      <w:bookmarkStart w:id="259" w:name="_Toc49861447"/>
      <w:bookmarkStart w:id="260" w:name="_Toc50968740"/>
      <w:bookmarkStart w:id="261" w:name="_Toc51077729"/>
      <w:r w:rsidRPr="00977D7F">
        <w:t>COG MEMBER participants</w:t>
      </w:r>
      <w:bookmarkEnd w:id="257"/>
      <w:bookmarkEnd w:id="258"/>
      <w:bookmarkEnd w:id="259"/>
      <w:bookmarkEnd w:id="260"/>
      <w:bookmarkEnd w:id="261"/>
    </w:p>
    <w:p w14:paraId="1133DF31" w14:textId="1BAF1D91" w:rsidR="00E33F24" w:rsidRPr="00977D7F" w:rsidRDefault="00977D7F" w:rsidP="00EC12DE">
      <w:pPr>
        <w:pStyle w:val="BodyText-COG"/>
        <w:numPr>
          <w:ilvl w:val="0"/>
          <w:numId w:val="7"/>
        </w:numPr>
        <w:rPr>
          <w:szCs w:val="22"/>
        </w:rPr>
      </w:pPr>
      <w:r w:rsidRPr="00977D7F">
        <w:rPr>
          <w:szCs w:val="22"/>
        </w:rPr>
        <w:t>Commonwealth of Virginia</w:t>
      </w:r>
    </w:p>
    <w:p w14:paraId="280E1008" w14:textId="2BAEA712" w:rsidR="00977D7F" w:rsidRPr="00977D7F" w:rsidRDefault="00977D7F" w:rsidP="00EC12DE">
      <w:pPr>
        <w:pStyle w:val="BodyText-COG"/>
        <w:numPr>
          <w:ilvl w:val="0"/>
          <w:numId w:val="7"/>
        </w:numPr>
        <w:rPr>
          <w:szCs w:val="22"/>
        </w:rPr>
      </w:pPr>
      <w:r w:rsidRPr="00977D7F">
        <w:rPr>
          <w:szCs w:val="22"/>
        </w:rPr>
        <w:t>District of Columbia</w:t>
      </w:r>
    </w:p>
    <w:p w14:paraId="664C2D69" w14:textId="180C6803" w:rsidR="00977D7F" w:rsidRPr="00977D7F" w:rsidRDefault="00977D7F" w:rsidP="00EC12DE">
      <w:pPr>
        <w:pStyle w:val="BodyText-COG"/>
        <w:numPr>
          <w:ilvl w:val="0"/>
          <w:numId w:val="7"/>
        </w:numPr>
        <w:rPr>
          <w:szCs w:val="22"/>
        </w:rPr>
      </w:pPr>
      <w:r w:rsidRPr="00977D7F">
        <w:rPr>
          <w:szCs w:val="22"/>
        </w:rPr>
        <w:t xml:space="preserve">State of Maryland </w:t>
      </w:r>
    </w:p>
    <w:p w14:paraId="3082076C" w14:textId="0E061027" w:rsidR="00E33F24" w:rsidRPr="00977D7F" w:rsidRDefault="00E33F24" w:rsidP="00490671">
      <w:pPr>
        <w:pStyle w:val="BodyText-COG"/>
      </w:pPr>
    </w:p>
    <w:p w14:paraId="1FF984E4" w14:textId="452E5E5D" w:rsidR="00E33F24" w:rsidRPr="00001930" w:rsidRDefault="00D74632" w:rsidP="00E33F24">
      <w:pPr>
        <w:pStyle w:val="Level2Head-COG"/>
        <w:outlineLvl w:val="0"/>
      </w:pPr>
      <w:bookmarkStart w:id="262" w:name="_Toc49368844"/>
      <w:bookmarkStart w:id="263" w:name="_Toc49368920"/>
      <w:bookmarkStart w:id="264" w:name="_Toc49861448"/>
      <w:bookmarkStart w:id="265" w:name="_Toc50968741"/>
      <w:bookmarkStart w:id="266" w:name="_Toc51077730"/>
      <w:r w:rsidRPr="00001930">
        <w:t>METREX Agreement</w:t>
      </w:r>
      <w:bookmarkEnd w:id="262"/>
      <w:bookmarkEnd w:id="263"/>
      <w:bookmarkEnd w:id="264"/>
      <w:bookmarkEnd w:id="265"/>
      <w:bookmarkEnd w:id="266"/>
    </w:p>
    <w:p w14:paraId="3D198FE3" w14:textId="6C0E8C5B" w:rsidR="00E33F24" w:rsidRPr="00001930" w:rsidRDefault="00D74632" w:rsidP="00001930">
      <w:pPr>
        <w:spacing w:line="260" w:lineRule="exact"/>
        <w:rPr>
          <w:rFonts w:ascii="Franklin Gothic Book" w:hAnsi="Franklin Gothic Book"/>
          <w:sz w:val="22"/>
          <w:szCs w:val="22"/>
        </w:rPr>
      </w:pPr>
      <w:r w:rsidRPr="00001930">
        <w:rPr>
          <w:rFonts w:ascii="Franklin Gothic Book" w:hAnsi="Franklin Gothic Book"/>
          <w:sz w:val="22"/>
          <w:szCs w:val="22"/>
        </w:rPr>
        <w:t>The METREX Agreement, established in 2008, is an agreement to cooperate on building knowledge to advance climate change policies between US and European regions. Signatories include the Network of European Metropolitan Regions and Areas, the National Association of Regional Councils, the Northern Virginia Regional Commission (NVRC), and COG.</w:t>
      </w:r>
    </w:p>
    <w:p w14:paraId="052B729A" w14:textId="352B714E" w:rsidR="00001930" w:rsidRDefault="00001930" w:rsidP="00001930">
      <w:pPr>
        <w:spacing w:line="260" w:lineRule="exact"/>
        <w:rPr>
          <w:rFonts w:ascii="Franklin Gothic Book" w:hAnsi="Franklin Gothic Book"/>
          <w:sz w:val="22"/>
          <w:szCs w:val="22"/>
          <w:highlight w:val="yellow"/>
        </w:rPr>
      </w:pPr>
    </w:p>
    <w:p w14:paraId="18B1D966" w14:textId="77777777" w:rsidR="00E33F24" w:rsidRPr="00F97831" w:rsidRDefault="00E33F24" w:rsidP="00E33F24">
      <w:pPr>
        <w:pStyle w:val="Level3Head-COG"/>
        <w:outlineLvl w:val="0"/>
      </w:pPr>
      <w:bookmarkStart w:id="267" w:name="_Toc49368845"/>
      <w:bookmarkStart w:id="268" w:name="_Toc49368921"/>
      <w:bookmarkStart w:id="269" w:name="_Toc49861449"/>
      <w:bookmarkStart w:id="270" w:name="_Toc50968742"/>
      <w:bookmarkStart w:id="271" w:name="_Toc51077731"/>
      <w:r w:rsidRPr="00F97831">
        <w:t>COG MEMBER participants</w:t>
      </w:r>
      <w:bookmarkEnd w:id="267"/>
      <w:bookmarkEnd w:id="268"/>
      <w:bookmarkEnd w:id="269"/>
      <w:bookmarkEnd w:id="270"/>
      <w:bookmarkEnd w:id="271"/>
    </w:p>
    <w:p w14:paraId="79EDE10A" w14:textId="7D7CA5F3" w:rsidR="00E33F24" w:rsidRPr="00F97831" w:rsidRDefault="00F97831" w:rsidP="00EC12DE">
      <w:pPr>
        <w:pStyle w:val="BodyText-COG"/>
        <w:numPr>
          <w:ilvl w:val="0"/>
          <w:numId w:val="7"/>
        </w:numPr>
        <w:rPr>
          <w:szCs w:val="22"/>
        </w:rPr>
      </w:pPr>
      <w:r w:rsidRPr="00F97831">
        <w:rPr>
          <w:szCs w:val="22"/>
        </w:rPr>
        <w:t>COG</w:t>
      </w:r>
    </w:p>
    <w:p w14:paraId="31F76359" w14:textId="53B30AE7" w:rsidR="00F97831" w:rsidRPr="00F97831" w:rsidRDefault="00F97831" w:rsidP="00EC12DE">
      <w:pPr>
        <w:pStyle w:val="BodyText-COG"/>
        <w:numPr>
          <w:ilvl w:val="0"/>
          <w:numId w:val="7"/>
        </w:numPr>
        <w:rPr>
          <w:szCs w:val="22"/>
        </w:rPr>
      </w:pPr>
      <w:r w:rsidRPr="00F97831">
        <w:rPr>
          <w:szCs w:val="22"/>
        </w:rPr>
        <w:t xml:space="preserve">Northern Virginia Regional Commission </w:t>
      </w:r>
    </w:p>
    <w:p w14:paraId="0C9F619D" w14:textId="6FF7DDC7" w:rsidR="003D423B" w:rsidRDefault="003D423B" w:rsidP="00490671">
      <w:pPr>
        <w:pStyle w:val="BodyText-COG"/>
      </w:pPr>
    </w:p>
    <w:p w14:paraId="13041581" w14:textId="6ED756BF" w:rsidR="00FD78F2" w:rsidRDefault="00FD78F2" w:rsidP="00490671">
      <w:pPr>
        <w:pStyle w:val="BodyText-COG"/>
      </w:pPr>
    </w:p>
    <w:p w14:paraId="5627DD10" w14:textId="77777777" w:rsidR="00FD78F2" w:rsidRPr="00F97831" w:rsidRDefault="00FD78F2" w:rsidP="00490671">
      <w:pPr>
        <w:pStyle w:val="BodyText-COG"/>
      </w:pPr>
    </w:p>
    <w:p w14:paraId="41544D1A" w14:textId="0D80A735" w:rsidR="00E33F24" w:rsidRPr="006A5371" w:rsidRDefault="00864CE3" w:rsidP="00E33F24">
      <w:pPr>
        <w:pStyle w:val="Level2Head-COG"/>
        <w:outlineLvl w:val="0"/>
      </w:pPr>
      <w:bookmarkStart w:id="272" w:name="_Toc49368846"/>
      <w:bookmarkStart w:id="273" w:name="_Toc49368922"/>
      <w:bookmarkStart w:id="274" w:name="_Toc49861450"/>
      <w:bookmarkStart w:id="275" w:name="_Toc50968743"/>
      <w:bookmarkStart w:id="276" w:name="_Toc51077732"/>
      <w:r w:rsidRPr="006A5371">
        <w:lastRenderedPageBreak/>
        <w:t>LEED for Cities and Communities</w:t>
      </w:r>
      <w:bookmarkEnd w:id="272"/>
      <w:bookmarkEnd w:id="273"/>
      <w:bookmarkEnd w:id="274"/>
      <w:bookmarkEnd w:id="275"/>
      <w:bookmarkEnd w:id="276"/>
      <w:r w:rsidRPr="006A5371">
        <w:t xml:space="preserve"> </w:t>
      </w:r>
    </w:p>
    <w:p w14:paraId="5ACCF2FC" w14:textId="77777777" w:rsidR="00864CE3" w:rsidRPr="006A5371" w:rsidRDefault="00864CE3" w:rsidP="006A5371">
      <w:pPr>
        <w:spacing w:line="260" w:lineRule="exact"/>
        <w:rPr>
          <w:rFonts w:ascii="Franklin Gothic Book" w:hAnsi="Franklin Gothic Book"/>
          <w:sz w:val="22"/>
          <w:szCs w:val="22"/>
        </w:rPr>
      </w:pPr>
      <w:r w:rsidRPr="006A5371">
        <w:rPr>
          <w:rFonts w:ascii="Franklin Gothic Book" w:hAnsi="Franklin Gothic Book"/>
          <w:sz w:val="22"/>
          <w:szCs w:val="22"/>
        </w:rPr>
        <w:t xml:space="preserve">The </w:t>
      </w:r>
      <w:hyperlink r:id="rId173" w:history="1">
        <w:r w:rsidRPr="006A5371">
          <w:rPr>
            <w:rStyle w:val="Hyperlink"/>
            <w:rFonts w:ascii="Franklin Gothic Book" w:hAnsi="Franklin Gothic Book"/>
            <w:sz w:val="22"/>
            <w:szCs w:val="22"/>
          </w:rPr>
          <w:t>LEED for Cities and Communities</w:t>
        </w:r>
      </w:hyperlink>
      <w:r w:rsidRPr="006A5371">
        <w:rPr>
          <w:rFonts w:ascii="Franklin Gothic Book" w:hAnsi="Franklin Gothic Book"/>
          <w:sz w:val="22"/>
          <w:szCs w:val="22"/>
        </w:rPr>
        <w:t xml:space="preserve"> programs, established in 2018, provide cities and communities with a globally consistent way to measure and communicate performance. Localities achieving LEED designation develop responsible, sustainable, and specific plans for natural systems, energy, water, waste, </w:t>
      </w:r>
      <w:proofErr w:type="gramStart"/>
      <w:r w:rsidRPr="006A5371">
        <w:rPr>
          <w:rFonts w:ascii="Franklin Gothic Book" w:hAnsi="Franklin Gothic Book"/>
          <w:sz w:val="22"/>
          <w:szCs w:val="22"/>
        </w:rPr>
        <w:t>transportation</w:t>
      </w:r>
      <w:proofErr w:type="gramEnd"/>
      <w:r w:rsidRPr="006A5371">
        <w:rPr>
          <w:rFonts w:ascii="Franklin Gothic Book" w:hAnsi="Franklin Gothic Book"/>
          <w:sz w:val="22"/>
          <w:szCs w:val="22"/>
        </w:rPr>
        <w:t xml:space="preserve"> and other factors that contribute to quality of life.</w:t>
      </w:r>
    </w:p>
    <w:p w14:paraId="64D339BF" w14:textId="77777777" w:rsidR="00E33F24" w:rsidRPr="006A5371" w:rsidRDefault="00E33F24" w:rsidP="006A5371">
      <w:pPr>
        <w:spacing w:line="260" w:lineRule="exact"/>
        <w:rPr>
          <w:rFonts w:ascii="Franklin Gothic Book" w:hAnsi="Franklin Gothic Book"/>
          <w:sz w:val="22"/>
          <w:szCs w:val="22"/>
          <w:highlight w:val="yellow"/>
        </w:rPr>
      </w:pPr>
    </w:p>
    <w:p w14:paraId="165B35DF" w14:textId="77777777" w:rsidR="00E33F24" w:rsidRPr="00B74148" w:rsidRDefault="00E33F24" w:rsidP="00E33F24">
      <w:pPr>
        <w:pStyle w:val="Level3Head-COG"/>
        <w:outlineLvl w:val="0"/>
      </w:pPr>
      <w:bookmarkStart w:id="277" w:name="_Toc49368847"/>
      <w:bookmarkStart w:id="278" w:name="_Toc49368923"/>
      <w:bookmarkStart w:id="279" w:name="_Toc49861451"/>
      <w:bookmarkStart w:id="280" w:name="_Toc50968744"/>
      <w:bookmarkStart w:id="281" w:name="_Toc51077733"/>
      <w:r w:rsidRPr="00B74148">
        <w:t>COG MEMBER participants</w:t>
      </w:r>
      <w:bookmarkEnd w:id="277"/>
      <w:bookmarkEnd w:id="278"/>
      <w:bookmarkEnd w:id="279"/>
      <w:bookmarkEnd w:id="280"/>
      <w:bookmarkEnd w:id="281"/>
    </w:p>
    <w:p w14:paraId="442E6B8D" w14:textId="0211622E" w:rsidR="00E33F24" w:rsidRPr="00B74148" w:rsidRDefault="00B74148" w:rsidP="00EC12DE">
      <w:pPr>
        <w:pStyle w:val="BodyText-COG"/>
        <w:numPr>
          <w:ilvl w:val="0"/>
          <w:numId w:val="7"/>
        </w:numPr>
        <w:rPr>
          <w:szCs w:val="22"/>
        </w:rPr>
      </w:pPr>
      <w:r w:rsidRPr="00B74148">
        <w:rPr>
          <w:szCs w:val="22"/>
        </w:rPr>
        <w:t>Arlington County</w:t>
      </w:r>
    </w:p>
    <w:p w14:paraId="5A7BCFBE" w14:textId="424F53DD" w:rsidR="00B74148" w:rsidRPr="00B74148" w:rsidRDefault="00B74148" w:rsidP="00EC12DE">
      <w:pPr>
        <w:pStyle w:val="BodyText-COG"/>
        <w:numPr>
          <w:ilvl w:val="0"/>
          <w:numId w:val="7"/>
        </w:numPr>
        <w:rPr>
          <w:szCs w:val="22"/>
        </w:rPr>
      </w:pPr>
      <w:r w:rsidRPr="00B74148">
        <w:rPr>
          <w:szCs w:val="22"/>
        </w:rPr>
        <w:t>City of Frederick</w:t>
      </w:r>
    </w:p>
    <w:p w14:paraId="785125B7" w14:textId="074B9CDC" w:rsidR="00B74148" w:rsidRPr="00B74148" w:rsidRDefault="00B74148" w:rsidP="00EC12DE">
      <w:pPr>
        <w:pStyle w:val="BodyText-COG"/>
        <w:numPr>
          <w:ilvl w:val="0"/>
          <w:numId w:val="7"/>
        </w:numPr>
        <w:rPr>
          <w:szCs w:val="22"/>
        </w:rPr>
      </w:pPr>
      <w:r w:rsidRPr="00B74148">
        <w:rPr>
          <w:szCs w:val="22"/>
        </w:rPr>
        <w:t xml:space="preserve">District of Columbia </w:t>
      </w:r>
    </w:p>
    <w:p w14:paraId="7ACD4E54" w14:textId="0D3FE4F6" w:rsidR="00B74148" w:rsidRPr="00B74148" w:rsidRDefault="00B74148" w:rsidP="00EC12DE">
      <w:pPr>
        <w:pStyle w:val="BodyText-COG"/>
        <w:numPr>
          <w:ilvl w:val="0"/>
          <w:numId w:val="7"/>
        </w:numPr>
        <w:rPr>
          <w:szCs w:val="22"/>
        </w:rPr>
      </w:pPr>
      <w:r w:rsidRPr="00B74148">
        <w:rPr>
          <w:szCs w:val="22"/>
        </w:rPr>
        <w:t>Frederick County</w:t>
      </w:r>
    </w:p>
    <w:p w14:paraId="673F5EFF" w14:textId="0B988CD9" w:rsidR="00B74148" w:rsidRPr="00B74148" w:rsidRDefault="00B74148" w:rsidP="00EC12DE">
      <w:pPr>
        <w:pStyle w:val="BodyText-COG"/>
        <w:numPr>
          <w:ilvl w:val="0"/>
          <w:numId w:val="7"/>
        </w:numPr>
        <w:rPr>
          <w:szCs w:val="22"/>
        </w:rPr>
      </w:pPr>
      <w:r w:rsidRPr="00B74148">
        <w:rPr>
          <w:szCs w:val="22"/>
        </w:rPr>
        <w:t xml:space="preserve">Montgomery County </w:t>
      </w:r>
    </w:p>
    <w:p w14:paraId="4CA71819" w14:textId="77777777" w:rsidR="00E33F24" w:rsidRDefault="00E33F24" w:rsidP="00490671">
      <w:pPr>
        <w:pStyle w:val="BodyText-COG"/>
      </w:pPr>
    </w:p>
    <w:p w14:paraId="2EAF585F" w14:textId="3EF032A3" w:rsidR="00E85ED2" w:rsidRPr="003F2B6A" w:rsidRDefault="00E60DC4" w:rsidP="00E85ED2">
      <w:pPr>
        <w:pStyle w:val="Level2Head-COG"/>
        <w:outlineLvl w:val="0"/>
      </w:pPr>
      <w:bookmarkStart w:id="282" w:name="_Toc49368848"/>
      <w:bookmarkStart w:id="283" w:name="_Toc49368924"/>
      <w:bookmarkStart w:id="284" w:name="_Toc49861452"/>
      <w:bookmarkStart w:id="285" w:name="_Toc50968745"/>
      <w:bookmarkStart w:id="286" w:name="_Toc51077734"/>
      <w:r w:rsidRPr="003F2B6A">
        <w:t>Sustainable Maryland</w:t>
      </w:r>
      <w:bookmarkEnd w:id="282"/>
      <w:bookmarkEnd w:id="283"/>
      <w:bookmarkEnd w:id="284"/>
      <w:bookmarkEnd w:id="285"/>
      <w:bookmarkEnd w:id="286"/>
      <w:r w:rsidRPr="003F2B6A">
        <w:t xml:space="preserve"> </w:t>
      </w:r>
    </w:p>
    <w:p w14:paraId="3B219828" w14:textId="305DBFE7" w:rsidR="00E85ED2" w:rsidRPr="003F2B6A" w:rsidRDefault="00E60DC4" w:rsidP="003F2B6A">
      <w:pPr>
        <w:spacing w:line="260" w:lineRule="exact"/>
        <w:rPr>
          <w:rFonts w:ascii="Franklin Gothic Book" w:hAnsi="Franklin Gothic Book"/>
          <w:sz w:val="22"/>
          <w:szCs w:val="22"/>
        </w:rPr>
      </w:pPr>
      <w:r w:rsidRPr="003F2B6A">
        <w:rPr>
          <w:rFonts w:ascii="Franklin Gothic Book" w:hAnsi="Franklin Gothic Book"/>
          <w:sz w:val="22"/>
          <w:szCs w:val="22"/>
        </w:rPr>
        <w:t xml:space="preserve">Established in 2011, </w:t>
      </w:r>
      <w:hyperlink r:id="rId174" w:history="1">
        <w:r w:rsidRPr="003F2B6A">
          <w:rPr>
            <w:rStyle w:val="Hyperlink"/>
            <w:rFonts w:ascii="Franklin Gothic Book" w:hAnsi="Franklin Gothic Book"/>
            <w:sz w:val="22"/>
            <w:szCs w:val="22"/>
          </w:rPr>
          <w:t>Sustainable Maryland</w:t>
        </w:r>
      </w:hyperlink>
      <w:r w:rsidRPr="003F2B6A">
        <w:rPr>
          <w:rFonts w:ascii="Franklin Gothic Book" w:hAnsi="Franklin Gothic Book"/>
          <w:sz w:val="22"/>
          <w:szCs w:val="22"/>
        </w:rPr>
        <w:t xml:space="preserve"> is a certification program for municipalities that want to go green, save money and take steps to sustain their quality of life over the long term. There are currently 75 Maryland communities participating, 35 of which are currently certified. The program offers guidance, trainings, and technical support. Sustainable Maryland is a collaborative program of the Environmental Finance Center at the University of Maryland and the Maryland Municipal League.</w:t>
      </w:r>
    </w:p>
    <w:p w14:paraId="39BC7430" w14:textId="77777777" w:rsidR="003F2B6A" w:rsidRPr="003F2B6A" w:rsidRDefault="003F2B6A" w:rsidP="003F2B6A">
      <w:pPr>
        <w:spacing w:line="260" w:lineRule="exact"/>
        <w:rPr>
          <w:rFonts w:ascii="Franklin Gothic Book" w:hAnsi="Franklin Gothic Book"/>
          <w:sz w:val="22"/>
          <w:szCs w:val="22"/>
          <w:highlight w:val="yellow"/>
        </w:rPr>
      </w:pPr>
    </w:p>
    <w:p w14:paraId="12D6FA45" w14:textId="77777777" w:rsidR="00E85ED2" w:rsidRPr="00F52573" w:rsidRDefault="00E85ED2" w:rsidP="00E85ED2">
      <w:pPr>
        <w:pStyle w:val="Level3Head-COG"/>
        <w:outlineLvl w:val="0"/>
      </w:pPr>
      <w:bookmarkStart w:id="287" w:name="_Toc49368849"/>
      <w:bookmarkStart w:id="288" w:name="_Toc49368925"/>
      <w:bookmarkStart w:id="289" w:name="_Toc49861453"/>
      <w:bookmarkStart w:id="290" w:name="_Toc50968746"/>
      <w:bookmarkStart w:id="291" w:name="_Toc51077735"/>
      <w:r w:rsidRPr="00F52573">
        <w:t>COG MEMBER participants</w:t>
      </w:r>
      <w:bookmarkEnd w:id="287"/>
      <w:bookmarkEnd w:id="288"/>
      <w:bookmarkEnd w:id="289"/>
      <w:bookmarkEnd w:id="290"/>
      <w:bookmarkEnd w:id="291"/>
    </w:p>
    <w:p w14:paraId="1E66B62A" w14:textId="4DBA63AF" w:rsidR="00F52573" w:rsidRPr="00F52573" w:rsidRDefault="00F52573" w:rsidP="00EC12DE">
      <w:pPr>
        <w:pStyle w:val="BodyText-COG"/>
        <w:numPr>
          <w:ilvl w:val="0"/>
          <w:numId w:val="7"/>
        </w:numPr>
        <w:rPr>
          <w:szCs w:val="22"/>
        </w:rPr>
      </w:pPr>
      <w:r w:rsidRPr="00F52573">
        <w:rPr>
          <w:szCs w:val="22"/>
        </w:rPr>
        <w:t>City of Bowie</w:t>
      </w:r>
    </w:p>
    <w:p w14:paraId="028F1EA6" w14:textId="7230147B" w:rsidR="00F52573" w:rsidRPr="00F52573" w:rsidRDefault="00F52573" w:rsidP="00EC12DE">
      <w:pPr>
        <w:pStyle w:val="BodyText-COG"/>
        <w:numPr>
          <w:ilvl w:val="0"/>
          <w:numId w:val="7"/>
        </w:numPr>
        <w:rPr>
          <w:szCs w:val="22"/>
        </w:rPr>
      </w:pPr>
      <w:r w:rsidRPr="00F52573">
        <w:rPr>
          <w:szCs w:val="22"/>
        </w:rPr>
        <w:t xml:space="preserve">City of College Park </w:t>
      </w:r>
    </w:p>
    <w:p w14:paraId="398EAF5D" w14:textId="32692FCA" w:rsidR="00F52573" w:rsidRPr="00F52573" w:rsidRDefault="00F52573" w:rsidP="00EC12DE">
      <w:pPr>
        <w:pStyle w:val="BodyText-COG"/>
        <w:numPr>
          <w:ilvl w:val="0"/>
          <w:numId w:val="7"/>
        </w:numPr>
        <w:rPr>
          <w:szCs w:val="22"/>
        </w:rPr>
      </w:pPr>
      <w:r w:rsidRPr="00F52573">
        <w:rPr>
          <w:szCs w:val="22"/>
        </w:rPr>
        <w:t xml:space="preserve">City of Frederick </w:t>
      </w:r>
    </w:p>
    <w:p w14:paraId="085B3021" w14:textId="52961890" w:rsidR="00F52573" w:rsidRPr="00F52573" w:rsidRDefault="00F52573" w:rsidP="00EC12DE">
      <w:pPr>
        <w:pStyle w:val="BodyText-COG"/>
        <w:numPr>
          <w:ilvl w:val="0"/>
          <w:numId w:val="7"/>
        </w:numPr>
        <w:rPr>
          <w:szCs w:val="22"/>
        </w:rPr>
      </w:pPr>
      <w:r w:rsidRPr="00F52573">
        <w:rPr>
          <w:szCs w:val="22"/>
        </w:rPr>
        <w:t>City of Gaithersburg</w:t>
      </w:r>
    </w:p>
    <w:p w14:paraId="63393B21" w14:textId="4E856BF7" w:rsidR="00F52573" w:rsidRPr="00F52573" w:rsidRDefault="00F52573" w:rsidP="00EC12DE">
      <w:pPr>
        <w:pStyle w:val="BodyText-COG"/>
        <w:numPr>
          <w:ilvl w:val="0"/>
          <w:numId w:val="7"/>
        </w:numPr>
        <w:rPr>
          <w:szCs w:val="22"/>
        </w:rPr>
      </w:pPr>
      <w:r w:rsidRPr="00F52573">
        <w:rPr>
          <w:szCs w:val="22"/>
        </w:rPr>
        <w:t>City of Greenbelt</w:t>
      </w:r>
    </w:p>
    <w:p w14:paraId="6F8BB72C" w14:textId="24D022E1" w:rsidR="00F52573" w:rsidRPr="00F52573" w:rsidRDefault="00F52573" w:rsidP="00EC12DE">
      <w:pPr>
        <w:pStyle w:val="BodyText-COG"/>
        <w:numPr>
          <w:ilvl w:val="0"/>
          <w:numId w:val="7"/>
        </w:numPr>
        <w:rPr>
          <w:szCs w:val="22"/>
        </w:rPr>
      </w:pPr>
      <w:r w:rsidRPr="00F52573">
        <w:rPr>
          <w:szCs w:val="22"/>
        </w:rPr>
        <w:t>City of Hyattsville</w:t>
      </w:r>
    </w:p>
    <w:p w14:paraId="5FD6CB6E" w14:textId="717BD696" w:rsidR="00F52573" w:rsidRPr="00F52573" w:rsidRDefault="00F52573" w:rsidP="00EC12DE">
      <w:pPr>
        <w:pStyle w:val="BodyText-COG"/>
        <w:numPr>
          <w:ilvl w:val="0"/>
          <w:numId w:val="7"/>
        </w:numPr>
        <w:rPr>
          <w:szCs w:val="22"/>
        </w:rPr>
      </w:pPr>
      <w:r w:rsidRPr="00F52573">
        <w:rPr>
          <w:szCs w:val="22"/>
        </w:rPr>
        <w:t>City of Laurel</w:t>
      </w:r>
    </w:p>
    <w:p w14:paraId="36E41E9F" w14:textId="15B3BADC" w:rsidR="00F52573" w:rsidRPr="00F52573" w:rsidRDefault="00F52573" w:rsidP="00EC12DE">
      <w:pPr>
        <w:pStyle w:val="BodyText-COG"/>
        <w:numPr>
          <w:ilvl w:val="0"/>
          <w:numId w:val="7"/>
        </w:numPr>
        <w:rPr>
          <w:szCs w:val="22"/>
        </w:rPr>
      </w:pPr>
      <w:r w:rsidRPr="00F52573">
        <w:rPr>
          <w:szCs w:val="22"/>
        </w:rPr>
        <w:t>City of Rockville</w:t>
      </w:r>
    </w:p>
    <w:p w14:paraId="2B144830" w14:textId="2FD890F5" w:rsidR="00F52573" w:rsidRPr="00F52573" w:rsidRDefault="00F52573" w:rsidP="00EC12DE">
      <w:pPr>
        <w:pStyle w:val="BodyText-COG"/>
        <w:numPr>
          <w:ilvl w:val="0"/>
          <w:numId w:val="7"/>
        </w:numPr>
        <w:rPr>
          <w:szCs w:val="22"/>
        </w:rPr>
      </w:pPr>
      <w:r w:rsidRPr="00F52573">
        <w:rPr>
          <w:szCs w:val="22"/>
        </w:rPr>
        <w:t xml:space="preserve">City of Takoma Park </w:t>
      </w:r>
    </w:p>
    <w:p w14:paraId="5C4BE455" w14:textId="222C73E4" w:rsidR="00E85ED2" w:rsidRPr="00F52573" w:rsidRDefault="00F52573" w:rsidP="00EC12DE">
      <w:pPr>
        <w:pStyle w:val="BodyText-COG"/>
        <w:numPr>
          <w:ilvl w:val="0"/>
          <w:numId w:val="7"/>
        </w:numPr>
        <w:rPr>
          <w:szCs w:val="22"/>
        </w:rPr>
      </w:pPr>
      <w:r w:rsidRPr="00F52573">
        <w:rPr>
          <w:szCs w:val="22"/>
        </w:rPr>
        <w:t>Town of Bladensburg</w:t>
      </w:r>
    </w:p>
    <w:p w14:paraId="5C1669CF" w14:textId="77777777" w:rsidR="00E85ED2" w:rsidRPr="00F52573" w:rsidRDefault="00E85ED2" w:rsidP="00F52573">
      <w:pPr>
        <w:pStyle w:val="BodyText-COG"/>
        <w:ind w:left="720"/>
        <w:rPr>
          <w:szCs w:val="22"/>
        </w:rPr>
      </w:pPr>
    </w:p>
    <w:p w14:paraId="668384B7" w14:textId="35F2BB63" w:rsidR="00E85ED2" w:rsidRPr="006A381B" w:rsidRDefault="00E60DC4" w:rsidP="00E85ED2">
      <w:pPr>
        <w:pStyle w:val="Level2Head-COG"/>
        <w:outlineLvl w:val="0"/>
      </w:pPr>
      <w:bookmarkStart w:id="292" w:name="_Toc49368850"/>
      <w:bookmarkStart w:id="293" w:name="_Toc49368926"/>
      <w:bookmarkStart w:id="294" w:name="_Toc49861454"/>
      <w:bookmarkStart w:id="295" w:name="_Toc50968747"/>
      <w:bookmarkStart w:id="296" w:name="_Toc51077736"/>
      <w:r w:rsidRPr="006A381B">
        <w:t>Go Green Virginia</w:t>
      </w:r>
      <w:bookmarkEnd w:id="292"/>
      <w:bookmarkEnd w:id="293"/>
      <w:bookmarkEnd w:id="294"/>
      <w:bookmarkEnd w:id="295"/>
      <w:bookmarkEnd w:id="296"/>
      <w:r w:rsidRPr="006A381B">
        <w:t xml:space="preserve"> </w:t>
      </w:r>
    </w:p>
    <w:p w14:paraId="0CD85047" w14:textId="212F585E" w:rsidR="00E60DC4" w:rsidRPr="006A381B" w:rsidRDefault="00E60DC4" w:rsidP="006A381B">
      <w:pPr>
        <w:spacing w:line="260" w:lineRule="exact"/>
        <w:rPr>
          <w:rFonts w:ascii="Franklin Gothic Book" w:hAnsi="Franklin Gothic Book"/>
          <w:sz w:val="22"/>
          <w:szCs w:val="22"/>
        </w:rPr>
      </w:pPr>
      <w:r w:rsidRPr="006A381B">
        <w:rPr>
          <w:rFonts w:ascii="Franklin Gothic Book" w:hAnsi="Franklin Gothic Book"/>
          <w:sz w:val="22"/>
          <w:szCs w:val="22"/>
        </w:rPr>
        <w:t xml:space="preserve">The </w:t>
      </w:r>
      <w:hyperlink r:id="rId175" w:history="1">
        <w:r w:rsidRPr="006A381B">
          <w:rPr>
            <w:rStyle w:val="Hyperlink"/>
            <w:rFonts w:ascii="Franklin Gothic Book" w:hAnsi="Franklin Gothic Book"/>
            <w:sz w:val="22"/>
            <w:szCs w:val="22"/>
          </w:rPr>
          <w:t>Go Green Virginia</w:t>
        </w:r>
      </w:hyperlink>
      <w:r w:rsidRPr="006A381B">
        <w:rPr>
          <w:rFonts w:ascii="Franklin Gothic Book" w:hAnsi="Franklin Gothic Book"/>
          <w:sz w:val="22"/>
          <w:szCs w:val="22"/>
        </w:rPr>
        <w:t xml:space="preserve"> initiative (Go Green V</w:t>
      </w:r>
      <w:r w:rsidR="00B74148">
        <w:rPr>
          <w:rFonts w:ascii="Franklin Gothic Book" w:hAnsi="Franklin Gothic Book"/>
          <w:sz w:val="22"/>
          <w:szCs w:val="22"/>
        </w:rPr>
        <w:t>A</w:t>
      </w:r>
      <w:r w:rsidRPr="006A381B">
        <w:rPr>
          <w:rFonts w:ascii="Franklin Gothic Book" w:hAnsi="Franklin Gothic Book"/>
          <w:sz w:val="22"/>
          <w:szCs w:val="22"/>
        </w:rPr>
        <w:t xml:space="preserve">) recognizes that communities need to take innovative steps to reduce energy usage and promote sustainability. Most importantly, local governments are urged to participate in a friendly competition </w:t>
      </w:r>
      <w:r w:rsidR="001D5333">
        <w:rPr>
          <w:rFonts w:ascii="Franklin Gothic Book" w:hAnsi="Franklin Gothic Book"/>
          <w:sz w:val="22"/>
          <w:szCs w:val="22"/>
        </w:rPr>
        <w:t xml:space="preserve">- </w:t>
      </w:r>
      <w:r w:rsidRPr="006A381B">
        <w:rPr>
          <w:rFonts w:ascii="Franklin Gothic Book" w:hAnsi="Franklin Gothic Book"/>
          <w:sz w:val="22"/>
          <w:szCs w:val="22"/>
        </w:rPr>
        <w:t xml:space="preserve">the Green Government Challenge. The "Challenge" is designed to encourage implementation of environmental policies and practical actions that reduce carbon emissions </w:t>
      </w:r>
      <w:r w:rsidR="001D5333">
        <w:rPr>
          <w:rFonts w:ascii="Franklin Gothic Book" w:hAnsi="Franklin Gothic Book"/>
          <w:sz w:val="22"/>
          <w:szCs w:val="22"/>
        </w:rPr>
        <w:t>and</w:t>
      </w:r>
      <w:r w:rsidRPr="006A381B">
        <w:rPr>
          <w:rFonts w:ascii="Franklin Gothic Book" w:hAnsi="Franklin Gothic Book"/>
          <w:sz w:val="22"/>
          <w:szCs w:val="22"/>
        </w:rPr>
        <w:t xml:space="preserve"> can save local governments money. Go Green VA is a program of the Virginia Municipal League, the Virginia Association of Counties, and the Virginia School Board Association. </w:t>
      </w:r>
    </w:p>
    <w:p w14:paraId="0986B768" w14:textId="77777777" w:rsidR="00E85ED2" w:rsidRPr="006A381B" w:rsidRDefault="00E85ED2" w:rsidP="006A381B">
      <w:pPr>
        <w:spacing w:line="260" w:lineRule="exact"/>
        <w:rPr>
          <w:rFonts w:ascii="Franklin Gothic Book" w:hAnsi="Franklin Gothic Book"/>
          <w:sz w:val="22"/>
          <w:szCs w:val="22"/>
          <w:highlight w:val="yellow"/>
        </w:rPr>
      </w:pPr>
    </w:p>
    <w:p w14:paraId="1036C78F" w14:textId="77777777" w:rsidR="00E85ED2" w:rsidRPr="00B527A4" w:rsidRDefault="00E85ED2" w:rsidP="00E85ED2">
      <w:pPr>
        <w:pStyle w:val="Level3Head-COG"/>
        <w:outlineLvl w:val="0"/>
      </w:pPr>
      <w:bookmarkStart w:id="297" w:name="_Toc49368851"/>
      <w:bookmarkStart w:id="298" w:name="_Toc49368927"/>
      <w:bookmarkStart w:id="299" w:name="_Toc49861455"/>
      <w:bookmarkStart w:id="300" w:name="_Toc50968748"/>
      <w:bookmarkStart w:id="301" w:name="_Toc51077737"/>
      <w:r w:rsidRPr="00B527A4">
        <w:t>COG MEMBER participants</w:t>
      </w:r>
      <w:bookmarkEnd w:id="297"/>
      <w:bookmarkEnd w:id="298"/>
      <w:bookmarkEnd w:id="299"/>
      <w:bookmarkEnd w:id="300"/>
      <w:bookmarkEnd w:id="301"/>
    </w:p>
    <w:p w14:paraId="209263F6" w14:textId="75AFA1FF" w:rsidR="00E85ED2" w:rsidRPr="00B527A4" w:rsidRDefault="00B527A4" w:rsidP="00EC12DE">
      <w:pPr>
        <w:pStyle w:val="BodyText-COG"/>
        <w:numPr>
          <w:ilvl w:val="0"/>
          <w:numId w:val="7"/>
        </w:numPr>
        <w:rPr>
          <w:szCs w:val="22"/>
        </w:rPr>
      </w:pPr>
      <w:r w:rsidRPr="00B527A4">
        <w:rPr>
          <w:szCs w:val="22"/>
        </w:rPr>
        <w:t xml:space="preserve">Arlington County </w:t>
      </w:r>
    </w:p>
    <w:p w14:paraId="6DE69C16" w14:textId="7AD8BC77" w:rsidR="00B527A4" w:rsidRPr="00B527A4" w:rsidRDefault="00B527A4" w:rsidP="00EC12DE">
      <w:pPr>
        <w:pStyle w:val="BodyText-COG"/>
        <w:numPr>
          <w:ilvl w:val="0"/>
          <w:numId w:val="7"/>
        </w:numPr>
        <w:rPr>
          <w:szCs w:val="22"/>
        </w:rPr>
      </w:pPr>
      <w:r w:rsidRPr="00B527A4">
        <w:rPr>
          <w:szCs w:val="22"/>
        </w:rPr>
        <w:t>City of Alexandria</w:t>
      </w:r>
    </w:p>
    <w:p w14:paraId="67C30C3A" w14:textId="65142CE2" w:rsidR="00B527A4" w:rsidRPr="00B527A4" w:rsidRDefault="00B527A4" w:rsidP="00EC12DE">
      <w:pPr>
        <w:pStyle w:val="BodyText-COG"/>
        <w:numPr>
          <w:ilvl w:val="0"/>
          <w:numId w:val="7"/>
        </w:numPr>
        <w:rPr>
          <w:szCs w:val="22"/>
        </w:rPr>
      </w:pPr>
      <w:r w:rsidRPr="00B527A4">
        <w:rPr>
          <w:szCs w:val="22"/>
        </w:rPr>
        <w:t>City of Falls Church</w:t>
      </w:r>
    </w:p>
    <w:p w14:paraId="520AD416" w14:textId="77854852" w:rsidR="00B527A4" w:rsidRPr="00B527A4" w:rsidRDefault="00B527A4" w:rsidP="00EC12DE">
      <w:pPr>
        <w:pStyle w:val="BodyText-COG"/>
        <w:numPr>
          <w:ilvl w:val="0"/>
          <w:numId w:val="7"/>
        </w:numPr>
        <w:rPr>
          <w:szCs w:val="22"/>
        </w:rPr>
      </w:pPr>
      <w:r w:rsidRPr="00B527A4">
        <w:rPr>
          <w:szCs w:val="22"/>
        </w:rPr>
        <w:t>Loudoun County</w:t>
      </w:r>
    </w:p>
    <w:p w14:paraId="3619A53E" w14:textId="447CE18D" w:rsidR="00490671" w:rsidRDefault="00B527A4" w:rsidP="00EC12DE">
      <w:pPr>
        <w:pStyle w:val="BodyText-COG"/>
        <w:numPr>
          <w:ilvl w:val="0"/>
          <w:numId w:val="7"/>
        </w:numPr>
        <w:rPr>
          <w:szCs w:val="22"/>
        </w:rPr>
      </w:pPr>
      <w:r w:rsidRPr="001D5333">
        <w:rPr>
          <w:szCs w:val="22"/>
        </w:rPr>
        <w:t>Prince William County</w:t>
      </w:r>
    </w:p>
    <w:p w14:paraId="4FA21B62" w14:textId="072B83C5" w:rsidR="00490671" w:rsidRDefault="00490671" w:rsidP="00490671">
      <w:pPr>
        <w:pStyle w:val="Level1Head-COG"/>
        <w:outlineLvl w:val="0"/>
      </w:pPr>
      <w:bookmarkStart w:id="302" w:name="_Toc51077738"/>
      <w:r w:rsidRPr="003E433C">
        <w:lastRenderedPageBreak/>
        <w:t xml:space="preserve">Appendix </w:t>
      </w:r>
      <w:r>
        <w:t xml:space="preserve">e: </w:t>
      </w:r>
      <w:r w:rsidR="00B065B4">
        <w:t xml:space="preserve">list of </w:t>
      </w:r>
      <w:r>
        <w:t>state legislation supporting ghg emission reduction in metropolitan washington</w:t>
      </w:r>
      <w:bookmarkEnd w:id="302"/>
      <w:r>
        <w:t xml:space="preserve"> </w:t>
      </w:r>
    </w:p>
    <w:p w14:paraId="73599B27" w14:textId="77777777" w:rsidR="00490671" w:rsidRPr="00490671" w:rsidRDefault="00490671" w:rsidP="00490671">
      <w:pPr>
        <w:pStyle w:val="BodyText-COG"/>
      </w:pPr>
    </w:p>
    <w:p w14:paraId="1B5CF672" w14:textId="77777777" w:rsidR="00BA4A52" w:rsidRDefault="00B065B4" w:rsidP="00BA4A52">
      <w:pPr>
        <w:pStyle w:val="Level2Head-COG"/>
      </w:pPr>
      <w:bookmarkStart w:id="303" w:name="_Toc49861457"/>
      <w:bookmarkStart w:id="304" w:name="_Toc50968750"/>
      <w:bookmarkStart w:id="305" w:name="_Toc51077739"/>
      <w:r w:rsidRPr="00EC6D2E">
        <w:t>DISTRICT OF COLUMBIA</w:t>
      </w:r>
      <w:bookmarkEnd w:id="303"/>
      <w:bookmarkEnd w:id="304"/>
      <w:bookmarkEnd w:id="305"/>
    </w:p>
    <w:p w14:paraId="3B0CAF8F" w14:textId="362A99D9" w:rsidR="00B065B4" w:rsidRPr="00BA4A52" w:rsidRDefault="00DC418B" w:rsidP="00BA4A52">
      <w:pPr>
        <w:pStyle w:val="Level3Head-COG"/>
      </w:pPr>
      <w:hyperlink r:id="rId176" w:history="1">
        <w:bookmarkStart w:id="306" w:name="_Toc49861458"/>
        <w:bookmarkStart w:id="307" w:name="_Toc50968751"/>
        <w:bookmarkStart w:id="308" w:name="_Toc51077740"/>
        <w:r w:rsidR="00B065B4" w:rsidRPr="00BA4A52">
          <w:rPr>
            <w:rStyle w:val="Hyperlink"/>
            <w:color w:val="404040" w:themeColor="text1" w:themeTint="BF"/>
          </w:rPr>
          <w:t>Green Building Regulations, 2006, 2013</w:t>
        </w:r>
        <w:bookmarkEnd w:id="306"/>
        <w:bookmarkEnd w:id="307"/>
        <w:bookmarkEnd w:id="308"/>
        <w:r w:rsidR="00B065B4" w:rsidRPr="00BA4A52">
          <w:rPr>
            <w:rStyle w:val="Hyperlink"/>
            <w:color w:val="404040" w:themeColor="text1" w:themeTint="BF"/>
          </w:rPr>
          <w:t xml:space="preserve"> </w:t>
        </w:r>
      </w:hyperlink>
      <w:r w:rsidR="00B065B4" w:rsidRPr="00BA4A52">
        <w:t xml:space="preserve"> </w:t>
      </w:r>
    </w:p>
    <w:p w14:paraId="70B7C92D"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 xml:space="preserve">The 2006 Green Building Act established high performance building standards for public and private projects. </w:t>
      </w:r>
    </w:p>
    <w:p w14:paraId="47BA62D0" w14:textId="77777777" w:rsid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 xml:space="preserve">The 2013 DC Construction Codes include the adoption of the 2012 International Green Construction Codes and the 2012 International Energy Construction Codes. </w:t>
      </w:r>
    </w:p>
    <w:p w14:paraId="0BFF0A4D" w14:textId="77777777" w:rsidR="00BA4A52" w:rsidRDefault="00BA4A52" w:rsidP="00BA4A52">
      <w:pPr>
        <w:pStyle w:val="ListParagraph"/>
        <w:spacing w:after="0" w:line="260" w:lineRule="exact"/>
        <w:rPr>
          <w:rFonts w:ascii="Franklin Gothic Book" w:hAnsi="Franklin Gothic Book"/>
          <w:bCs/>
        </w:rPr>
      </w:pPr>
    </w:p>
    <w:p w14:paraId="06C94340" w14:textId="67691481" w:rsidR="00B065B4" w:rsidRPr="00BA4A52" w:rsidRDefault="00DC418B" w:rsidP="00BA4A52">
      <w:pPr>
        <w:pStyle w:val="Level3Head-COG"/>
      </w:pPr>
      <w:hyperlink r:id="rId177" w:history="1">
        <w:bookmarkStart w:id="309" w:name="_Toc49861459"/>
        <w:bookmarkStart w:id="310" w:name="_Toc50968752"/>
        <w:bookmarkStart w:id="311" w:name="_Toc51077741"/>
        <w:r w:rsidR="00B065B4" w:rsidRPr="00BA4A52">
          <w:rPr>
            <w:rStyle w:val="Hyperlink"/>
            <w:color w:val="404040" w:themeColor="text1" w:themeTint="BF"/>
          </w:rPr>
          <w:t>Clean and Affordable Energy Act</w:t>
        </w:r>
        <w:r w:rsidR="00115622">
          <w:rPr>
            <w:rStyle w:val="Hyperlink"/>
            <w:color w:val="404040" w:themeColor="text1" w:themeTint="BF"/>
          </w:rPr>
          <w:t>,</w:t>
        </w:r>
        <w:r w:rsidR="00B065B4" w:rsidRPr="00BA4A52">
          <w:rPr>
            <w:rStyle w:val="Hyperlink"/>
            <w:color w:val="404040" w:themeColor="text1" w:themeTint="BF"/>
          </w:rPr>
          <w:t xml:space="preserve"> 2008</w:t>
        </w:r>
        <w:bookmarkEnd w:id="309"/>
        <w:bookmarkEnd w:id="310"/>
        <w:bookmarkEnd w:id="311"/>
      </w:hyperlink>
      <w:r w:rsidR="00B065B4" w:rsidRPr="00BA4A52">
        <w:t xml:space="preserve"> </w:t>
      </w:r>
    </w:p>
    <w:p w14:paraId="722591C3"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Established DC Sustainable Energy Utility (SEU) to administer sustainable energy programs in the District of Columbia.</w:t>
      </w:r>
    </w:p>
    <w:p w14:paraId="2655E9CA" w14:textId="332D8114" w:rsidR="00B065B4"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 xml:space="preserve">Energy efficiency measures are amended in 2018 </w:t>
      </w:r>
      <w:proofErr w:type="spellStart"/>
      <w:r w:rsidRPr="00BA4A52">
        <w:rPr>
          <w:rFonts w:ascii="Franklin Gothic Book" w:hAnsi="Franklin Gothic Book"/>
          <w:bCs/>
        </w:rPr>
        <w:t>CleanEnergy</w:t>
      </w:r>
      <w:proofErr w:type="spellEnd"/>
      <w:r w:rsidRPr="00BA4A52">
        <w:rPr>
          <w:rFonts w:ascii="Franklin Gothic Book" w:hAnsi="Franklin Gothic Book"/>
          <w:bCs/>
        </w:rPr>
        <w:t xml:space="preserve"> Act </w:t>
      </w:r>
    </w:p>
    <w:p w14:paraId="79BF8F1E" w14:textId="77777777" w:rsidR="00A165B6" w:rsidRDefault="00A165B6" w:rsidP="00A165B6">
      <w:pPr>
        <w:pStyle w:val="ListParagraph"/>
        <w:spacing w:after="0" w:line="260" w:lineRule="exact"/>
        <w:rPr>
          <w:rFonts w:ascii="Franklin Gothic Book" w:hAnsi="Franklin Gothic Book"/>
          <w:bCs/>
        </w:rPr>
      </w:pPr>
    </w:p>
    <w:p w14:paraId="48F6BF47" w14:textId="61B4D0C6" w:rsidR="00B065B4" w:rsidRPr="00A165B6" w:rsidRDefault="00DC418B" w:rsidP="00A165B6">
      <w:pPr>
        <w:pStyle w:val="Level3Head-COG"/>
      </w:pPr>
      <w:hyperlink r:id="rId178" w:history="1">
        <w:bookmarkStart w:id="312" w:name="_Toc49861460"/>
        <w:bookmarkStart w:id="313" w:name="_Toc50968753"/>
        <w:bookmarkStart w:id="314" w:name="_Toc51077742"/>
        <w:r w:rsidR="00B065B4" w:rsidRPr="00A165B6">
          <w:rPr>
            <w:rStyle w:val="Hyperlink"/>
            <w:color w:val="404040" w:themeColor="text1" w:themeTint="BF"/>
          </w:rPr>
          <w:t>Clean Cars Act</w:t>
        </w:r>
        <w:r w:rsidR="00115622">
          <w:rPr>
            <w:rStyle w:val="Hyperlink"/>
            <w:color w:val="404040" w:themeColor="text1" w:themeTint="BF"/>
          </w:rPr>
          <w:t xml:space="preserve">, </w:t>
        </w:r>
        <w:r w:rsidR="00B065B4" w:rsidRPr="00A165B6">
          <w:rPr>
            <w:rStyle w:val="Hyperlink"/>
            <w:color w:val="404040" w:themeColor="text1" w:themeTint="BF"/>
          </w:rPr>
          <w:t>2008</w:t>
        </w:r>
        <w:bookmarkEnd w:id="312"/>
        <w:bookmarkEnd w:id="313"/>
        <w:bookmarkEnd w:id="314"/>
      </w:hyperlink>
    </w:p>
    <w:p w14:paraId="3D14D8EA" w14:textId="325E791F"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Adopted California's Clean Cars Program LEV II emission standards, with phase-in beginning in 2012. Provides a 90</w:t>
      </w:r>
      <w:r w:rsidR="00727D88">
        <w:rPr>
          <w:rFonts w:ascii="Franklin Gothic Book" w:hAnsi="Franklin Gothic Book"/>
          <w:bCs/>
        </w:rPr>
        <w:t xml:space="preserve"> percent</w:t>
      </w:r>
      <w:r w:rsidRPr="00BA4A52">
        <w:rPr>
          <w:rFonts w:ascii="Franklin Gothic Book" w:hAnsi="Franklin Gothic Book"/>
          <w:bCs/>
        </w:rPr>
        <w:t xml:space="preserve"> reduction in harmful vehicle emissions. </w:t>
      </w:r>
    </w:p>
    <w:p w14:paraId="63D265D8" w14:textId="5047A011" w:rsidR="00B065B4" w:rsidRPr="00A165B6" w:rsidRDefault="00B065B4" w:rsidP="00EC12DE">
      <w:pPr>
        <w:pStyle w:val="ListParagraph"/>
        <w:numPr>
          <w:ilvl w:val="0"/>
          <w:numId w:val="21"/>
        </w:numPr>
        <w:spacing w:after="0" w:line="260" w:lineRule="exact"/>
        <w:rPr>
          <w:rFonts w:ascii="Franklin Gothic Book" w:hAnsi="Franklin Gothic Book" w:cstheme="minorHAnsi"/>
          <w:bCs/>
        </w:rPr>
      </w:pPr>
      <w:r w:rsidRPr="00BA4A52">
        <w:rPr>
          <w:rFonts w:ascii="Franklin Gothic Book" w:hAnsi="Franklin Gothic Book" w:cstheme="minorHAnsi"/>
          <w:bCs/>
          <w:shd w:val="clear" w:color="auto" w:fill="FFFFFF"/>
        </w:rPr>
        <w:t>The Clean Cars Program represented the first program that directly regulates carbon dioxide (CO) emissions. </w:t>
      </w:r>
    </w:p>
    <w:p w14:paraId="66D47D52" w14:textId="77777777" w:rsidR="00A165B6" w:rsidRPr="00BA4A52" w:rsidRDefault="00A165B6" w:rsidP="00A165B6">
      <w:pPr>
        <w:pStyle w:val="ListParagraph"/>
        <w:spacing w:after="0" w:line="260" w:lineRule="exact"/>
        <w:ind w:left="1440"/>
        <w:rPr>
          <w:rFonts w:ascii="Franklin Gothic Book" w:hAnsi="Franklin Gothic Book" w:cstheme="minorHAnsi"/>
          <w:bCs/>
        </w:rPr>
      </w:pPr>
    </w:p>
    <w:p w14:paraId="1999EB55" w14:textId="2916392F" w:rsidR="00B065B4" w:rsidRPr="00A165B6" w:rsidRDefault="00DC418B" w:rsidP="00A165B6">
      <w:pPr>
        <w:pStyle w:val="Level3Head-COG"/>
      </w:pPr>
      <w:hyperlink r:id="rId179" w:history="1">
        <w:bookmarkStart w:id="315" w:name="_Toc49861461"/>
        <w:bookmarkStart w:id="316" w:name="_Toc50968754"/>
        <w:bookmarkStart w:id="317" w:name="_Toc51077743"/>
        <w:r w:rsidR="00B065B4" w:rsidRPr="00A165B6">
          <w:rPr>
            <w:rStyle w:val="Hyperlink"/>
            <w:color w:val="404040" w:themeColor="text1" w:themeTint="BF"/>
          </w:rPr>
          <w:t>Sustainable DC Act</w:t>
        </w:r>
        <w:r w:rsidR="00115622">
          <w:rPr>
            <w:rStyle w:val="Hyperlink"/>
            <w:color w:val="404040" w:themeColor="text1" w:themeTint="BF"/>
          </w:rPr>
          <w:t xml:space="preserve">, </w:t>
        </w:r>
        <w:r w:rsidR="00B065B4" w:rsidRPr="00A165B6">
          <w:rPr>
            <w:rStyle w:val="Hyperlink"/>
            <w:color w:val="404040" w:themeColor="text1" w:themeTint="BF"/>
          </w:rPr>
          <w:t>2012</w:t>
        </w:r>
        <w:r w:rsidR="004516E1">
          <w:rPr>
            <w:rStyle w:val="Hyperlink"/>
            <w:color w:val="404040" w:themeColor="text1" w:themeTint="BF"/>
          </w:rPr>
          <w:t xml:space="preserve">, </w:t>
        </w:r>
        <w:r w:rsidR="00B065B4" w:rsidRPr="00A165B6">
          <w:rPr>
            <w:rStyle w:val="Hyperlink"/>
            <w:color w:val="404040" w:themeColor="text1" w:themeTint="BF"/>
          </w:rPr>
          <w:t>2014</w:t>
        </w:r>
        <w:bookmarkEnd w:id="315"/>
        <w:bookmarkEnd w:id="316"/>
        <w:bookmarkEnd w:id="317"/>
      </w:hyperlink>
    </w:p>
    <w:p w14:paraId="40E5E9E1"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Sustainable DC Act of 2012 consisted of nine components with sustainability measures, and all nine proposals were adopted by the District Council.</w:t>
      </w:r>
    </w:p>
    <w:p w14:paraId="4F4A39F3"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 xml:space="preserve">Sustainable DC Omnibus Amendment Act of 2014 </w:t>
      </w:r>
    </w:p>
    <w:p w14:paraId="6D9DF79E" w14:textId="77777777" w:rsidR="00B065B4" w:rsidRPr="00BA4A52" w:rsidRDefault="00B065B4" w:rsidP="00EC12DE">
      <w:pPr>
        <w:pStyle w:val="ListParagraph"/>
        <w:numPr>
          <w:ilvl w:val="1"/>
          <w:numId w:val="21"/>
        </w:numPr>
        <w:spacing w:after="0" w:line="260" w:lineRule="exact"/>
        <w:rPr>
          <w:rFonts w:ascii="Franklin Gothic Book" w:hAnsi="Franklin Gothic Book"/>
          <w:bCs/>
        </w:rPr>
      </w:pPr>
      <w:r w:rsidRPr="00BA4A52">
        <w:rPr>
          <w:rFonts w:ascii="Franklin Gothic Book" w:hAnsi="Franklin Gothic Book"/>
          <w:bCs/>
        </w:rPr>
        <w:t>Supports the District building a benchmarking program by making data on energy and water use more accessible.</w:t>
      </w:r>
    </w:p>
    <w:p w14:paraId="60314828" w14:textId="77777777" w:rsidR="00B065B4" w:rsidRPr="00BA4A52" w:rsidRDefault="00B065B4" w:rsidP="00EC12DE">
      <w:pPr>
        <w:pStyle w:val="ListParagraph"/>
        <w:numPr>
          <w:ilvl w:val="1"/>
          <w:numId w:val="21"/>
        </w:numPr>
        <w:spacing w:after="0" w:line="260" w:lineRule="exact"/>
        <w:rPr>
          <w:rFonts w:ascii="Franklin Gothic Book" w:hAnsi="Franklin Gothic Book"/>
          <w:bCs/>
        </w:rPr>
      </w:pPr>
      <w:r w:rsidRPr="00BA4A52">
        <w:rPr>
          <w:rFonts w:ascii="Franklin Gothic Book" w:hAnsi="Franklin Gothic Book"/>
          <w:bCs/>
        </w:rPr>
        <w:t>Creates an environmental literacy program.</w:t>
      </w:r>
    </w:p>
    <w:p w14:paraId="5DAA05C3" w14:textId="77777777" w:rsidR="00B065B4" w:rsidRPr="00BA4A52" w:rsidRDefault="00B065B4" w:rsidP="00EC12DE">
      <w:pPr>
        <w:pStyle w:val="ListParagraph"/>
        <w:numPr>
          <w:ilvl w:val="1"/>
          <w:numId w:val="21"/>
        </w:numPr>
        <w:spacing w:after="0" w:line="260" w:lineRule="exact"/>
        <w:rPr>
          <w:rFonts w:ascii="Franklin Gothic Book" w:hAnsi="Franklin Gothic Book"/>
          <w:bCs/>
        </w:rPr>
      </w:pPr>
      <w:r w:rsidRPr="00BA4A52">
        <w:rPr>
          <w:rFonts w:ascii="Franklin Gothic Book" w:hAnsi="Franklin Gothic Book"/>
          <w:bCs/>
        </w:rPr>
        <w:t>Prohibits the sale or use of polystyrene containers for food service.</w:t>
      </w:r>
    </w:p>
    <w:p w14:paraId="5EAC04DF" w14:textId="371B221C" w:rsidR="00B065B4" w:rsidRDefault="00B065B4" w:rsidP="00EC12DE">
      <w:pPr>
        <w:pStyle w:val="ListParagraph"/>
        <w:numPr>
          <w:ilvl w:val="1"/>
          <w:numId w:val="21"/>
        </w:numPr>
        <w:spacing w:after="0" w:line="260" w:lineRule="exact"/>
        <w:rPr>
          <w:rFonts w:ascii="Franklin Gothic Book" w:hAnsi="Franklin Gothic Book"/>
          <w:bCs/>
        </w:rPr>
      </w:pPr>
      <w:r w:rsidRPr="00BA4A52">
        <w:rPr>
          <w:rFonts w:ascii="Franklin Gothic Book" w:hAnsi="Franklin Gothic Book"/>
          <w:bCs/>
        </w:rPr>
        <w:t>Requires payment to offset the destruction or removal of a tree.</w:t>
      </w:r>
    </w:p>
    <w:p w14:paraId="26F8583A" w14:textId="77777777" w:rsidR="00414058" w:rsidRPr="00BA4A52" w:rsidRDefault="00414058" w:rsidP="00414058">
      <w:pPr>
        <w:pStyle w:val="ListParagraph"/>
        <w:spacing w:after="0" w:line="260" w:lineRule="exact"/>
        <w:ind w:left="2160"/>
        <w:rPr>
          <w:rFonts w:ascii="Franklin Gothic Book" w:hAnsi="Franklin Gothic Book"/>
          <w:bCs/>
        </w:rPr>
      </w:pPr>
    </w:p>
    <w:p w14:paraId="0843C298" w14:textId="14F45106" w:rsidR="00B065B4" w:rsidRPr="00E31E1C" w:rsidRDefault="00DC418B" w:rsidP="00E31E1C">
      <w:pPr>
        <w:pStyle w:val="Level3Head-COG"/>
      </w:pPr>
      <w:hyperlink r:id="rId180" w:history="1">
        <w:bookmarkStart w:id="318" w:name="_Toc49861462"/>
        <w:bookmarkStart w:id="319" w:name="_Toc50968755"/>
        <w:bookmarkStart w:id="320" w:name="_Toc51077744"/>
        <w:r w:rsidR="00B065B4" w:rsidRPr="00E31E1C">
          <w:rPr>
            <w:rStyle w:val="Hyperlink"/>
            <w:color w:val="404040" w:themeColor="text1" w:themeTint="BF"/>
          </w:rPr>
          <w:t>CleanEnergy DC Omnibus Amendment Act</w:t>
        </w:r>
        <w:r w:rsidR="00115622">
          <w:rPr>
            <w:rStyle w:val="Hyperlink"/>
            <w:color w:val="404040" w:themeColor="text1" w:themeTint="BF"/>
          </w:rPr>
          <w:t xml:space="preserve">, </w:t>
        </w:r>
        <w:r w:rsidR="00B065B4" w:rsidRPr="00E31E1C">
          <w:rPr>
            <w:rStyle w:val="Hyperlink"/>
            <w:color w:val="404040" w:themeColor="text1" w:themeTint="BF"/>
          </w:rPr>
          <w:t>2018</w:t>
        </w:r>
        <w:bookmarkEnd w:id="318"/>
        <w:bookmarkEnd w:id="319"/>
        <w:bookmarkEnd w:id="320"/>
      </w:hyperlink>
      <w:r w:rsidR="00B065B4" w:rsidRPr="00E31E1C">
        <w:t xml:space="preserve"> </w:t>
      </w:r>
    </w:p>
    <w:p w14:paraId="2A8D040E" w14:textId="610CFE23"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Increases the District’s RPS to 100</w:t>
      </w:r>
      <w:r w:rsidR="00727D88">
        <w:rPr>
          <w:rFonts w:ascii="Franklin Gothic Book" w:hAnsi="Franklin Gothic Book"/>
          <w:bCs/>
        </w:rPr>
        <w:t xml:space="preserve"> percent</w:t>
      </w:r>
      <w:r w:rsidRPr="00BA4A52">
        <w:rPr>
          <w:rFonts w:ascii="Franklin Gothic Book" w:hAnsi="Franklin Gothic Book"/>
          <w:bCs/>
        </w:rPr>
        <w:t xml:space="preserve"> by 2032.</w:t>
      </w:r>
    </w:p>
    <w:p w14:paraId="7EE167D2" w14:textId="7B549F32"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Establishes a solar energy standard beyond 2032 (5</w:t>
      </w:r>
      <w:r w:rsidR="00727D88">
        <w:rPr>
          <w:rFonts w:ascii="Franklin Gothic Book" w:hAnsi="Franklin Gothic Book"/>
          <w:bCs/>
        </w:rPr>
        <w:t xml:space="preserve"> percent</w:t>
      </w:r>
      <w:r w:rsidRPr="00BA4A52">
        <w:rPr>
          <w:rFonts w:ascii="Franklin Gothic Book" w:hAnsi="Franklin Gothic Book"/>
          <w:bCs/>
        </w:rPr>
        <w:t xml:space="preserve"> solar by 2032, and 10</w:t>
      </w:r>
      <w:r w:rsidR="00727D88">
        <w:rPr>
          <w:rFonts w:ascii="Franklin Gothic Book" w:hAnsi="Franklin Gothic Book"/>
          <w:bCs/>
        </w:rPr>
        <w:t xml:space="preserve"> percent</w:t>
      </w:r>
      <w:r w:rsidRPr="00BA4A52">
        <w:rPr>
          <w:rFonts w:ascii="Franklin Gothic Book" w:hAnsi="Franklin Gothic Book"/>
          <w:bCs/>
        </w:rPr>
        <w:t xml:space="preserve"> by 2041).</w:t>
      </w:r>
    </w:p>
    <w:p w14:paraId="2858E238"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Removes restrictions on types of energy efficiency measures that the SEU must offer.</w:t>
      </w:r>
    </w:p>
    <w:p w14:paraId="74EB4CCA"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Expands the uses of the Sustainable Energy Trust Fund.</w:t>
      </w:r>
    </w:p>
    <w:p w14:paraId="01EDE868"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Establishes building energy performance standard program at DOEE. Expands DOEE’s benchmarking program to include buildings of 10,000 square feet of more by 2024.</w:t>
      </w:r>
    </w:p>
    <w:p w14:paraId="1EF99D8C"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Establishes an energy efficiency program.</w:t>
      </w:r>
    </w:p>
    <w:p w14:paraId="691DCD70"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Requires the DMV to issue regulations tying the vehicle excise tax to fuel efficiency.</w:t>
      </w:r>
    </w:p>
    <w:p w14:paraId="375F40C4" w14:textId="77777777"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t>Establishes a transportation electrification program. By 2045, all public transportation and privately-owned vehicle fleets in DC will have to be zero emission vehicles.</w:t>
      </w:r>
    </w:p>
    <w:p w14:paraId="5C447B70" w14:textId="0174C23F" w:rsidR="00B065B4" w:rsidRPr="00BA4A52" w:rsidRDefault="00B065B4" w:rsidP="00EC12DE">
      <w:pPr>
        <w:pStyle w:val="ListParagraph"/>
        <w:numPr>
          <w:ilvl w:val="0"/>
          <w:numId w:val="21"/>
        </w:numPr>
        <w:spacing w:after="0" w:line="260" w:lineRule="exact"/>
        <w:rPr>
          <w:rFonts w:ascii="Franklin Gothic Book" w:hAnsi="Franklin Gothic Book"/>
          <w:bCs/>
        </w:rPr>
      </w:pPr>
      <w:r w:rsidRPr="00BA4A52">
        <w:rPr>
          <w:rFonts w:ascii="Franklin Gothic Book" w:hAnsi="Franklin Gothic Book"/>
          <w:bCs/>
        </w:rPr>
        <w:lastRenderedPageBreak/>
        <w:t>Authorizes the Mayor to commit the District to participation in regional GHG reduction programs.</w:t>
      </w:r>
    </w:p>
    <w:p w14:paraId="774C9478" w14:textId="77777777" w:rsidR="00B51875" w:rsidRPr="00BA4A52" w:rsidRDefault="00B51875" w:rsidP="00BA4A52">
      <w:pPr>
        <w:pStyle w:val="ListParagraph"/>
        <w:spacing w:after="0" w:line="260" w:lineRule="exact"/>
        <w:ind w:left="1440"/>
        <w:rPr>
          <w:rFonts w:ascii="Franklin Gothic Book" w:hAnsi="Franklin Gothic Book"/>
          <w:bCs/>
        </w:rPr>
      </w:pPr>
    </w:p>
    <w:p w14:paraId="337762B3" w14:textId="77777777" w:rsidR="00066258" w:rsidRDefault="00B065B4" w:rsidP="00066258">
      <w:pPr>
        <w:pStyle w:val="Level2Head-COG"/>
      </w:pPr>
      <w:bookmarkStart w:id="321" w:name="_Toc49861463"/>
      <w:bookmarkStart w:id="322" w:name="_Toc50968756"/>
      <w:bookmarkStart w:id="323" w:name="_Toc51077745"/>
      <w:r w:rsidRPr="00EC6D2E">
        <w:t>MARYLAND</w:t>
      </w:r>
      <w:bookmarkEnd w:id="321"/>
      <w:bookmarkEnd w:id="322"/>
      <w:bookmarkEnd w:id="323"/>
    </w:p>
    <w:p w14:paraId="23F6F204" w14:textId="2B2D852A" w:rsidR="00B065B4" w:rsidRPr="00066258" w:rsidRDefault="00DC418B" w:rsidP="00066258">
      <w:pPr>
        <w:pStyle w:val="Level3Head-COG"/>
      </w:pPr>
      <w:hyperlink r:id="rId181" w:history="1">
        <w:bookmarkStart w:id="324" w:name="_Toc49861464"/>
        <w:bookmarkStart w:id="325" w:name="_Toc50968757"/>
        <w:bookmarkStart w:id="326" w:name="_Toc51077746"/>
        <w:r w:rsidR="00B065B4" w:rsidRPr="00066258">
          <w:rPr>
            <w:rStyle w:val="Hyperlink"/>
            <w:color w:val="404040" w:themeColor="text1" w:themeTint="BF"/>
          </w:rPr>
          <w:t>Maryland joined Regional Greenhouse Gas Initiative (RGGI)</w:t>
        </w:r>
        <w:r w:rsidR="00986619">
          <w:rPr>
            <w:rStyle w:val="Hyperlink"/>
            <w:color w:val="404040" w:themeColor="text1" w:themeTint="BF"/>
          </w:rPr>
          <w:t xml:space="preserve">, </w:t>
        </w:r>
        <w:r w:rsidR="00B065B4" w:rsidRPr="00066258">
          <w:rPr>
            <w:rStyle w:val="Hyperlink"/>
            <w:color w:val="404040" w:themeColor="text1" w:themeTint="BF"/>
          </w:rPr>
          <w:t>2007</w:t>
        </w:r>
        <w:bookmarkEnd w:id="324"/>
        <w:bookmarkEnd w:id="325"/>
        <w:bookmarkEnd w:id="326"/>
      </w:hyperlink>
    </w:p>
    <w:p w14:paraId="53AF374D" w14:textId="06124B5E" w:rsidR="00B065B4" w:rsidRDefault="00B065B4" w:rsidP="00EC12DE">
      <w:pPr>
        <w:pStyle w:val="ListParagraph"/>
        <w:numPr>
          <w:ilvl w:val="0"/>
          <w:numId w:val="22"/>
        </w:numPr>
        <w:spacing w:after="0" w:line="260" w:lineRule="exact"/>
        <w:contextualSpacing w:val="0"/>
        <w:rPr>
          <w:rFonts w:ascii="Franklin Gothic Book" w:hAnsi="Franklin Gothic Book"/>
          <w:bCs/>
        </w:rPr>
      </w:pPr>
      <w:r w:rsidRPr="000F089A">
        <w:rPr>
          <w:rFonts w:ascii="Franklin Gothic Book" w:hAnsi="Franklin Gothic Book"/>
          <w:bCs/>
        </w:rPr>
        <w:t>Establishes a regional cap on the amount of CO</w:t>
      </w:r>
      <w:r w:rsidRPr="000F089A">
        <w:rPr>
          <w:rFonts w:ascii="Franklin Gothic Book" w:hAnsi="Franklin Gothic Book"/>
          <w:bCs/>
          <w:vertAlign w:val="subscript"/>
        </w:rPr>
        <w:t>2</w:t>
      </w:r>
      <w:r w:rsidRPr="000F089A">
        <w:rPr>
          <w:rFonts w:ascii="Franklin Gothic Book" w:hAnsi="Franklin Gothic Book"/>
          <w:bCs/>
        </w:rPr>
        <w:t> pollution that power plants can emit by issuing a limited number of tradable CO</w:t>
      </w:r>
      <w:r w:rsidRPr="000F089A">
        <w:rPr>
          <w:rFonts w:ascii="Franklin Gothic Book" w:hAnsi="Franklin Gothic Book"/>
          <w:bCs/>
          <w:vertAlign w:val="subscript"/>
        </w:rPr>
        <w:t>2</w:t>
      </w:r>
      <w:r w:rsidRPr="000F089A">
        <w:rPr>
          <w:rFonts w:ascii="Franklin Gothic Book" w:hAnsi="Franklin Gothic Book"/>
          <w:bCs/>
        </w:rPr>
        <w:t> allowances. Each allowance represents an authorization for a regulated power plant to emit one short ton of CO</w:t>
      </w:r>
      <w:r w:rsidRPr="000F089A">
        <w:rPr>
          <w:rFonts w:ascii="Franklin Gothic Book" w:hAnsi="Franklin Gothic Book"/>
          <w:bCs/>
          <w:vertAlign w:val="subscript"/>
        </w:rPr>
        <w:t>2</w:t>
      </w:r>
      <w:r w:rsidRPr="000F089A">
        <w:rPr>
          <w:rFonts w:ascii="Franklin Gothic Book" w:hAnsi="Franklin Gothic Book"/>
          <w:bCs/>
        </w:rPr>
        <w:t>. Individual CO</w:t>
      </w:r>
      <w:r w:rsidRPr="000F089A">
        <w:rPr>
          <w:rFonts w:ascii="Franklin Gothic Book" w:hAnsi="Franklin Gothic Book"/>
          <w:bCs/>
          <w:vertAlign w:val="subscript"/>
        </w:rPr>
        <w:t>2</w:t>
      </w:r>
      <w:r w:rsidRPr="000F089A">
        <w:rPr>
          <w:rFonts w:ascii="Franklin Gothic Book" w:hAnsi="Franklin Gothic Book"/>
          <w:bCs/>
        </w:rPr>
        <w:t> budget trading programs in each RGGI state together create a regional market for CO</w:t>
      </w:r>
      <w:r w:rsidRPr="000F089A">
        <w:rPr>
          <w:rFonts w:ascii="Franklin Gothic Book" w:hAnsi="Franklin Gothic Book"/>
          <w:bCs/>
          <w:vertAlign w:val="subscript"/>
        </w:rPr>
        <w:t>2</w:t>
      </w:r>
      <w:r w:rsidRPr="000F089A">
        <w:rPr>
          <w:rFonts w:ascii="Franklin Gothic Book" w:hAnsi="Franklin Gothic Book"/>
          <w:bCs/>
        </w:rPr>
        <w:t> allowances.</w:t>
      </w:r>
    </w:p>
    <w:p w14:paraId="06E1FC91" w14:textId="77777777" w:rsidR="00066258" w:rsidRPr="000F089A" w:rsidRDefault="00066258" w:rsidP="00066258">
      <w:pPr>
        <w:pStyle w:val="ListParagraph"/>
        <w:spacing w:after="0" w:line="260" w:lineRule="exact"/>
        <w:contextualSpacing w:val="0"/>
        <w:rPr>
          <w:rFonts w:ascii="Franklin Gothic Book" w:hAnsi="Franklin Gothic Book"/>
          <w:bCs/>
        </w:rPr>
      </w:pPr>
    </w:p>
    <w:p w14:paraId="03E9797D" w14:textId="77777777" w:rsidR="00B065B4" w:rsidRPr="00066258" w:rsidRDefault="00DC418B" w:rsidP="00066258">
      <w:pPr>
        <w:pStyle w:val="Level3Head-COG"/>
      </w:pPr>
      <w:hyperlink r:id="rId182" w:history="1">
        <w:bookmarkStart w:id="327" w:name="_Toc49861465"/>
        <w:bookmarkStart w:id="328" w:name="_Toc50968758"/>
        <w:bookmarkStart w:id="329" w:name="_Toc51077747"/>
        <w:r w:rsidR="00B065B4" w:rsidRPr="00066258">
          <w:rPr>
            <w:rStyle w:val="Hyperlink"/>
            <w:color w:val="404040" w:themeColor="text1" w:themeTint="BF"/>
          </w:rPr>
          <w:t>Maryland Clean Cars Act, 2007</w:t>
        </w:r>
        <w:bookmarkEnd w:id="327"/>
        <w:bookmarkEnd w:id="328"/>
        <w:bookmarkEnd w:id="329"/>
      </w:hyperlink>
    </w:p>
    <w:p w14:paraId="2EE67532" w14:textId="440EEF7C"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Adopted California's Clean Cars Program LEV II emission standards, with phase-in beginning in 2011. Provides a 90</w:t>
      </w:r>
      <w:r w:rsidR="00727D88">
        <w:rPr>
          <w:rFonts w:ascii="Franklin Gothic Book" w:hAnsi="Franklin Gothic Book"/>
          <w:bCs/>
        </w:rPr>
        <w:t xml:space="preserve"> percent</w:t>
      </w:r>
      <w:r w:rsidRPr="000F089A">
        <w:rPr>
          <w:rFonts w:ascii="Franklin Gothic Book" w:hAnsi="Franklin Gothic Book"/>
          <w:bCs/>
        </w:rPr>
        <w:t xml:space="preserve"> reduction in harmful vehicle emissions. </w:t>
      </w:r>
    </w:p>
    <w:p w14:paraId="5A2ACF43" w14:textId="4401F1FD" w:rsidR="00B065B4" w:rsidRPr="007226E1" w:rsidRDefault="00B065B4" w:rsidP="00EC12DE">
      <w:pPr>
        <w:pStyle w:val="ListParagraph"/>
        <w:numPr>
          <w:ilvl w:val="0"/>
          <w:numId w:val="22"/>
        </w:numPr>
        <w:spacing w:after="0" w:line="260" w:lineRule="exact"/>
        <w:rPr>
          <w:rFonts w:ascii="Franklin Gothic Book" w:hAnsi="Franklin Gothic Book" w:cstheme="minorHAnsi"/>
          <w:bCs/>
        </w:rPr>
      </w:pPr>
      <w:r w:rsidRPr="000F089A">
        <w:rPr>
          <w:rFonts w:ascii="Franklin Gothic Book" w:hAnsi="Franklin Gothic Book" w:cstheme="minorHAnsi"/>
          <w:bCs/>
          <w:shd w:val="clear" w:color="auto" w:fill="FFFFFF"/>
        </w:rPr>
        <w:t>The Clean Cars Program represented the first program that directly regulates carbon dioxide (CO) emissions. </w:t>
      </w:r>
    </w:p>
    <w:p w14:paraId="19AD4237" w14:textId="77777777" w:rsidR="007226E1" w:rsidRPr="000F089A" w:rsidRDefault="007226E1" w:rsidP="007226E1">
      <w:pPr>
        <w:pStyle w:val="ListParagraph"/>
        <w:spacing w:after="0" w:line="260" w:lineRule="exact"/>
        <w:ind w:left="1440"/>
        <w:rPr>
          <w:rFonts w:ascii="Franklin Gothic Book" w:hAnsi="Franklin Gothic Book" w:cstheme="minorHAnsi"/>
          <w:bCs/>
        </w:rPr>
      </w:pPr>
    </w:p>
    <w:p w14:paraId="375E1DD9" w14:textId="76056908" w:rsidR="00B065B4" w:rsidRPr="007226E1" w:rsidRDefault="00DC418B" w:rsidP="007226E1">
      <w:pPr>
        <w:pStyle w:val="Level3Head-COG"/>
      </w:pPr>
      <w:hyperlink r:id="rId183" w:history="1">
        <w:bookmarkStart w:id="330" w:name="_Toc49861466"/>
        <w:bookmarkStart w:id="331" w:name="_Toc50968759"/>
        <w:bookmarkStart w:id="332" w:name="_Toc51077748"/>
        <w:r w:rsidR="00B065B4" w:rsidRPr="007226E1">
          <w:rPr>
            <w:rStyle w:val="Hyperlink"/>
            <w:color w:val="404040" w:themeColor="text1" w:themeTint="BF"/>
          </w:rPr>
          <w:t>Maryland Green Building Regulations, 2008, 2014, 2017</w:t>
        </w:r>
        <w:bookmarkEnd w:id="330"/>
        <w:bookmarkEnd w:id="331"/>
        <w:bookmarkEnd w:id="332"/>
      </w:hyperlink>
      <w:r w:rsidR="00B065B4" w:rsidRPr="007226E1">
        <w:t xml:space="preserve"> </w:t>
      </w:r>
    </w:p>
    <w:p w14:paraId="30ABE5E0" w14:textId="77777777"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 xml:space="preserve">The </w:t>
      </w:r>
      <w:proofErr w:type="gramStart"/>
      <w:r w:rsidRPr="000F089A">
        <w:rPr>
          <w:rFonts w:ascii="Franklin Gothic Book" w:hAnsi="Franklin Gothic Book"/>
          <w:bCs/>
        </w:rPr>
        <w:t>High Performance</w:t>
      </w:r>
      <w:proofErr w:type="gramEnd"/>
      <w:r w:rsidRPr="000F089A">
        <w:rPr>
          <w:rFonts w:ascii="Franklin Gothic Book" w:hAnsi="Franklin Gothic Book"/>
          <w:bCs/>
        </w:rPr>
        <w:t xml:space="preserve"> Building Act passed in 2008 and green building requirements were updated in 2017. </w:t>
      </w:r>
    </w:p>
    <w:p w14:paraId="4D9E8642" w14:textId="77777777"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Maryland adopted the 2012 International Green Construction Code (</w:t>
      </w:r>
      <w:proofErr w:type="spellStart"/>
      <w:r w:rsidRPr="000F089A">
        <w:rPr>
          <w:rFonts w:ascii="Franklin Gothic Book" w:hAnsi="Franklin Gothic Book"/>
          <w:bCs/>
        </w:rPr>
        <w:t>IgCC</w:t>
      </w:r>
      <w:proofErr w:type="spellEnd"/>
      <w:r w:rsidRPr="000F089A">
        <w:rPr>
          <w:rFonts w:ascii="Franklin Gothic Book" w:hAnsi="Franklin Gothic Book"/>
          <w:bCs/>
        </w:rPr>
        <w:t xml:space="preserve">) in 2014. </w:t>
      </w:r>
    </w:p>
    <w:p w14:paraId="5591818B" w14:textId="0DA30056" w:rsidR="00B065B4"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 xml:space="preserve">All new or significantly renovated fully State funded buildings, K thru 12 public schools and new community college buildings over 7,500 gross square feet shall be constructed as </w:t>
      </w:r>
      <w:proofErr w:type="gramStart"/>
      <w:r w:rsidRPr="000F089A">
        <w:rPr>
          <w:rFonts w:ascii="Franklin Gothic Book" w:hAnsi="Franklin Gothic Book"/>
          <w:bCs/>
        </w:rPr>
        <w:t>High Performance</w:t>
      </w:r>
      <w:proofErr w:type="gramEnd"/>
      <w:r w:rsidRPr="000F089A">
        <w:rPr>
          <w:rFonts w:ascii="Franklin Gothic Book" w:hAnsi="Franklin Gothic Book"/>
          <w:bCs/>
        </w:rPr>
        <w:t xml:space="preserve"> Buildings (at least to LEED Silver certification). </w:t>
      </w:r>
    </w:p>
    <w:p w14:paraId="415094D8" w14:textId="77777777" w:rsidR="00115622" w:rsidRPr="000F089A" w:rsidRDefault="00115622" w:rsidP="00115622">
      <w:pPr>
        <w:pStyle w:val="ListParagraph"/>
        <w:spacing w:after="0" w:line="260" w:lineRule="exact"/>
        <w:ind w:left="1440"/>
        <w:rPr>
          <w:rFonts w:ascii="Franklin Gothic Book" w:hAnsi="Franklin Gothic Book"/>
          <w:bCs/>
        </w:rPr>
      </w:pPr>
    </w:p>
    <w:p w14:paraId="4A239D18" w14:textId="5553FE5B" w:rsidR="00B065B4" w:rsidRPr="00BC4FB7" w:rsidRDefault="00DC418B" w:rsidP="00BC4FB7">
      <w:pPr>
        <w:pStyle w:val="Level3Head-COG"/>
      </w:pPr>
      <w:hyperlink r:id="rId184" w:history="1">
        <w:bookmarkStart w:id="333" w:name="_Toc49861467"/>
        <w:bookmarkStart w:id="334" w:name="_Toc50968760"/>
        <w:bookmarkStart w:id="335" w:name="_Toc51077749"/>
        <w:r w:rsidR="00B065B4" w:rsidRPr="00BC4FB7">
          <w:rPr>
            <w:rStyle w:val="Hyperlink"/>
            <w:color w:val="404040" w:themeColor="text1" w:themeTint="BF"/>
          </w:rPr>
          <w:t>EmPOWER Maryland Energy Efficiency Act</w:t>
        </w:r>
        <w:r w:rsidR="00BC4FB7">
          <w:rPr>
            <w:rStyle w:val="Hyperlink"/>
            <w:color w:val="404040" w:themeColor="text1" w:themeTint="BF"/>
          </w:rPr>
          <w:t xml:space="preserve">, </w:t>
        </w:r>
        <w:r w:rsidR="00B065B4" w:rsidRPr="00BC4FB7">
          <w:rPr>
            <w:rStyle w:val="Hyperlink"/>
            <w:color w:val="404040" w:themeColor="text1" w:themeTint="BF"/>
          </w:rPr>
          <w:t>2008</w:t>
        </w:r>
        <w:bookmarkEnd w:id="333"/>
        <w:bookmarkEnd w:id="334"/>
        <w:bookmarkEnd w:id="335"/>
      </w:hyperlink>
      <w:r w:rsidR="00B065B4" w:rsidRPr="00BC4FB7">
        <w:t xml:space="preserve"> </w:t>
      </w:r>
    </w:p>
    <w:p w14:paraId="534E7543" w14:textId="26941EA7"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Established a goal to reduce per capita electricity usage and peak demand 15</w:t>
      </w:r>
      <w:r w:rsidR="00727D88">
        <w:rPr>
          <w:rFonts w:ascii="Franklin Gothic Book" w:hAnsi="Franklin Gothic Book"/>
          <w:bCs/>
        </w:rPr>
        <w:t xml:space="preserve"> percent</w:t>
      </w:r>
      <w:r w:rsidRPr="000F089A">
        <w:rPr>
          <w:rFonts w:ascii="Franklin Gothic Book" w:hAnsi="Franklin Gothic Book"/>
          <w:bCs/>
        </w:rPr>
        <w:t xml:space="preserve"> by 2015. </w:t>
      </w:r>
    </w:p>
    <w:p w14:paraId="03F5797D" w14:textId="77777777"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 xml:space="preserve">For 2016 and beyond, the Public Service Commission will continue to require utilities to establish any program that it deems appropriate and cost effective to encourage and promote the efficient use and conservation of energy. </w:t>
      </w:r>
    </w:p>
    <w:p w14:paraId="7B426455" w14:textId="1251BF4E" w:rsidR="00B065B4"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The Commission has established a new goal structure, which requires electric utilities to achieve annual incremental cost-effective energy savings equal to two percent of their retail electric sales.</w:t>
      </w:r>
    </w:p>
    <w:p w14:paraId="6524C96F" w14:textId="77777777" w:rsidR="00BC4FB7" w:rsidRPr="000F089A" w:rsidRDefault="00BC4FB7" w:rsidP="00BC4FB7">
      <w:pPr>
        <w:pStyle w:val="ListParagraph"/>
        <w:spacing w:after="0" w:line="260" w:lineRule="exact"/>
        <w:ind w:left="1440"/>
        <w:rPr>
          <w:rFonts w:ascii="Franklin Gothic Book" w:hAnsi="Franklin Gothic Book"/>
          <w:bCs/>
        </w:rPr>
      </w:pPr>
    </w:p>
    <w:p w14:paraId="3D100C5C" w14:textId="0A65984C" w:rsidR="00B065B4" w:rsidRPr="00BC4FB7" w:rsidRDefault="00DC418B" w:rsidP="00BC4FB7">
      <w:pPr>
        <w:pStyle w:val="Level3Head-COG"/>
      </w:pPr>
      <w:hyperlink r:id="rId185" w:history="1">
        <w:bookmarkStart w:id="336" w:name="_Toc49861468"/>
        <w:bookmarkStart w:id="337" w:name="_Toc50968761"/>
        <w:bookmarkStart w:id="338" w:name="_Toc51077750"/>
        <w:r w:rsidR="00B065B4" w:rsidRPr="00BC4FB7">
          <w:rPr>
            <w:rStyle w:val="Hyperlink"/>
            <w:color w:val="404040" w:themeColor="text1" w:themeTint="BF"/>
          </w:rPr>
          <w:t>Greenhouse Gas Reduction Act (GGRA)</w:t>
        </w:r>
        <w:r w:rsidR="00BC4FB7">
          <w:rPr>
            <w:rStyle w:val="Hyperlink"/>
            <w:color w:val="404040" w:themeColor="text1" w:themeTint="BF"/>
          </w:rPr>
          <w:t>,</w:t>
        </w:r>
        <w:r w:rsidR="00B065B4" w:rsidRPr="00BC4FB7">
          <w:rPr>
            <w:rStyle w:val="Hyperlink"/>
            <w:color w:val="404040" w:themeColor="text1" w:themeTint="BF"/>
          </w:rPr>
          <w:t xml:space="preserve"> 2009</w:t>
        </w:r>
        <w:r w:rsidR="004516E1">
          <w:rPr>
            <w:rStyle w:val="Hyperlink"/>
            <w:color w:val="404040" w:themeColor="text1" w:themeTint="BF"/>
          </w:rPr>
          <w:t xml:space="preserve">, </w:t>
        </w:r>
        <w:r w:rsidR="00B065B4" w:rsidRPr="00BC4FB7">
          <w:rPr>
            <w:rStyle w:val="Hyperlink"/>
            <w:color w:val="404040" w:themeColor="text1" w:themeTint="BF"/>
          </w:rPr>
          <w:t>2016</w:t>
        </w:r>
        <w:bookmarkEnd w:id="336"/>
        <w:bookmarkEnd w:id="337"/>
        <w:bookmarkEnd w:id="338"/>
      </w:hyperlink>
      <w:r w:rsidR="00B065B4" w:rsidRPr="00BC4FB7">
        <w:t xml:space="preserve"> </w:t>
      </w:r>
    </w:p>
    <w:p w14:paraId="2BB70C73" w14:textId="379DD003"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Requires a 25</w:t>
      </w:r>
      <w:r w:rsidR="00727D88">
        <w:rPr>
          <w:rFonts w:ascii="Franklin Gothic Book" w:hAnsi="Franklin Gothic Book"/>
          <w:bCs/>
        </w:rPr>
        <w:t xml:space="preserve"> percent</w:t>
      </w:r>
      <w:r w:rsidRPr="000F089A">
        <w:rPr>
          <w:rFonts w:ascii="Franklin Gothic Book" w:hAnsi="Franklin Gothic Book"/>
          <w:bCs/>
        </w:rPr>
        <w:t xml:space="preserve"> reduction of GHG emissions from 2006 levels by 2020. </w:t>
      </w:r>
    </w:p>
    <w:p w14:paraId="28656841" w14:textId="77777777"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Required the creation of Maryland’s Greenhouse Gas Reduction Plan.</w:t>
      </w:r>
    </w:p>
    <w:p w14:paraId="555D3C3C" w14:textId="091923A9" w:rsidR="00B065B4"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In 2016, goal was further extended to a 40</w:t>
      </w:r>
      <w:r w:rsidR="00727D88">
        <w:rPr>
          <w:rFonts w:ascii="Franklin Gothic Book" w:hAnsi="Franklin Gothic Book"/>
          <w:bCs/>
        </w:rPr>
        <w:t xml:space="preserve"> percent</w:t>
      </w:r>
      <w:r w:rsidRPr="000F089A">
        <w:rPr>
          <w:rFonts w:ascii="Franklin Gothic Book" w:hAnsi="Franklin Gothic Book"/>
          <w:bCs/>
        </w:rPr>
        <w:t xml:space="preserve"> reduction from 2006 levels by 2030.</w:t>
      </w:r>
    </w:p>
    <w:p w14:paraId="5F4CB05C" w14:textId="77777777" w:rsidR="00BC4FB7" w:rsidRPr="005F56A4" w:rsidRDefault="00BC4FB7" w:rsidP="00BC4FB7">
      <w:pPr>
        <w:pStyle w:val="ListParagraph"/>
        <w:spacing w:after="0" w:line="260" w:lineRule="exact"/>
        <w:ind w:left="1440"/>
        <w:rPr>
          <w:rFonts w:ascii="Franklin Gothic Book" w:hAnsi="Franklin Gothic Book"/>
          <w:bCs/>
        </w:rPr>
      </w:pPr>
    </w:p>
    <w:p w14:paraId="74DCB398" w14:textId="69FF7BEB" w:rsidR="00B065B4" w:rsidRPr="00A14B92" w:rsidRDefault="00DC418B" w:rsidP="00A14B92">
      <w:pPr>
        <w:pStyle w:val="Level3Head-COG"/>
      </w:pPr>
      <w:hyperlink r:id="rId186" w:history="1">
        <w:bookmarkStart w:id="339" w:name="_Toc49861469"/>
        <w:bookmarkStart w:id="340" w:name="_Toc50968762"/>
        <w:bookmarkStart w:id="341" w:name="_Toc51077751"/>
        <w:r w:rsidR="00B065B4" w:rsidRPr="00A14B92">
          <w:rPr>
            <w:rStyle w:val="Hyperlink"/>
            <w:color w:val="404040" w:themeColor="text1" w:themeTint="BF"/>
          </w:rPr>
          <w:t>Clean Energy Jobs Act</w:t>
        </w:r>
        <w:r w:rsidR="00A14B92">
          <w:rPr>
            <w:rStyle w:val="Hyperlink"/>
            <w:color w:val="404040" w:themeColor="text1" w:themeTint="BF"/>
          </w:rPr>
          <w:t xml:space="preserve">, </w:t>
        </w:r>
        <w:r w:rsidR="00B065B4" w:rsidRPr="00A14B92">
          <w:rPr>
            <w:rStyle w:val="Hyperlink"/>
            <w:color w:val="404040" w:themeColor="text1" w:themeTint="BF"/>
          </w:rPr>
          <w:t>2018</w:t>
        </w:r>
        <w:bookmarkEnd w:id="339"/>
        <w:bookmarkEnd w:id="340"/>
        <w:bookmarkEnd w:id="341"/>
      </w:hyperlink>
      <w:r w:rsidR="00B065B4" w:rsidRPr="00A14B92">
        <w:t xml:space="preserve"> </w:t>
      </w:r>
    </w:p>
    <w:p w14:paraId="51E2BA57" w14:textId="7EF9B9AB"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 xml:space="preserve">Increases the State’s </w:t>
      </w:r>
      <w:r>
        <w:rPr>
          <w:rFonts w:ascii="Franklin Gothic Book" w:hAnsi="Franklin Gothic Book"/>
          <w:bCs/>
        </w:rPr>
        <w:t>Renewable Portfolio Standard (</w:t>
      </w:r>
      <w:r w:rsidRPr="000F089A">
        <w:rPr>
          <w:rFonts w:ascii="Franklin Gothic Book" w:hAnsi="Franklin Gothic Book"/>
          <w:bCs/>
        </w:rPr>
        <w:t>RPS</w:t>
      </w:r>
      <w:r>
        <w:rPr>
          <w:rFonts w:ascii="Franklin Gothic Book" w:hAnsi="Franklin Gothic Book"/>
          <w:bCs/>
        </w:rPr>
        <w:t>)</w:t>
      </w:r>
      <w:r w:rsidRPr="000F089A">
        <w:rPr>
          <w:rFonts w:ascii="Franklin Gothic Book" w:hAnsi="Franklin Gothic Book"/>
          <w:bCs/>
        </w:rPr>
        <w:t xml:space="preserve"> to 50</w:t>
      </w:r>
      <w:r w:rsidR="00727D88">
        <w:rPr>
          <w:rFonts w:ascii="Franklin Gothic Book" w:hAnsi="Franklin Gothic Book"/>
          <w:bCs/>
        </w:rPr>
        <w:t xml:space="preserve"> percent</w:t>
      </w:r>
      <w:r w:rsidRPr="000F089A">
        <w:rPr>
          <w:rFonts w:ascii="Franklin Gothic Book" w:hAnsi="Franklin Gothic Book"/>
          <w:bCs/>
        </w:rPr>
        <w:t xml:space="preserve"> by 2030. Evaluates steps to reaching 100</w:t>
      </w:r>
      <w:r w:rsidR="00727D88">
        <w:rPr>
          <w:rFonts w:ascii="Franklin Gothic Book" w:hAnsi="Franklin Gothic Book"/>
          <w:bCs/>
        </w:rPr>
        <w:t xml:space="preserve"> percent</w:t>
      </w:r>
      <w:r w:rsidRPr="000F089A">
        <w:rPr>
          <w:rFonts w:ascii="Franklin Gothic Book" w:hAnsi="Franklin Gothic Book"/>
          <w:bCs/>
        </w:rPr>
        <w:t xml:space="preserve"> clean energy by 2040.</w:t>
      </w:r>
    </w:p>
    <w:p w14:paraId="021379A5" w14:textId="685E8751" w:rsidR="00B065B4" w:rsidRPr="000F089A"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The 50</w:t>
      </w:r>
      <w:r w:rsidR="00727D88">
        <w:rPr>
          <w:rFonts w:ascii="Franklin Gothic Book" w:hAnsi="Franklin Gothic Book"/>
          <w:bCs/>
        </w:rPr>
        <w:t xml:space="preserve"> percent</w:t>
      </w:r>
      <w:r w:rsidRPr="000F089A">
        <w:rPr>
          <w:rFonts w:ascii="Franklin Gothic Book" w:hAnsi="Franklin Gothic Book"/>
          <w:bCs/>
        </w:rPr>
        <w:t xml:space="preserve"> RPS will include 14.5</w:t>
      </w:r>
      <w:r w:rsidR="00727D88">
        <w:rPr>
          <w:rFonts w:ascii="Franklin Gothic Book" w:hAnsi="Franklin Gothic Book"/>
          <w:bCs/>
        </w:rPr>
        <w:t xml:space="preserve"> percent</w:t>
      </w:r>
      <w:r w:rsidRPr="000F089A">
        <w:rPr>
          <w:rFonts w:ascii="Franklin Gothic Book" w:hAnsi="Franklin Gothic Book"/>
          <w:bCs/>
        </w:rPr>
        <w:t xml:space="preserve"> solar and at least 1,200 MW of offshore wind by 2030. Remaining portion comes from “Tier 1” renewable resources (waste-to-energy is still included in this).</w:t>
      </w:r>
    </w:p>
    <w:p w14:paraId="402E60D8" w14:textId="16CD36C1" w:rsidR="00B065B4"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Original RPS of 2004 was 20</w:t>
      </w:r>
      <w:r w:rsidR="00727D88">
        <w:rPr>
          <w:rFonts w:ascii="Franklin Gothic Book" w:hAnsi="Franklin Gothic Book"/>
          <w:bCs/>
        </w:rPr>
        <w:t xml:space="preserve"> percent</w:t>
      </w:r>
      <w:r w:rsidRPr="000F089A">
        <w:rPr>
          <w:rFonts w:ascii="Franklin Gothic Book" w:hAnsi="Franklin Gothic Book"/>
          <w:bCs/>
        </w:rPr>
        <w:t xml:space="preserve"> by 2022. </w:t>
      </w:r>
    </w:p>
    <w:p w14:paraId="2955C06D" w14:textId="77777777" w:rsidR="00BC4FB7" w:rsidRPr="000F089A" w:rsidRDefault="00BC4FB7" w:rsidP="00BC4FB7">
      <w:pPr>
        <w:pStyle w:val="ListParagraph"/>
        <w:spacing w:after="0" w:line="260" w:lineRule="exact"/>
        <w:ind w:left="1440"/>
        <w:rPr>
          <w:rFonts w:ascii="Franklin Gothic Book" w:hAnsi="Franklin Gothic Book"/>
          <w:bCs/>
        </w:rPr>
      </w:pPr>
    </w:p>
    <w:p w14:paraId="4E461743" w14:textId="70799964" w:rsidR="00B065B4" w:rsidRPr="001A5861" w:rsidRDefault="00DC418B" w:rsidP="001A5861">
      <w:pPr>
        <w:pStyle w:val="Level3Head-COG"/>
      </w:pPr>
      <w:hyperlink r:id="rId187" w:history="1">
        <w:bookmarkStart w:id="342" w:name="_Toc49861470"/>
        <w:bookmarkStart w:id="343" w:name="_Toc50968763"/>
        <w:bookmarkStart w:id="344" w:name="_Toc51077752"/>
        <w:r w:rsidR="00B065B4" w:rsidRPr="001A5861">
          <w:rPr>
            <w:rStyle w:val="Hyperlink"/>
            <w:color w:val="404040" w:themeColor="text1" w:themeTint="BF"/>
          </w:rPr>
          <w:t>Maryland Energy Conservation Code</w:t>
        </w:r>
        <w:r w:rsidR="005E25FE">
          <w:rPr>
            <w:rStyle w:val="Hyperlink"/>
            <w:color w:val="404040" w:themeColor="text1" w:themeTint="BF"/>
          </w:rPr>
          <w:t xml:space="preserve">, </w:t>
        </w:r>
        <w:r w:rsidR="00B065B4" w:rsidRPr="001A5861">
          <w:rPr>
            <w:rStyle w:val="Hyperlink"/>
            <w:color w:val="404040" w:themeColor="text1" w:themeTint="BF"/>
          </w:rPr>
          <w:t>2019</w:t>
        </w:r>
        <w:bookmarkEnd w:id="342"/>
        <w:bookmarkEnd w:id="343"/>
        <w:bookmarkEnd w:id="344"/>
      </w:hyperlink>
    </w:p>
    <w:p w14:paraId="71F7392F" w14:textId="293FF243" w:rsidR="00B065B4" w:rsidRDefault="00B065B4" w:rsidP="00EC12DE">
      <w:pPr>
        <w:pStyle w:val="ListParagraph"/>
        <w:numPr>
          <w:ilvl w:val="0"/>
          <w:numId w:val="22"/>
        </w:numPr>
        <w:spacing w:after="0" w:line="260" w:lineRule="exact"/>
        <w:rPr>
          <w:rFonts w:ascii="Franklin Gothic Book" w:hAnsi="Franklin Gothic Book"/>
          <w:bCs/>
        </w:rPr>
      </w:pPr>
      <w:r w:rsidRPr="000F089A">
        <w:rPr>
          <w:rFonts w:ascii="Franklin Gothic Book" w:hAnsi="Franklin Gothic Book"/>
          <w:bCs/>
        </w:rPr>
        <w:t xml:space="preserve">Adopted the 2018 International Energy Conservation Code with amendments. </w:t>
      </w:r>
    </w:p>
    <w:p w14:paraId="153DBA7A" w14:textId="77777777" w:rsidR="00066258" w:rsidRPr="000F089A" w:rsidRDefault="00066258" w:rsidP="00066258">
      <w:pPr>
        <w:pStyle w:val="ListParagraph"/>
        <w:spacing w:after="0" w:line="260" w:lineRule="exact"/>
        <w:ind w:left="1440"/>
        <w:rPr>
          <w:rFonts w:ascii="Franklin Gothic Book" w:hAnsi="Franklin Gothic Book"/>
          <w:bCs/>
        </w:rPr>
      </w:pPr>
    </w:p>
    <w:p w14:paraId="3459A3BB" w14:textId="77777777" w:rsidR="00B065B4" w:rsidRPr="00EC6D2E" w:rsidRDefault="00B065B4" w:rsidP="00B51875">
      <w:pPr>
        <w:pStyle w:val="Level2Head-COG"/>
      </w:pPr>
      <w:bookmarkStart w:id="345" w:name="_Toc49861471"/>
      <w:bookmarkStart w:id="346" w:name="_Toc50968764"/>
      <w:bookmarkStart w:id="347" w:name="_Toc51077753"/>
      <w:r w:rsidRPr="00EC6D2E">
        <w:t>VIRGINIA</w:t>
      </w:r>
      <w:bookmarkEnd w:id="345"/>
      <w:bookmarkEnd w:id="346"/>
      <w:bookmarkEnd w:id="347"/>
    </w:p>
    <w:p w14:paraId="6DEB06E3" w14:textId="2168E0C4" w:rsidR="00B065B4" w:rsidRPr="005E25FE" w:rsidRDefault="00DC418B" w:rsidP="005E25FE">
      <w:pPr>
        <w:pStyle w:val="Level3Head-COG"/>
      </w:pPr>
      <w:hyperlink r:id="rId188" w:history="1">
        <w:bookmarkStart w:id="348" w:name="_Toc49861472"/>
        <w:bookmarkStart w:id="349" w:name="_Toc50968765"/>
        <w:bookmarkStart w:id="350" w:name="_Toc51077754"/>
        <w:r w:rsidR="00B065B4" w:rsidRPr="005E25FE">
          <w:rPr>
            <w:rStyle w:val="Hyperlink"/>
            <w:color w:val="404040" w:themeColor="text1" w:themeTint="BF"/>
          </w:rPr>
          <w:t>Virginia Energy Conservation Code</w:t>
        </w:r>
        <w:r w:rsidR="005E25FE">
          <w:rPr>
            <w:rStyle w:val="Hyperlink"/>
            <w:color w:val="404040" w:themeColor="text1" w:themeTint="BF"/>
          </w:rPr>
          <w:t xml:space="preserve">, </w:t>
        </w:r>
        <w:r w:rsidR="00B065B4" w:rsidRPr="005E25FE">
          <w:rPr>
            <w:rStyle w:val="Hyperlink"/>
            <w:color w:val="404040" w:themeColor="text1" w:themeTint="BF"/>
          </w:rPr>
          <w:t>2018</w:t>
        </w:r>
        <w:bookmarkEnd w:id="348"/>
        <w:bookmarkEnd w:id="349"/>
        <w:bookmarkEnd w:id="350"/>
      </w:hyperlink>
    </w:p>
    <w:p w14:paraId="6C741704" w14:textId="03A63A9F" w:rsidR="00B065B4" w:rsidRDefault="00B065B4" w:rsidP="00EC12DE">
      <w:pPr>
        <w:pStyle w:val="ListParagraph"/>
        <w:numPr>
          <w:ilvl w:val="0"/>
          <w:numId w:val="23"/>
        </w:numPr>
        <w:spacing w:after="0" w:line="260" w:lineRule="exact"/>
        <w:rPr>
          <w:rFonts w:ascii="Franklin Gothic Book" w:hAnsi="Franklin Gothic Book"/>
          <w:bCs/>
        </w:rPr>
      </w:pPr>
      <w:r w:rsidRPr="000F089A">
        <w:rPr>
          <w:rFonts w:ascii="Franklin Gothic Book" w:hAnsi="Franklin Gothic Book"/>
          <w:bCs/>
        </w:rPr>
        <w:t xml:space="preserve">Adopted the 2015 International Energy Conservation Code with amendments. </w:t>
      </w:r>
    </w:p>
    <w:p w14:paraId="1B238C21" w14:textId="77777777" w:rsidR="00CA066C" w:rsidRPr="000F089A" w:rsidRDefault="00CA066C" w:rsidP="00CA066C">
      <w:pPr>
        <w:pStyle w:val="ListParagraph"/>
        <w:spacing w:after="0" w:line="260" w:lineRule="exact"/>
        <w:ind w:left="1440"/>
        <w:rPr>
          <w:rFonts w:ascii="Franklin Gothic Book" w:hAnsi="Franklin Gothic Book"/>
          <w:bCs/>
        </w:rPr>
      </w:pPr>
    </w:p>
    <w:p w14:paraId="3CA3EBAA" w14:textId="6551AF56" w:rsidR="00B065B4" w:rsidRPr="00F83C27" w:rsidRDefault="00DC418B" w:rsidP="00F83C27">
      <w:pPr>
        <w:pStyle w:val="Level3Head-COG"/>
      </w:pPr>
      <w:hyperlink r:id="rId189" w:history="1">
        <w:bookmarkStart w:id="351" w:name="_Toc49861473"/>
        <w:bookmarkStart w:id="352" w:name="_Toc50968766"/>
        <w:bookmarkStart w:id="353" w:name="_Toc51077755"/>
        <w:r w:rsidR="00B065B4" w:rsidRPr="00F83C27">
          <w:rPr>
            <w:rStyle w:val="Hyperlink"/>
            <w:color w:val="404040" w:themeColor="text1" w:themeTint="BF"/>
          </w:rPr>
          <w:t>Grid Transformation and Security Act</w:t>
        </w:r>
        <w:r w:rsidR="00270798">
          <w:rPr>
            <w:rStyle w:val="Hyperlink"/>
            <w:color w:val="404040" w:themeColor="text1" w:themeTint="BF"/>
          </w:rPr>
          <w:t xml:space="preserve">, </w:t>
        </w:r>
        <w:r w:rsidR="00B065B4" w:rsidRPr="00F83C27">
          <w:rPr>
            <w:rStyle w:val="Hyperlink"/>
            <w:color w:val="404040" w:themeColor="text1" w:themeTint="BF"/>
          </w:rPr>
          <w:t>2018</w:t>
        </w:r>
        <w:bookmarkEnd w:id="351"/>
        <w:bookmarkEnd w:id="352"/>
        <w:bookmarkEnd w:id="353"/>
      </w:hyperlink>
      <w:r w:rsidR="00B065B4" w:rsidRPr="00F83C27">
        <w:t xml:space="preserve"> </w:t>
      </w:r>
    </w:p>
    <w:p w14:paraId="7794B24B" w14:textId="77777777" w:rsidR="00B065B4" w:rsidRPr="000F089A" w:rsidRDefault="00B065B4" w:rsidP="00EC12DE">
      <w:pPr>
        <w:pStyle w:val="ListParagraph"/>
        <w:numPr>
          <w:ilvl w:val="0"/>
          <w:numId w:val="23"/>
        </w:numPr>
        <w:spacing w:after="0" w:line="260" w:lineRule="exact"/>
        <w:rPr>
          <w:rFonts w:ascii="Franklin Gothic Book" w:hAnsi="Franklin Gothic Book"/>
          <w:bCs/>
        </w:rPr>
      </w:pPr>
      <w:r w:rsidRPr="000F089A">
        <w:rPr>
          <w:rFonts w:ascii="Franklin Gothic Book" w:hAnsi="Franklin Gothic Book"/>
          <w:bCs/>
        </w:rPr>
        <w:t>Increases capacity of solar and wind generation facilities constructed by a utility that are in the public interest from 50 MW to 5,000 MW.</w:t>
      </w:r>
    </w:p>
    <w:p w14:paraId="1E88E9C6" w14:textId="77777777" w:rsidR="00B065B4" w:rsidRPr="000F089A" w:rsidRDefault="00B065B4" w:rsidP="00EC12DE">
      <w:pPr>
        <w:pStyle w:val="ListParagraph"/>
        <w:numPr>
          <w:ilvl w:val="0"/>
          <w:numId w:val="23"/>
        </w:numPr>
        <w:spacing w:after="0" w:line="260" w:lineRule="exact"/>
        <w:rPr>
          <w:rFonts w:ascii="Franklin Gothic Book" w:hAnsi="Franklin Gothic Book"/>
          <w:bCs/>
        </w:rPr>
      </w:pPr>
      <w:r w:rsidRPr="000F089A">
        <w:rPr>
          <w:rFonts w:ascii="Franklin Gothic Book" w:hAnsi="Franklin Gothic Book"/>
          <w:bCs/>
        </w:rPr>
        <w:t>Requires Dominion Energy to develop programs of energy conservation measures. Dominion Energy’s program costing not less than $870 million.</w:t>
      </w:r>
    </w:p>
    <w:p w14:paraId="057D1498" w14:textId="3DC38177" w:rsidR="00B065B4" w:rsidRDefault="00B065B4" w:rsidP="00EC12DE">
      <w:pPr>
        <w:pStyle w:val="ListParagraph"/>
        <w:numPr>
          <w:ilvl w:val="0"/>
          <w:numId w:val="23"/>
        </w:numPr>
        <w:spacing w:after="0" w:line="260" w:lineRule="exact"/>
        <w:rPr>
          <w:rFonts w:ascii="Franklin Gothic Book" w:hAnsi="Franklin Gothic Book"/>
          <w:bCs/>
        </w:rPr>
      </w:pPr>
      <w:r w:rsidRPr="000F089A">
        <w:rPr>
          <w:rFonts w:ascii="Franklin Gothic Book" w:hAnsi="Franklin Gothic Book"/>
          <w:bCs/>
        </w:rPr>
        <w:t>Directs the SCC to conduct pilot programs for the deployment of electric power storage batteries with capacity limits of up to 10 MW for Appalachian Power and 30 MW for Dominion Energy.</w:t>
      </w:r>
    </w:p>
    <w:p w14:paraId="104A83E8" w14:textId="77777777" w:rsidR="00CA066C" w:rsidRPr="00185108" w:rsidRDefault="00CA066C" w:rsidP="00CA066C">
      <w:pPr>
        <w:pStyle w:val="ListParagraph"/>
        <w:spacing w:after="0" w:line="260" w:lineRule="exact"/>
        <w:ind w:left="1440"/>
        <w:rPr>
          <w:rFonts w:ascii="Franklin Gothic Book" w:hAnsi="Franklin Gothic Book"/>
          <w:bCs/>
        </w:rPr>
      </w:pPr>
    </w:p>
    <w:p w14:paraId="2A8BBF85" w14:textId="3D9A329A" w:rsidR="00B065B4" w:rsidRPr="00270798" w:rsidRDefault="00DC418B" w:rsidP="00270798">
      <w:pPr>
        <w:pStyle w:val="Level3Head-COG"/>
      </w:pPr>
      <w:hyperlink r:id="rId190" w:history="1">
        <w:bookmarkStart w:id="354" w:name="_Toc49861474"/>
        <w:bookmarkStart w:id="355" w:name="_Toc50968767"/>
        <w:bookmarkStart w:id="356" w:name="_Toc51077756"/>
        <w:r w:rsidR="00B065B4" w:rsidRPr="00270798">
          <w:rPr>
            <w:rStyle w:val="Hyperlink"/>
            <w:color w:val="404040" w:themeColor="text1" w:themeTint="BF"/>
          </w:rPr>
          <w:t>Virginia Carbon Rule</w:t>
        </w:r>
        <w:r w:rsidR="00270798">
          <w:rPr>
            <w:rStyle w:val="Hyperlink"/>
            <w:color w:val="404040" w:themeColor="text1" w:themeTint="BF"/>
          </w:rPr>
          <w:t xml:space="preserve">, </w:t>
        </w:r>
        <w:r w:rsidR="00B065B4" w:rsidRPr="00270798">
          <w:rPr>
            <w:rStyle w:val="Hyperlink"/>
            <w:color w:val="404040" w:themeColor="text1" w:themeTint="BF"/>
          </w:rPr>
          <w:t>2019</w:t>
        </w:r>
        <w:bookmarkEnd w:id="354"/>
        <w:bookmarkEnd w:id="355"/>
        <w:bookmarkEnd w:id="356"/>
      </w:hyperlink>
      <w:r w:rsidR="00B065B4" w:rsidRPr="00270798">
        <w:t xml:space="preserve"> </w:t>
      </w:r>
    </w:p>
    <w:p w14:paraId="4E3F22EA" w14:textId="45409F89" w:rsidR="00B065B4" w:rsidRDefault="00B065B4" w:rsidP="00EC12DE">
      <w:pPr>
        <w:pStyle w:val="ListParagraph"/>
        <w:numPr>
          <w:ilvl w:val="0"/>
          <w:numId w:val="23"/>
        </w:numPr>
        <w:spacing w:after="0" w:line="260" w:lineRule="exact"/>
        <w:rPr>
          <w:rFonts w:ascii="Franklin Gothic Book" w:hAnsi="Franklin Gothic Book"/>
          <w:bCs/>
        </w:rPr>
      </w:pPr>
      <w:r w:rsidRPr="000F089A">
        <w:rPr>
          <w:rFonts w:ascii="Franklin Gothic Book" w:hAnsi="Franklin Gothic Book" w:cstheme="minorHAnsi"/>
          <w:bCs/>
          <w:shd w:val="clear" w:color="auto" w:fill="FFFFFF"/>
        </w:rPr>
        <w:t>Reduces and caps carbon dioxide emissions from large fossil fuel fired electric power generating facilities</w:t>
      </w:r>
      <w:r w:rsidRPr="000F089A">
        <w:rPr>
          <w:rFonts w:ascii="Franklin Gothic Book" w:hAnsi="Franklin Gothic Book" w:cs="Arial"/>
          <w:bCs/>
          <w:shd w:val="clear" w:color="auto" w:fill="FFFFFF"/>
        </w:rPr>
        <w:t xml:space="preserve"> </w:t>
      </w:r>
      <w:r w:rsidRPr="000F089A">
        <w:rPr>
          <w:rFonts w:ascii="Franklin Gothic Book" w:hAnsi="Franklin Gothic Book"/>
          <w:bCs/>
        </w:rPr>
        <w:t>30</w:t>
      </w:r>
      <w:r w:rsidR="00727D88">
        <w:rPr>
          <w:rFonts w:ascii="Franklin Gothic Book" w:hAnsi="Franklin Gothic Book"/>
          <w:bCs/>
        </w:rPr>
        <w:t xml:space="preserve"> percent</w:t>
      </w:r>
      <w:r w:rsidRPr="000F089A">
        <w:rPr>
          <w:rFonts w:ascii="Franklin Gothic Book" w:hAnsi="Franklin Gothic Book"/>
          <w:bCs/>
        </w:rPr>
        <w:t xml:space="preserve"> by 2030</w:t>
      </w:r>
      <w:r>
        <w:rPr>
          <w:rFonts w:ascii="Franklin Gothic Book" w:hAnsi="Franklin Gothic Book"/>
          <w:bCs/>
        </w:rPr>
        <w:t>.</w:t>
      </w:r>
    </w:p>
    <w:p w14:paraId="38C7E73E" w14:textId="77777777" w:rsidR="00270798" w:rsidRDefault="00270798" w:rsidP="00270798">
      <w:pPr>
        <w:pStyle w:val="ListParagraph"/>
        <w:spacing w:after="0" w:line="260" w:lineRule="exact"/>
        <w:rPr>
          <w:rFonts w:ascii="Franklin Gothic Book" w:hAnsi="Franklin Gothic Book"/>
          <w:bCs/>
        </w:rPr>
      </w:pPr>
    </w:p>
    <w:p w14:paraId="672B3D6D" w14:textId="65E8A857" w:rsidR="00B065B4" w:rsidRPr="00270798" w:rsidRDefault="00B065B4" w:rsidP="00270798">
      <w:pPr>
        <w:pStyle w:val="Level3Head-COG"/>
        <w:rPr>
          <w:rStyle w:val="Hyperlink"/>
          <w:color w:val="404040" w:themeColor="text1" w:themeTint="BF"/>
        </w:rPr>
      </w:pPr>
      <w:r>
        <w:fldChar w:fldCharType="begin"/>
      </w:r>
      <w:r>
        <w:instrText xml:space="preserve"> HYPERLINK "https://lis.virginia.gov/cgi-bin/legp604.exe?201+sum+HB1526" </w:instrText>
      </w:r>
      <w:r>
        <w:fldChar w:fldCharType="separate"/>
      </w:r>
      <w:bookmarkStart w:id="357" w:name="_Toc49861475"/>
      <w:bookmarkStart w:id="358" w:name="_Toc50968768"/>
      <w:bookmarkStart w:id="359" w:name="_Toc51077757"/>
      <w:r w:rsidRPr="00270798">
        <w:rPr>
          <w:rStyle w:val="Hyperlink"/>
          <w:color w:val="404040" w:themeColor="text1" w:themeTint="BF"/>
        </w:rPr>
        <w:t>Clean Economy Act</w:t>
      </w:r>
      <w:r w:rsidR="00270798">
        <w:rPr>
          <w:rStyle w:val="Hyperlink"/>
          <w:color w:val="404040" w:themeColor="text1" w:themeTint="BF"/>
        </w:rPr>
        <w:t xml:space="preserve">, </w:t>
      </w:r>
      <w:r w:rsidRPr="00270798">
        <w:rPr>
          <w:rStyle w:val="Hyperlink"/>
          <w:color w:val="404040" w:themeColor="text1" w:themeTint="BF"/>
        </w:rPr>
        <w:t>2020</w:t>
      </w:r>
      <w:bookmarkEnd w:id="357"/>
      <w:bookmarkEnd w:id="358"/>
      <w:bookmarkEnd w:id="359"/>
    </w:p>
    <w:p w14:paraId="00E07750" w14:textId="424EA45E" w:rsidR="00B065B4" w:rsidRPr="00711D2B"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fldChar w:fldCharType="end"/>
      </w:r>
      <w:r w:rsidRPr="00711D2B">
        <w:rPr>
          <w:rFonts w:ascii="Franklin Gothic Book" w:hAnsi="Franklin Gothic Book"/>
          <w:bCs/>
        </w:rPr>
        <w:t>Establishes a mandatory RPS with the goal of 100</w:t>
      </w:r>
      <w:r w:rsidR="00727D88">
        <w:rPr>
          <w:rFonts w:ascii="Franklin Gothic Book" w:hAnsi="Franklin Gothic Book"/>
          <w:bCs/>
        </w:rPr>
        <w:t xml:space="preserve"> percent</w:t>
      </w:r>
      <w:r w:rsidRPr="00711D2B">
        <w:rPr>
          <w:rFonts w:ascii="Franklin Gothic Book" w:hAnsi="Franklin Gothic Book"/>
          <w:bCs/>
        </w:rPr>
        <w:t xml:space="preserve"> clean electricity by 2050.</w:t>
      </w:r>
    </w:p>
    <w:p w14:paraId="3E4DDD14" w14:textId="56338073" w:rsidR="00B065B4" w:rsidRPr="00711D2B" w:rsidRDefault="00B065B4" w:rsidP="00EC12DE">
      <w:pPr>
        <w:pStyle w:val="ListParagraph"/>
        <w:numPr>
          <w:ilvl w:val="1"/>
          <w:numId w:val="23"/>
        </w:numPr>
        <w:spacing w:after="0" w:line="260" w:lineRule="exact"/>
        <w:rPr>
          <w:rFonts w:ascii="Franklin Gothic Book" w:hAnsi="Franklin Gothic Book"/>
          <w:bCs/>
        </w:rPr>
      </w:pPr>
      <w:r w:rsidRPr="00711D2B">
        <w:rPr>
          <w:rFonts w:ascii="Franklin Gothic Book" w:hAnsi="Franklin Gothic Book"/>
          <w:bCs/>
        </w:rPr>
        <w:t>100</w:t>
      </w:r>
      <w:r w:rsidR="00727D88">
        <w:rPr>
          <w:rFonts w:ascii="Franklin Gothic Book" w:hAnsi="Franklin Gothic Book"/>
          <w:bCs/>
        </w:rPr>
        <w:t xml:space="preserve"> percent</w:t>
      </w:r>
      <w:r w:rsidRPr="00711D2B">
        <w:rPr>
          <w:rFonts w:ascii="Franklin Gothic Book" w:hAnsi="Franklin Gothic Book"/>
          <w:bCs/>
        </w:rPr>
        <w:t xml:space="preserve"> for Phase I Utilities (investor-owned utilities that were, as of July 1, 1999, not bound by a rate case settlement adopted by the State Corporation Commission</w:t>
      </w:r>
      <w:r>
        <w:rPr>
          <w:rFonts w:ascii="Franklin Gothic Book" w:hAnsi="Franklin Gothic Book"/>
          <w:bCs/>
        </w:rPr>
        <w:t xml:space="preserve"> (SCC)</w:t>
      </w:r>
      <w:r w:rsidRPr="00711D2B">
        <w:rPr>
          <w:rFonts w:ascii="Franklin Gothic Book" w:hAnsi="Franklin Gothic Book"/>
          <w:bCs/>
        </w:rPr>
        <w:t xml:space="preserve"> that extended in their application beyond January 1, 2002) by 2045</w:t>
      </w:r>
    </w:p>
    <w:p w14:paraId="4C2717C4" w14:textId="1C13765A" w:rsidR="00B065B4" w:rsidRPr="00711D2B" w:rsidRDefault="00B065B4" w:rsidP="00EC12DE">
      <w:pPr>
        <w:pStyle w:val="ListParagraph"/>
        <w:numPr>
          <w:ilvl w:val="1"/>
          <w:numId w:val="23"/>
        </w:numPr>
        <w:spacing w:after="0" w:line="260" w:lineRule="exact"/>
        <w:rPr>
          <w:rFonts w:ascii="Franklin Gothic Book" w:hAnsi="Franklin Gothic Book"/>
          <w:bCs/>
        </w:rPr>
      </w:pPr>
      <w:r w:rsidRPr="00711D2B">
        <w:rPr>
          <w:rFonts w:ascii="Franklin Gothic Book" w:hAnsi="Franklin Gothic Book"/>
          <w:bCs/>
        </w:rPr>
        <w:t>100</w:t>
      </w:r>
      <w:r w:rsidR="00727D88">
        <w:rPr>
          <w:rFonts w:ascii="Franklin Gothic Book" w:hAnsi="Franklin Gothic Book"/>
          <w:bCs/>
        </w:rPr>
        <w:t xml:space="preserve"> percent</w:t>
      </w:r>
      <w:r w:rsidRPr="00711D2B">
        <w:rPr>
          <w:rFonts w:ascii="Franklin Gothic Book" w:hAnsi="Franklin Gothic Book"/>
          <w:bCs/>
        </w:rPr>
        <w:t xml:space="preserve"> for Phase II Utilities (investor-owned utilities that were bound by such settlements highlighted above) by 2050</w:t>
      </w:r>
    </w:p>
    <w:p w14:paraId="12C794CB" w14:textId="77777777" w:rsidR="00B065B4" w:rsidRPr="00711D2B" w:rsidRDefault="00B065B4" w:rsidP="00EC12DE">
      <w:pPr>
        <w:pStyle w:val="ListParagraph"/>
        <w:numPr>
          <w:ilvl w:val="0"/>
          <w:numId w:val="23"/>
        </w:numPr>
        <w:spacing w:after="0" w:line="260" w:lineRule="exact"/>
        <w:rPr>
          <w:rFonts w:ascii="Franklin Gothic Book" w:hAnsi="Franklin Gothic Book"/>
          <w:bCs/>
        </w:rPr>
      </w:pPr>
      <w:r w:rsidRPr="00711D2B">
        <w:rPr>
          <w:rFonts w:ascii="Franklin Gothic Book" w:hAnsi="Franklin Gothic Book"/>
          <w:bCs/>
        </w:rPr>
        <w:t>Dominion Energy and Appalachian Power</w:t>
      </w:r>
      <w:r>
        <w:rPr>
          <w:rFonts w:ascii="Franklin Gothic Book" w:hAnsi="Franklin Gothic Book"/>
          <w:bCs/>
        </w:rPr>
        <w:t xml:space="preserve"> (</w:t>
      </w:r>
      <w:proofErr w:type="spellStart"/>
      <w:r>
        <w:rPr>
          <w:rFonts w:ascii="Franklin Gothic Book" w:hAnsi="Franklin Gothic Book"/>
          <w:bCs/>
        </w:rPr>
        <w:t>APCo</w:t>
      </w:r>
      <w:proofErr w:type="spellEnd"/>
      <w:r>
        <w:rPr>
          <w:rFonts w:ascii="Franklin Gothic Book" w:hAnsi="Franklin Gothic Book"/>
          <w:bCs/>
        </w:rPr>
        <w:t>)</w:t>
      </w:r>
      <w:r w:rsidRPr="00711D2B">
        <w:rPr>
          <w:rFonts w:ascii="Franklin Gothic Book" w:hAnsi="Franklin Gothic Book"/>
          <w:bCs/>
        </w:rPr>
        <w:t xml:space="preserve"> need to retire their carbon-emitting electrical generation facilities. The dates by which they need to do so depends on the type of plant and the size of the facility.</w:t>
      </w:r>
    </w:p>
    <w:p w14:paraId="0DA3FA61" w14:textId="2285E4B8" w:rsidR="00B065B4" w:rsidRPr="00711D2B" w:rsidRDefault="00B065B4" w:rsidP="00EC12DE">
      <w:pPr>
        <w:pStyle w:val="ListParagraph"/>
        <w:numPr>
          <w:ilvl w:val="0"/>
          <w:numId w:val="23"/>
        </w:numPr>
        <w:spacing w:after="0" w:line="260" w:lineRule="exact"/>
        <w:rPr>
          <w:rFonts w:ascii="Franklin Gothic Book" w:hAnsi="Franklin Gothic Book"/>
          <w:bCs/>
        </w:rPr>
      </w:pPr>
      <w:r w:rsidRPr="00711D2B">
        <w:rPr>
          <w:rFonts w:ascii="Franklin Gothic Book" w:hAnsi="Franklin Gothic Book"/>
          <w:bCs/>
        </w:rPr>
        <w:t>The net metering cap for residential customers will increase from 20 kW to 25 kW; residential Dominion customers can also size their system to meet up to 150</w:t>
      </w:r>
      <w:r w:rsidR="00727D88">
        <w:rPr>
          <w:rFonts w:ascii="Franklin Gothic Book" w:hAnsi="Franklin Gothic Book"/>
          <w:bCs/>
        </w:rPr>
        <w:t xml:space="preserve"> percent</w:t>
      </w:r>
      <w:r w:rsidRPr="00711D2B">
        <w:rPr>
          <w:rFonts w:ascii="Franklin Gothic Book" w:hAnsi="Franklin Gothic Book"/>
          <w:bCs/>
        </w:rPr>
        <w:t xml:space="preserve"> of their annual electricity demand.</w:t>
      </w:r>
    </w:p>
    <w:p w14:paraId="66C90B6A" w14:textId="77777777" w:rsidR="00B065B4"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t xml:space="preserve">It </w:t>
      </w:r>
      <w:r w:rsidRPr="005F56A4">
        <w:rPr>
          <w:rFonts w:ascii="Franklin Gothic Book" w:hAnsi="Franklin Gothic Book"/>
          <w:bCs/>
        </w:rPr>
        <w:t>requires Do</w:t>
      </w:r>
      <w:r>
        <w:rPr>
          <w:rFonts w:ascii="Franklin Gothic Book" w:hAnsi="Franklin Gothic Book"/>
          <w:bCs/>
        </w:rPr>
        <w:t>minion to build 16,100 MW</w:t>
      </w:r>
      <w:r w:rsidRPr="005F56A4">
        <w:rPr>
          <w:rFonts w:ascii="Franklin Gothic Book" w:hAnsi="Franklin Gothic Book"/>
          <w:bCs/>
        </w:rPr>
        <w:t xml:space="preserve"> of onshore wind and solar ener</w:t>
      </w:r>
      <w:r>
        <w:rPr>
          <w:rFonts w:ascii="Franklin Gothic Book" w:hAnsi="Franklin Gothic Book"/>
          <w:bCs/>
        </w:rPr>
        <w:t xml:space="preserve">gy, and </w:t>
      </w:r>
      <w:proofErr w:type="spellStart"/>
      <w:r>
        <w:rPr>
          <w:rFonts w:ascii="Franklin Gothic Book" w:hAnsi="Franklin Gothic Book"/>
          <w:bCs/>
        </w:rPr>
        <w:t>APCo</w:t>
      </w:r>
      <w:proofErr w:type="spellEnd"/>
      <w:r>
        <w:rPr>
          <w:rFonts w:ascii="Franklin Gothic Book" w:hAnsi="Franklin Gothic Book"/>
          <w:bCs/>
        </w:rPr>
        <w:t xml:space="preserve"> to build 600 MW</w:t>
      </w:r>
      <w:r w:rsidRPr="005F56A4">
        <w:rPr>
          <w:rFonts w:ascii="Franklin Gothic Book" w:hAnsi="Franklin Gothic Book"/>
          <w:bCs/>
        </w:rPr>
        <w:t>.</w:t>
      </w:r>
      <w:r>
        <w:rPr>
          <w:rFonts w:ascii="Franklin Gothic Book" w:hAnsi="Franklin Gothic Book"/>
          <w:bCs/>
        </w:rPr>
        <w:t xml:space="preserve"> </w:t>
      </w:r>
      <w:r w:rsidRPr="005F56A4">
        <w:rPr>
          <w:rFonts w:ascii="Franklin Gothic Book" w:hAnsi="Franklin Gothic Book"/>
          <w:bCs/>
        </w:rPr>
        <w:t>The law also contains one of the strongest energy storage mandates in the country: 2,700 MW for Domini</w:t>
      </w:r>
      <w:r>
        <w:rPr>
          <w:rFonts w:ascii="Franklin Gothic Book" w:hAnsi="Franklin Gothic Book"/>
          <w:bCs/>
        </w:rPr>
        <w:t xml:space="preserve">on, 400 MW for </w:t>
      </w:r>
      <w:proofErr w:type="spellStart"/>
      <w:r>
        <w:rPr>
          <w:rFonts w:ascii="Franklin Gothic Book" w:hAnsi="Franklin Gothic Book"/>
          <w:bCs/>
        </w:rPr>
        <w:t>APCo</w:t>
      </w:r>
      <w:proofErr w:type="spellEnd"/>
      <w:r w:rsidRPr="005F56A4">
        <w:rPr>
          <w:rFonts w:ascii="Franklin Gothic Book" w:hAnsi="Franklin Gothic Book"/>
          <w:bCs/>
        </w:rPr>
        <w:t>.</w:t>
      </w:r>
    </w:p>
    <w:p w14:paraId="49C7D9D8" w14:textId="77777777" w:rsidR="00B065B4" w:rsidRPr="005F56A4" w:rsidRDefault="00B065B4" w:rsidP="00EC12DE">
      <w:pPr>
        <w:pStyle w:val="ListParagraph"/>
        <w:numPr>
          <w:ilvl w:val="0"/>
          <w:numId w:val="23"/>
        </w:numPr>
        <w:spacing w:after="0" w:line="260" w:lineRule="exact"/>
        <w:rPr>
          <w:rFonts w:ascii="Franklin Gothic Book" w:hAnsi="Franklin Gothic Book"/>
          <w:bCs/>
        </w:rPr>
      </w:pPr>
      <w:r w:rsidRPr="005F56A4">
        <w:rPr>
          <w:rFonts w:ascii="Franklin Gothic Book" w:hAnsi="Franklin Gothic Book"/>
          <w:bCs/>
        </w:rPr>
        <w:t>There are new energy efficiency standards for utilities, including programs to support low-income populations.</w:t>
      </w:r>
    </w:p>
    <w:p w14:paraId="12FD025F" w14:textId="17670306" w:rsidR="00B065B4" w:rsidRDefault="00B065B4" w:rsidP="00EC12DE">
      <w:pPr>
        <w:pStyle w:val="ListParagraph"/>
        <w:numPr>
          <w:ilvl w:val="0"/>
          <w:numId w:val="23"/>
        </w:numPr>
        <w:spacing w:after="0" w:line="260" w:lineRule="exact"/>
        <w:rPr>
          <w:rFonts w:ascii="Franklin Gothic Book" w:hAnsi="Franklin Gothic Book"/>
          <w:bCs/>
        </w:rPr>
      </w:pPr>
      <w:r w:rsidRPr="00711D2B">
        <w:rPr>
          <w:rFonts w:ascii="Franklin Gothic Book" w:hAnsi="Franklin Gothic Book"/>
          <w:bCs/>
        </w:rPr>
        <w:t>The RPS includes a solar carve-out for Dominion, m</w:t>
      </w:r>
      <w:r>
        <w:rPr>
          <w:rFonts w:ascii="Franklin Gothic Book" w:hAnsi="Franklin Gothic Book"/>
          <w:bCs/>
        </w:rPr>
        <w:t>andating that at least 1</w:t>
      </w:r>
      <w:r w:rsidR="00727D88">
        <w:rPr>
          <w:rFonts w:ascii="Franklin Gothic Book" w:hAnsi="Franklin Gothic Book"/>
          <w:bCs/>
        </w:rPr>
        <w:t xml:space="preserve"> percent</w:t>
      </w:r>
      <w:r w:rsidRPr="00711D2B">
        <w:rPr>
          <w:rFonts w:ascii="Franklin Gothic Book" w:hAnsi="Franklin Gothic Book"/>
          <w:bCs/>
        </w:rPr>
        <w:t xml:space="preserve"> of its renewable energy generation must come from distributed solar pane</w:t>
      </w:r>
      <w:r>
        <w:rPr>
          <w:rFonts w:ascii="Franklin Gothic Book" w:hAnsi="Franklin Gothic Book"/>
          <w:bCs/>
        </w:rPr>
        <w:t>l systems less than 1 MW large.</w:t>
      </w:r>
    </w:p>
    <w:p w14:paraId="0F50B442" w14:textId="5AC0B9E1" w:rsidR="00B065B4" w:rsidRDefault="00B065B4" w:rsidP="00EC12DE">
      <w:pPr>
        <w:pStyle w:val="ListParagraph"/>
        <w:numPr>
          <w:ilvl w:val="0"/>
          <w:numId w:val="23"/>
        </w:numPr>
        <w:spacing w:after="0" w:line="260" w:lineRule="exact"/>
        <w:rPr>
          <w:rFonts w:ascii="Franklin Gothic Book" w:hAnsi="Franklin Gothic Book"/>
          <w:bCs/>
        </w:rPr>
      </w:pPr>
      <w:r w:rsidRPr="00711D2B">
        <w:rPr>
          <w:rFonts w:ascii="Franklin Gothic Book" w:hAnsi="Franklin Gothic Book"/>
          <w:bCs/>
        </w:rPr>
        <w:t>Original voluntary RPS of 2007 was 15</w:t>
      </w:r>
      <w:r w:rsidR="00727D88">
        <w:rPr>
          <w:rFonts w:ascii="Franklin Gothic Book" w:hAnsi="Franklin Gothic Book"/>
          <w:bCs/>
        </w:rPr>
        <w:t xml:space="preserve"> percent</w:t>
      </w:r>
      <w:r w:rsidRPr="00711D2B">
        <w:rPr>
          <w:rFonts w:ascii="Franklin Gothic Book" w:hAnsi="Franklin Gothic Book"/>
          <w:bCs/>
        </w:rPr>
        <w:t xml:space="preserve"> of sales by 2025. </w:t>
      </w:r>
    </w:p>
    <w:p w14:paraId="5450342C" w14:textId="391F129C" w:rsidR="00CA066C" w:rsidRDefault="00CA066C" w:rsidP="00CA066C">
      <w:pPr>
        <w:pStyle w:val="ListParagraph"/>
        <w:spacing w:after="0" w:line="260" w:lineRule="exact"/>
        <w:ind w:left="1440"/>
        <w:rPr>
          <w:rFonts w:ascii="Franklin Gothic Book" w:hAnsi="Franklin Gothic Book"/>
          <w:bCs/>
        </w:rPr>
      </w:pPr>
    </w:p>
    <w:p w14:paraId="7819C46F" w14:textId="77777777" w:rsidR="007D1C48" w:rsidRPr="005F56A4" w:rsidRDefault="007D1C48" w:rsidP="00CA066C">
      <w:pPr>
        <w:pStyle w:val="ListParagraph"/>
        <w:spacing w:after="0" w:line="260" w:lineRule="exact"/>
        <w:ind w:left="1440"/>
        <w:rPr>
          <w:rFonts w:ascii="Franklin Gothic Book" w:hAnsi="Franklin Gothic Book"/>
          <w:bCs/>
        </w:rPr>
      </w:pPr>
    </w:p>
    <w:p w14:paraId="261FEEDE" w14:textId="39AD58C0" w:rsidR="00B065B4" w:rsidRPr="00C20CA9" w:rsidRDefault="00DC418B" w:rsidP="00C20CA9">
      <w:pPr>
        <w:pStyle w:val="Level3Head-COG"/>
      </w:pPr>
      <w:hyperlink r:id="rId191" w:history="1">
        <w:bookmarkStart w:id="360" w:name="_Toc49861476"/>
        <w:bookmarkStart w:id="361" w:name="_Toc50968769"/>
        <w:bookmarkStart w:id="362" w:name="_Toc51077758"/>
        <w:r w:rsidR="00B065B4" w:rsidRPr="00C20CA9">
          <w:rPr>
            <w:rStyle w:val="Hyperlink"/>
            <w:color w:val="404040" w:themeColor="text1" w:themeTint="BF"/>
          </w:rPr>
          <w:t>Clean Energy and Community Flood Preparedness Act</w:t>
        </w:r>
        <w:r w:rsidR="00C20CA9">
          <w:rPr>
            <w:rStyle w:val="Hyperlink"/>
            <w:color w:val="404040" w:themeColor="text1" w:themeTint="BF"/>
          </w:rPr>
          <w:t xml:space="preserve">, </w:t>
        </w:r>
        <w:r w:rsidR="00B065B4" w:rsidRPr="00C20CA9">
          <w:rPr>
            <w:rStyle w:val="Hyperlink"/>
            <w:color w:val="404040" w:themeColor="text1" w:themeTint="BF"/>
          </w:rPr>
          <w:t>2020</w:t>
        </w:r>
        <w:bookmarkEnd w:id="360"/>
        <w:bookmarkEnd w:id="361"/>
        <w:bookmarkEnd w:id="362"/>
      </w:hyperlink>
    </w:p>
    <w:p w14:paraId="321B788A" w14:textId="77777777" w:rsidR="00B065B4" w:rsidRPr="00AB7235" w:rsidRDefault="00B065B4" w:rsidP="00EC12DE">
      <w:pPr>
        <w:pStyle w:val="ListParagraph"/>
        <w:numPr>
          <w:ilvl w:val="0"/>
          <w:numId w:val="23"/>
        </w:numPr>
        <w:spacing w:after="0" w:line="260" w:lineRule="exact"/>
        <w:rPr>
          <w:rFonts w:ascii="Franklin Gothic Book" w:hAnsi="Franklin Gothic Book"/>
          <w:bCs/>
        </w:rPr>
      </w:pPr>
      <w:r w:rsidRPr="005F56A4">
        <w:rPr>
          <w:rFonts w:ascii="Franklin Gothic Book" w:hAnsi="Franklin Gothic Book"/>
          <w:bCs/>
        </w:rPr>
        <w:t>Allows the Department of Environmental Quality (DEQ) to establish, implement, and manage an auction program to sell allowances into a market-based trading program (i.e. RGGI).</w:t>
      </w:r>
    </w:p>
    <w:p w14:paraId="62EC2152" w14:textId="6A350112" w:rsidR="00B065B4" w:rsidRDefault="00B065B4" w:rsidP="00EC12DE">
      <w:pPr>
        <w:pStyle w:val="ListParagraph"/>
        <w:numPr>
          <w:ilvl w:val="0"/>
          <w:numId w:val="23"/>
        </w:numPr>
        <w:spacing w:after="0" w:line="260" w:lineRule="exact"/>
        <w:rPr>
          <w:rFonts w:ascii="Franklin Gothic Book" w:hAnsi="Franklin Gothic Book"/>
          <w:bCs/>
        </w:rPr>
      </w:pPr>
      <w:r w:rsidRPr="00AB7235">
        <w:rPr>
          <w:rFonts w:ascii="Franklin Gothic Book" w:hAnsi="Franklin Gothic Book"/>
          <w:bCs/>
        </w:rPr>
        <w:t>The Department of Housing and Comm</w:t>
      </w:r>
      <w:r>
        <w:rPr>
          <w:rFonts w:ascii="Franklin Gothic Book" w:hAnsi="Franklin Gothic Book"/>
          <w:bCs/>
        </w:rPr>
        <w:t>unity Development will spend 50</w:t>
      </w:r>
      <w:r w:rsidR="00727D88">
        <w:rPr>
          <w:rFonts w:ascii="Franklin Gothic Book" w:hAnsi="Franklin Gothic Book"/>
          <w:bCs/>
        </w:rPr>
        <w:t xml:space="preserve"> percent</w:t>
      </w:r>
      <w:r>
        <w:rPr>
          <w:rFonts w:ascii="Franklin Gothic Book" w:hAnsi="Franklin Gothic Book"/>
          <w:bCs/>
        </w:rPr>
        <w:t xml:space="preserve"> of auction proceeds on </w:t>
      </w:r>
      <w:r w:rsidRPr="00AB7235">
        <w:rPr>
          <w:rFonts w:ascii="Franklin Gothic Book" w:hAnsi="Franklin Gothic Book"/>
          <w:bCs/>
        </w:rPr>
        <w:t>low-income</w:t>
      </w:r>
      <w:r>
        <w:rPr>
          <w:rFonts w:ascii="Franklin Gothic Book" w:hAnsi="Franklin Gothic Book"/>
          <w:bCs/>
        </w:rPr>
        <w:t xml:space="preserve"> energy</w:t>
      </w:r>
      <w:r w:rsidRPr="00AB7235">
        <w:rPr>
          <w:rFonts w:ascii="Franklin Gothic Book" w:hAnsi="Franklin Gothic Book"/>
          <w:bCs/>
        </w:rPr>
        <w:t xml:space="preserve"> efficiency programs, including programs for</w:t>
      </w:r>
      <w:r>
        <w:rPr>
          <w:rFonts w:ascii="Franklin Gothic Book" w:hAnsi="Franklin Gothic Book"/>
          <w:bCs/>
        </w:rPr>
        <w:t xml:space="preserve"> eligible housing developments.</w:t>
      </w:r>
    </w:p>
    <w:p w14:paraId="17C722CE" w14:textId="133DF102" w:rsidR="00B065B4" w:rsidRDefault="00B065B4" w:rsidP="00EC12DE">
      <w:pPr>
        <w:pStyle w:val="ListParagraph"/>
        <w:numPr>
          <w:ilvl w:val="0"/>
          <w:numId w:val="23"/>
        </w:numPr>
        <w:spacing w:after="0" w:line="260" w:lineRule="exact"/>
        <w:rPr>
          <w:rFonts w:ascii="Franklin Gothic Book" w:hAnsi="Franklin Gothic Book"/>
          <w:bCs/>
        </w:rPr>
      </w:pPr>
      <w:r w:rsidRPr="00AB7235">
        <w:rPr>
          <w:rFonts w:ascii="Franklin Gothic Book" w:hAnsi="Franklin Gothic Book"/>
          <w:bCs/>
        </w:rPr>
        <w:t>The Department of Conservation and Recreation will get 45</w:t>
      </w:r>
      <w:r w:rsidR="00727D88">
        <w:rPr>
          <w:rFonts w:ascii="Franklin Gothic Book" w:hAnsi="Franklin Gothic Book"/>
          <w:bCs/>
        </w:rPr>
        <w:t xml:space="preserve"> percent</w:t>
      </w:r>
      <w:r w:rsidRPr="00AB7235">
        <w:rPr>
          <w:rFonts w:ascii="Franklin Gothic Book" w:hAnsi="Franklin Gothic Book"/>
          <w:bCs/>
        </w:rPr>
        <w:t xml:space="preserve"> of the auction proceeds to fund flood preparedness and climate change planning and mitigation through the Virginia Com</w:t>
      </w:r>
      <w:r>
        <w:rPr>
          <w:rFonts w:ascii="Franklin Gothic Book" w:hAnsi="Franklin Gothic Book"/>
          <w:bCs/>
        </w:rPr>
        <w:t>munity Flood Preparedness Fund.</w:t>
      </w:r>
    </w:p>
    <w:p w14:paraId="4D8EEE69" w14:textId="52572886" w:rsidR="00B065B4"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t>The last 5</w:t>
      </w:r>
      <w:r w:rsidR="00727D88">
        <w:rPr>
          <w:rFonts w:ascii="Franklin Gothic Book" w:hAnsi="Franklin Gothic Book"/>
          <w:bCs/>
        </w:rPr>
        <w:t xml:space="preserve"> percent</w:t>
      </w:r>
      <w:r w:rsidRPr="00AB7235">
        <w:rPr>
          <w:rFonts w:ascii="Franklin Gothic Book" w:hAnsi="Franklin Gothic Book"/>
          <w:bCs/>
        </w:rPr>
        <w:t xml:space="preserve"> of proceeds will cover administrative costs, including those for administering the auctions.</w:t>
      </w:r>
    </w:p>
    <w:p w14:paraId="0A6D852C" w14:textId="77777777" w:rsidR="00CA066C" w:rsidRDefault="00CA066C" w:rsidP="00CA066C">
      <w:pPr>
        <w:pStyle w:val="ListParagraph"/>
        <w:spacing w:after="0" w:line="260" w:lineRule="exact"/>
        <w:ind w:left="1440"/>
        <w:rPr>
          <w:rFonts w:ascii="Franklin Gothic Book" w:hAnsi="Franklin Gothic Book"/>
          <w:bCs/>
        </w:rPr>
      </w:pPr>
    </w:p>
    <w:p w14:paraId="7F5D071C" w14:textId="5D9CC040" w:rsidR="00B065B4" w:rsidRPr="0095564C" w:rsidRDefault="00B065B4" w:rsidP="0095564C">
      <w:pPr>
        <w:pStyle w:val="Level3Head-COG"/>
        <w:rPr>
          <w:rStyle w:val="Hyperlink"/>
          <w:color w:val="404040" w:themeColor="text1" w:themeTint="BF"/>
        </w:rPr>
      </w:pPr>
      <w:r>
        <w:fldChar w:fldCharType="begin"/>
      </w:r>
      <w:r>
        <w:instrText xml:space="preserve"> HYPERLINK "https://lis.virginia.gov/cgi-bin/legp604.exe?201+sum+SB710" </w:instrText>
      </w:r>
      <w:r>
        <w:fldChar w:fldCharType="separate"/>
      </w:r>
      <w:bookmarkStart w:id="363" w:name="_Toc49861477"/>
      <w:bookmarkStart w:id="364" w:name="_Toc50968770"/>
      <w:bookmarkStart w:id="365" w:name="_Toc51077759"/>
      <w:r w:rsidRPr="0095564C">
        <w:rPr>
          <w:rStyle w:val="Hyperlink"/>
          <w:color w:val="404040" w:themeColor="text1" w:themeTint="BF"/>
        </w:rPr>
        <w:t>Solar Freedom Act</w:t>
      </w:r>
      <w:r w:rsidR="007D1C48">
        <w:rPr>
          <w:rStyle w:val="Hyperlink"/>
          <w:color w:val="404040" w:themeColor="text1" w:themeTint="BF"/>
        </w:rPr>
        <w:t xml:space="preserve">, </w:t>
      </w:r>
      <w:r w:rsidRPr="0095564C">
        <w:rPr>
          <w:rStyle w:val="Hyperlink"/>
          <w:color w:val="404040" w:themeColor="text1" w:themeTint="BF"/>
        </w:rPr>
        <w:t>2020</w:t>
      </w:r>
      <w:bookmarkEnd w:id="363"/>
      <w:bookmarkEnd w:id="364"/>
      <w:bookmarkEnd w:id="365"/>
    </w:p>
    <w:p w14:paraId="2EE6BCA0" w14:textId="77777777" w:rsidR="00B065B4"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fldChar w:fldCharType="end"/>
      </w:r>
      <w:r>
        <w:rPr>
          <w:rFonts w:ascii="Franklin Gothic Book" w:hAnsi="Franklin Gothic Book"/>
          <w:bCs/>
        </w:rPr>
        <w:t>R</w:t>
      </w:r>
      <w:r w:rsidRPr="00C03F9E">
        <w:rPr>
          <w:rFonts w:ascii="Franklin Gothic Book" w:hAnsi="Franklin Gothic Book"/>
          <w:bCs/>
        </w:rPr>
        <w:t xml:space="preserve">equires </w:t>
      </w:r>
      <w:r>
        <w:rPr>
          <w:rFonts w:ascii="Franklin Gothic Book" w:hAnsi="Franklin Gothic Book"/>
          <w:bCs/>
        </w:rPr>
        <w:t>the SCC</w:t>
      </w:r>
      <w:r w:rsidRPr="00C03F9E">
        <w:rPr>
          <w:rFonts w:ascii="Franklin Gothic Book" w:hAnsi="Franklin Gothic Book"/>
          <w:bCs/>
        </w:rPr>
        <w:t xml:space="preserve"> to establish by regulation a shared solar program that allows multifamily customers of investor-owned utilities, other than American Electric Power, to purchase electric power through a subscription in a shared </w:t>
      </w:r>
      <w:r>
        <w:rPr>
          <w:rFonts w:ascii="Franklin Gothic Book" w:hAnsi="Franklin Gothic Book"/>
          <w:bCs/>
        </w:rPr>
        <w:t>solar facility.</w:t>
      </w:r>
    </w:p>
    <w:p w14:paraId="64DF1EEA" w14:textId="2457C0AB" w:rsidR="00B065B4"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t>R</w:t>
      </w:r>
      <w:r w:rsidRPr="00C03F9E">
        <w:rPr>
          <w:rFonts w:ascii="Franklin Gothic Book" w:hAnsi="Franklin Gothic Book"/>
          <w:bCs/>
        </w:rPr>
        <w:t>aises the cap on the total amount of renewable energy that can be net metered in a utility's se</w:t>
      </w:r>
      <w:r>
        <w:rPr>
          <w:rFonts w:ascii="Franklin Gothic Book" w:hAnsi="Franklin Gothic Book"/>
          <w:bCs/>
        </w:rPr>
        <w:t>rvice territory from 1</w:t>
      </w:r>
      <w:r w:rsidR="007558AE">
        <w:rPr>
          <w:rFonts w:ascii="Franklin Gothic Book" w:hAnsi="Franklin Gothic Book"/>
          <w:bCs/>
        </w:rPr>
        <w:t xml:space="preserve"> percent</w:t>
      </w:r>
      <w:r>
        <w:rPr>
          <w:rFonts w:ascii="Franklin Gothic Book" w:hAnsi="Franklin Gothic Book"/>
          <w:bCs/>
        </w:rPr>
        <w:t xml:space="preserve"> to 6</w:t>
      </w:r>
      <w:r w:rsidR="007558AE">
        <w:rPr>
          <w:rFonts w:ascii="Franklin Gothic Book" w:hAnsi="Franklin Gothic Book"/>
          <w:bCs/>
        </w:rPr>
        <w:t xml:space="preserve"> percent</w:t>
      </w:r>
      <w:r>
        <w:rPr>
          <w:rFonts w:ascii="Franklin Gothic Book" w:hAnsi="Franklin Gothic Book"/>
          <w:bCs/>
        </w:rPr>
        <w:t>, 5</w:t>
      </w:r>
      <w:r w:rsidR="007558AE">
        <w:rPr>
          <w:rFonts w:ascii="Franklin Gothic Book" w:hAnsi="Franklin Gothic Book"/>
          <w:bCs/>
        </w:rPr>
        <w:t xml:space="preserve"> percent</w:t>
      </w:r>
      <w:r w:rsidRPr="00C03F9E">
        <w:rPr>
          <w:rFonts w:ascii="Franklin Gothic Book" w:hAnsi="Franklin Gothic Book"/>
          <w:bCs/>
        </w:rPr>
        <w:t xml:space="preserve"> of which is available to all customers and </w:t>
      </w:r>
      <w:r>
        <w:rPr>
          <w:rFonts w:ascii="Franklin Gothic Book" w:hAnsi="Franklin Gothic Book"/>
          <w:bCs/>
        </w:rPr>
        <w:t>1</w:t>
      </w:r>
      <w:r w:rsidR="007558AE">
        <w:rPr>
          <w:rFonts w:ascii="Franklin Gothic Book" w:hAnsi="Franklin Gothic Book"/>
          <w:bCs/>
        </w:rPr>
        <w:t xml:space="preserve"> percent</w:t>
      </w:r>
      <w:r w:rsidRPr="00C03F9E">
        <w:rPr>
          <w:rFonts w:ascii="Franklin Gothic Book" w:hAnsi="Franklin Gothic Book"/>
          <w:bCs/>
        </w:rPr>
        <w:t xml:space="preserve"> of which is available only to low-i</w:t>
      </w:r>
      <w:r>
        <w:rPr>
          <w:rFonts w:ascii="Franklin Gothic Book" w:hAnsi="Franklin Gothic Book"/>
          <w:bCs/>
        </w:rPr>
        <w:t>ncome utility customers.</w:t>
      </w:r>
    </w:p>
    <w:p w14:paraId="5EB1DA36" w14:textId="77777777" w:rsidR="00B065B4"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t>R</w:t>
      </w:r>
      <w:r w:rsidRPr="00C03F9E">
        <w:rPr>
          <w:rFonts w:ascii="Franklin Gothic Book" w:hAnsi="Franklin Gothic Book"/>
          <w:bCs/>
        </w:rPr>
        <w:t>aises the cap for net-metered non</w:t>
      </w:r>
      <w:r>
        <w:rPr>
          <w:rFonts w:ascii="Franklin Gothic Book" w:hAnsi="Franklin Gothic Book"/>
          <w:bCs/>
        </w:rPr>
        <w:t>-</w:t>
      </w:r>
      <w:r w:rsidRPr="00C03F9E">
        <w:rPr>
          <w:rFonts w:ascii="Franklin Gothic Book" w:hAnsi="Franklin Gothic Book"/>
          <w:bCs/>
        </w:rPr>
        <w:t>residential generat</w:t>
      </w:r>
      <w:r>
        <w:rPr>
          <w:rFonts w:ascii="Franklin Gothic Book" w:hAnsi="Franklin Gothic Book"/>
          <w:bCs/>
        </w:rPr>
        <w:t>ion facilities from 1 MW to 3 MW.</w:t>
      </w:r>
    </w:p>
    <w:p w14:paraId="680D3656" w14:textId="77777777" w:rsidR="00B065B4"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t>A</w:t>
      </w:r>
      <w:r w:rsidRPr="00C03F9E">
        <w:rPr>
          <w:rFonts w:ascii="Franklin Gothic Book" w:hAnsi="Franklin Gothic Book"/>
          <w:bCs/>
        </w:rPr>
        <w:t>llows certain localities to install solar or wind fa</w:t>
      </w:r>
      <w:r>
        <w:rPr>
          <w:rFonts w:ascii="Franklin Gothic Book" w:hAnsi="Franklin Gothic Book"/>
          <w:bCs/>
        </w:rPr>
        <w:t>cilities of up to 5 MW</w:t>
      </w:r>
      <w:r w:rsidRPr="00C03F9E">
        <w:rPr>
          <w:rFonts w:ascii="Franklin Gothic Book" w:hAnsi="Franklin Gothic Book"/>
          <w:bCs/>
        </w:rPr>
        <w:t xml:space="preserve"> on government-owned property and use the electricity for g</w:t>
      </w:r>
      <w:r>
        <w:rPr>
          <w:rFonts w:ascii="Franklin Gothic Book" w:hAnsi="Franklin Gothic Book"/>
          <w:bCs/>
        </w:rPr>
        <w:t>overnment-owned buildings.</w:t>
      </w:r>
    </w:p>
    <w:p w14:paraId="5DEA7096" w14:textId="461472F4" w:rsidR="00B065B4"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t>I</w:t>
      </w:r>
      <w:r w:rsidRPr="00C03F9E">
        <w:rPr>
          <w:rFonts w:ascii="Franklin Gothic Book" w:hAnsi="Franklin Gothic Book"/>
          <w:bCs/>
        </w:rPr>
        <w:t>ncreases the cap on the capacity of generation from facilities from the customer's expected annual e</w:t>
      </w:r>
      <w:r>
        <w:rPr>
          <w:rFonts w:ascii="Franklin Gothic Book" w:hAnsi="Franklin Gothic Book"/>
          <w:bCs/>
        </w:rPr>
        <w:t>nergy consumption to 150</w:t>
      </w:r>
      <w:r w:rsidR="007558AE">
        <w:rPr>
          <w:rFonts w:ascii="Franklin Gothic Book" w:hAnsi="Franklin Gothic Book"/>
          <w:bCs/>
        </w:rPr>
        <w:t xml:space="preserve"> percent</w:t>
      </w:r>
      <w:r w:rsidRPr="00C03F9E">
        <w:rPr>
          <w:rFonts w:ascii="Franklin Gothic Book" w:hAnsi="Franklin Gothic Book"/>
          <w:bCs/>
        </w:rPr>
        <w:t xml:space="preserve"> of such amount f</w:t>
      </w:r>
      <w:r>
        <w:rPr>
          <w:rFonts w:ascii="Franklin Gothic Book" w:hAnsi="Franklin Gothic Book"/>
          <w:bCs/>
        </w:rPr>
        <w:t>or customers in Dominion Energy’s service territory.</w:t>
      </w:r>
    </w:p>
    <w:p w14:paraId="05EE0130" w14:textId="77777777" w:rsidR="00B065B4"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t>P</w:t>
      </w:r>
      <w:r w:rsidRPr="00C03F9E">
        <w:rPr>
          <w:rFonts w:ascii="Franklin Gothic Book" w:hAnsi="Franklin Gothic Book"/>
          <w:bCs/>
        </w:rPr>
        <w:t>rohibits standby charges for any residential customer-generator or agricultural customer-generator of an investor-owned utility other than Dom</w:t>
      </w:r>
      <w:r>
        <w:rPr>
          <w:rFonts w:ascii="Franklin Gothic Book" w:hAnsi="Franklin Gothic Book"/>
          <w:bCs/>
        </w:rPr>
        <w:t>inion Energy.</w:t>
      </w:r>
    </w:p>
    <w:p w14:paraId="16B047FC" w14:textId="77777777" w:rsidR="00B065B4" w:rsidRPr="00774D03" w:rsidRDefault="00B065B4" w:rsidP="00EC12DE">
      <w:pPr>
        <w:pStyle w:val="ListParagraph"/>
        <w:numPr>
          <w:ilvl w:val="0"/>
          <w:numId w:val="23"/>
        </w:numPr>
        <w:spacing w:after="0" w:line="260" w:lineRule="exact"/>
        <w:rPr>
          <w:rFonts w:ascii="Franklin Gothic Book" w:hAnsi="Franklin Gothic Book"/>
          <w:bCs/>
        </w:rPr>
      </w:pPr>
      <w:r>
        <w:rPr>
          <w:rFonts w:ascii="Franklin Gothic Book" w:hAnsi="Franklin Gothic Book"/>
          <w:bCs/>
        </w:rPr>
        <w:t>I</w:t>
      </w:r>
      <w:r w:rsidRPr="00C03F9E">
        <w:rPr>
          <w:rFonts w:ascii="Franklin Gothic Book" w:hAnsi="Franklin Gothic Book"/>
          <w:bCs/>
        </w:rPr>
        <w:t>ncreases the</w:t>
      </w:r>
      <w:r>
        <w:rPr>
          <w:rFonts w:ascii="Franklin Gothic Book" w:hAnsi="Franklin Gothic Book"/>
          <w:bCs/>
        </w:rPr>
        <w:t xml:space="preserve"> cap on third party PPAs to 500 MW</w:t>
      </w:r>
      <w:r w:rsidRPr="00C03F9E">
        <w:rPr>
          <w:rFonts w:ascii="Franklin Gothic Book" w:hAnsi="Franklin Gothic Book"/>
          <w:bCs/>
        </w:rPr>
        <w:t xml:space="preserve"> for jurisdicti</w:t>
      </w:r>
      <w:r>
        <w:rPr>
          <w:rFonts w:ascii="Franklin Gothic Book" w:hAnsi="Franklin Gothic Book"/>
          <w:bCs/>
        </w:rPr>
        <w:t>onal customers and 500 MW</w:t>
      </w:r>
      <w:r w:rsidRPr="00C03F9E">
        <w:rPr>
          <w:rFonts w:ascii="Franklin Gothic Book" w:hAnsi="Franklin Gothic Book"/>
          <w:bCs/>
        </w:rPr>
        <w:t xml:space="preserve"> for non</w:t>
      </w:r>
      <w:r>
        <w:rPr>
          <w:rFonts w:ascii="Franklin Gothic Book" w:hAnsi="Franklin Gothic Book"/>
          <w:bCs/>
        </w:rPr>
        <w:t>-</w:t>
      </w:r>
      <w:r w:rsidRPr="00C03F9E">
        <w:rPr>
          <w:rFonts w:ascii="Franklin Gothic Book" w:hAnsi="Franklin Gothic Book"/>
          <w:bCs/>
        </w:rPr>
        <w:t>jurisdictional custo</w:t>
      </w:r>
      <w:r>
        <w:rPr>
          <w:rFonts w:ascii="Franklin Gothic Book" w:hAnsi="Franklin Gothic Book"/>
          <w:bCs/>
        </w:rPr>
        <w:t>mers of Dominion Energy and to 40 MW</w:t>
      </w:r>
      <w:r w:rsidRPr="00C03F9E">
        <w:rPr>
          <w:rFonts w:ascii="Franklin Gothic Book" w:hAnsi="Franklin Gothic Book"/>
          <w:bCs/>
        </w:rPr>
        <w:t xml:space="preserve"> for customers of American Electric Power. The measure also amends the Commonwealth Energy Policy to include provisions supporting distributed generation of renewable energy.</w:t>
      </w:r>
      <w:r w:rsidRPr="00774D03">
        <w:rPr>
          <w:rFonts w:ascii="Franklin Gothic Book" w:hAnsi="Franklin Gothic Book"/>
          <w:bCs/>
        </w:rPr>
        <w:t xml:space="preserve"> </w:t>
      </w:r>
    </w:p>
    <w:p w14:paraId="727E84F4" w14:textId="77777777" w:rsidR="00490671" w:rsidRPr="00490671" w:rsidRDefault="00490671" w:rsidP="00066258">
      <w:pPr>
        <w:pStyle w:val="BodyText-COG"/>
        <w:contextualSpacing/>
      </w:pPr>
    </w:p>
    <w:p w14:paraId="57DF5287" w14:textId="4900EA7D" w:rsidR="00490671" w:rsidRDefault="00490671" w:rsidP="00F914F4">
      <w:pPr>
        <w:pStyle w:val="BodyText-COG"/>
        <w:outlineLvl w:val="0"/>
      </w:pPr>
    </w:p>
    <w:p w14:paraId="433091EE" w14:textId="395B2D1B" w:rsidR="00490671" w:rsidRDefault="00490671" w:rsidP="00F914F4">
      <w:pPr>
        <w:pStyle w:val="BodyText-COG"/>
        <w:outlineLvl w:val="0"/>
      </w:pPr>
    </w:p>
    <w:p w14:paraId="79DE2FE2" w14:textId="5BDFF174" w:rsidR="00490671" w:rsidRDefault="00490671" w:rsidP="00F914F4">
      <w:pPr>
        <w:pStyle w:val="BodyText-COG"/>
        <w:outlineLvl w:val="0"/>
      </w:pPr>
    </w:p>
    <w:p w14:paraId="393ECED3" w14:textId="39914CC5" w:rsidR="00490671" w:rsidRDefault="00490671" w:rsidP="00F914F4">
      <w:pPr>
        <w:pStyle w:val="BodyText-COG"/>
        <w:outlineLvl w:val="0"/>
      </w:pPr>
    </w:p>
    <w:p w14:paraId="163AEC6C" w14:textId="6D8CB051" w:rsidR="00490671" w:rsidRDefault="00490671" w:rsidP="00F914F4">
      <w:pPr>
        <w:pStyle w:val="BodyText-COG"/>
        <w:outlineLvl w:val="0"/>
      </w:pPr>
    </w:p>
    <w:p w14:paraId="4954FF66" w14:textId="5CD6BC27" w:rsidR="00490671" w:rsidRDefault="00490671" w:rsidP="00F914F4">
      <w:pPr>
        <w:pStyle w:val="BodyText-COG"/>
        <w:outlineLvl w:val="0"/>
      </w:pPr>
    </w:p>
    <w:p w14:paraId="34FD04AD" w14:textId="2C36A60B" w:rsidR="00490671" w:rsidRDefault="00490671" w:rsidP="00F914F4">
      <w:pPr>
        <w:pStyle w:val="BodyText-COG"/>
        <w:outlineLvl w:val="0"/>
      </w:pPr>
    </w:p>
    <w:p w14:paraId="478CC13F" w14:textId="4209CECA" w:rsidR="00B20B49" w:rsidRDefault="00B20B49" w:rsidP="00F914F4">
      <w:pPr>
        <w:pStyle w:val="BodyText-COG"/>
        <w:outlineLvl w:val="0"/>
      </w:pPr>
    </w:p>
    <w:p w14:paraId="0D4EFE4B" w14:textId="2A7E2DBB" w:rsidR="00B20B49" w:rsidRDefault="00B20B49" w:rsidP="00F914F4">
      <w:pPr>
        <w:pStyle w:val="BodyText-COG"/>
        <w:outlineLvl w:val="0"/>
      </w:pPr>
    </w:p>
    <w:p w14:paraId="45AD3866" w14:textId="21597640" w:rsidR="00B20B49" w:rsidRDefault="00B20B49" w:rsidP="00F914F4">
      <w:pPr>
        <w:pStyle w:val="BodyText-COG"/>
        <w:outlineLvl w:val="0"/>
      </w:pPr>
    </w:p>
    <w:p w14:paraId="001A3CE3" w14:textId="099E7675" w:rsidR="00B20B49" w:rsidRDefault="00B20B49" w:rsidP="00F914F4">
      <w:pPr>
        <w:pStyle w:val="BodyText-COG"/>
        <w:outlineLvl w:val="0"/>
      </w:pPr>
    </w:p>
    <w:p w14:paraId="1F331D81" w14:textId="06FFAC28" w:rsidR="00B20B49" w:rsidRDefault="00B20B49" w:rsidP="00F914F4">
      <w:pPr>
        <w:pStyle w:val="BodyText-COG"/>
        <w:outlineLvl w:val="0"/>
      </w:pPr>
    </w:p>
    <w:p w14:paraId="197C3E02" w14:textId="4E6388C9" w:rsidR="00B20B49" w:rsidRDefault="00B20B49" w:rsidP="00F914F4">
      <w:pPr>
        <w:pStyle w:val="BodyText-COG"/>
        <w:outlineLvl w:val="0"/>
      </w:pPr>
    </w:p>
    <w:p w14:paraId="5B837619" w14:textId="77777777" w:rsidR="00B20B49" w:rsidRDefault="00B20B49" w:rsidP="00F914F4">
      <w:pPr>
        <w:pStyle w:val="BodyText-COG"/>
        <w:outlineLvl w:val="0"/>
      </w:pPr>
    </w:p>
    <w:p w14:paraId="1BF846B7" w14:textId="37BFB4FB" w:rsidR="00490671" w:rsidRDefault="00490671" w:rsidP="00F914F4">
      <w:pPr>
        <w:pStyle w:val="BodyText-COG"/>
        <w:outlineLvl w:val="0"/>
      </w:pPr>
    </w:p>
    <w:p w14:paraId="7235FE64" w14:textId="6C0320E5" w:rsidR="00490671" w:rsidRDefault="00490671" w:rsidP="00490671">
      <w:pPr>
        <w:pStyle w:val="Level1Head-COG"/>
        <w:outlineLvl w:val="0"/>
      </w:pPr>
      <w:bookmarkStart w:id="366" w:name="_Toc51077760"/>
      <w:r w:rsidRPr="003E433C">
        <w:lastRenderedPageBreak/>
        <w:t xml:space="preserve">Appendix </w:t>
      </w:r>
      <w:r>
        <w:t>f: ghg inventory methodology</w:t>
      </w:r>
      <w:bookmarkEnd w:id="366"/>
      <w:r>
        <w:t xml:space="preserve">  </w:t>
      </w:r>
    </w:p>
    <w:p w14:paraId="2D2BE226" w14:textId="267E4E63" w:rsidR="0095541A" w:rsidRPr="0095541A" w:rsidRDefault="0095541A" w:rsidP="00E32D5D">
      <w:pPr>
        <w:pStyle w:val="Level2Head-COG"/>
        <w:spacing w:line="240" w:lineRule="auto"/>
        <w:rPr>
          <w:sz w:val="40"/>
          <w:szCs w:val="40"/>
        </w:rPr>
      </w:pPr>
      <w:bookmarkStart w:id="367" w:name="_Toc50968772"/>
      <w:bookmarkStart w:id="368" w:name="_Toc535399899"/>
      <w:bookmarkStart w:id="369" w:name="_Toc51077761"/>
      <w:r w:rsidRPr="0095541A">
        <w:rPr>
          <w:sz w:val="40"/>
          <w:szCs w:val="40"/>
        </w:rPr>
        <w:t>INTRODUCTION</w:t>
      </w:r>
      <w:bookmarkEnd w:id="367"/>
      <w:bookmarkEnd w:id="369"/>
    </w:p>
    <w:p w14:paraId="44C515A7" w14:textId="7B66ADF1" w:rsidR="00E32D5D" w:rsidRDefault="00E32D5D" w:rsidP="00E32D5D">
      <w:pPr>
        <w:pStyle w:val="Level2Head-COG"/>
        <w:spacing w:line="240" w:lineRule="auto"/>
      </w:pPr>
      <w:bookmarkStart w:id="370" w:name="_Toc50968773"/>
      <w:bookmarkStart w:id="371" w:name="_Toc51077762"/>
      <w:r>
        <w:t>Purpose</w:t>
      </w:r>
      <w:bookmarkEnd w:id="368"/>
      <w:bookmarkEnd w:id="370"/>
      <w:bookmarkEnd w:id="371"/>
      <w:r>
        <w:t xml:space="preserve"> </w:t>
      </w:r>
    </w:p>
    <w:p w14:paraId="4369727E" w14:textId="4318F560" w:rsidR="00E32D5D" w:rsidRDefault="00E32D5D" w:rsidP="00E32D5D">
      <w:pPr>
        <w:pStyle w:val="BodyText-COG"/>
        <w:spacing w:line="240" w:lineRule="auto"/>
      </w:pPr>
      <w:r>
        <w:t xml:space="preserve">This appendix outlines the methodologies of COG’s greenhouse gas (GHG) inventory work, providing for completeness, consistency, accuracy, replicability, transparency, and quality control. The ability to develop relevant, robust sets of inventories supports COG’s Climate, Energy and Environment Policy Committee (CEEPC) and member local governments track progress towards GHG emission reduction goals and support decision-making around policies and programs that support emission reduction. </w:t>
      </w:r>
    </w:p>
    <w:p w14:paraId="3F5A1428" w14:textId="77777777" w:rsidR="00E32D5D" w:rsidRDefault="00E32D5D" w:rsidP="00E32D5D">
      <w:pPr>
        <w:pStyle w:val="BodyText-COG"/>
        <w:spacing w:line="240" w:lineRule="auto"/>
      </w:pPr>
    </w:p>
    <w:p w14:paraId="5C44A06C" w14:textId="77777777" w:rsidR="00E32D5D" w:rsidRDefault="00E32D5D" w:rsidP="00E32D5D">
      <w:pPr>
        <w:pStyle w:val="Level2Head-COG"/>
        <w:spacing w:line="240" w:lineRule="auto"/>
      </w:pPr>
      <w:bookmarkStart w:id="372" w:name="_Toc535399900"/>
      <w:bookmarkStart w:id="373" w:name="_Toc50968774"/>
      <w:bookmarkStart w:id="374" w:name="_Toc466884010"/>
      <w:bookmarkStart w:id="375" w:name="_Toc51077763"/>
      <w:r>
        <w:t>Background</w:t>
      </w:r>
      <w:bookmarkEnd w:id="372"/>
      <w:bookmarkEnd w:id="373"/>
      <w:bookmarkEnd w:id="375"/>
      <w:r>
        <w:t xml:space="preserve"> </w:t>
      </w:r>
      <w:bookmarkEnd w:id="374"/>
    </w:p>
    <w:p w14:paraId="40132E27" w14:textId="43DA804F" w:rsidR="00E32D5D" w:rsidRPr="00FD183D" w:rsidRDefault="00E32D5D" w:rsidP="00E32D5D">
      <w:pPr>
        <w:pStyle w:val="BodyText-COG"/>
        <w:spacing w:line="240" w:lineRule="auto"/>
        <w:rPr>
          <w:rFonts w:cs="Arial"/>
          <w:color w:val="auto"/>
          <w:szCs w:val="22"/>
          <w:shd w:val="clear" w:color="auto" w:fill="FFFFFF"/>
        </w:rPr>
      </w:pPr>
      <w:r w:rsidRPr="00FD183D">
        <w:rPr>
          <w:color w:val="auto"/>
          <w:szCs w:val="22"/>
        </w:rPr>
        <w:t xml:space="preserve">COG’s </w:t>
      </w:r>
      <w:r w:rsidRPr="00FD183D">
        <w:rPr>
          <w:rFonts w:cs="Arial"/>
          <w:color w:val="auto"/>
          <w:szCs w:val="22"/>
          <w:shd w:val="clear" w:color="auto" w:fill="FFFFFF"/>
        </w:rPr>
        <w:t>Climate, Energy and Environment Policy Committee (CEEPC) was created by the COG Board in 2009 and is responsible for managing implementation of the </w:t>
      </w:r>
      <w:r w:rsidRPr="00FD183D">
        <w:rPr>
          <w:rStyle w:val="Emphasis"/>
          <w:rFonts w:cs="Arial"/>
          <w:color w:val="auto"/>
          <w:szCs w:val="22"/>
          <w:shd w:val="clear" w:color="auto" w:fill="FFFFFF"/>
        </w:rPr>
        <w:t>National Capital Region Climate Change Report</w:t>
      </w:r>
      <w:r w:rsidRPr="00FD183D">
        <w:rPr>
          <w:rFonts w:cs="Arial"/>
          <w:color w:val="auto"/>
          <w:szCs w:val="22"/>
          <w:shd w:val="clear" w:color="auto" w:fill="FFFFFF"/>
        </w:rPr>
        <w:t xml:space="preserve"> adopted by the COG Board in 2008. </w:t>
      </w:r>
      <w:r w:rsidR="00DC45F8">
        <w:rPr>
          <w:rFonts w:cs="Arial"/>
          <w:color w:val="auto"/>
          <w:szCs w:val="22"/>
          <w:shd w:val="clear" w:color="auto" w:fill="FFFFFF"/>
        </w:rPr>
        <w:t>Since its inception</w:t>
      </w:r>
      <w:r w:rsidRPr="00FD183D">
        <w:rPr>
          <w:rFonts w:cs="Arial"/>
          <w:color w:val="auto"/>
          <w:szCs w:val="22"/>
          <w:shd w:val="clear" w:color="auto" w:fill="FFFFFF"/>
        </w:rPr>
        <w:t xml:space="preserve">, CEEPC has made it a priority to track progress towards emissions reduction and set goals for all COG members and the region to complete GHG inventories. </w:t>
      </w:r>
    </w:p>
    <w:p w14:paraId="3ADE6097" w14:textId="77777777" w:rsidR="00E32D5D" w:rsidRPr="00FD183D" w:rsidRDefault="00E32D5D" w:rsidP="00E32D5D">
      <w:pPr>
        <w:pStyle w:val="BodyText-COG"/>
        <w:spacing w:line="240" w:lineRule="auto"/>
      </w:pPr>
    </w:p>
    <w:p w14:paraId="002C5335" w14:textId="42F3A270" w:rsidR="00E32D5D" w:rsidRDefault="00E32D5D" w:rsidP="00E32D5D">
      <w:pPr>
        <w:pStyle w:val="BodyText-COG"/>
      </w:pPr>
      <w:r>
        <w:t xml:space="preserve">Over the next five years, COG supported its members on inventory development by coordinating GHG inventory work group meetings and a series of trainings with national experts from ICLEI. COG also participated in development of a national protocol for local community-scale inventories, provided consultant support for COG member local inventory development, and began working on applying consistent methodologies across jurisdictions. </w:t>
      </w:r>
    </w:p>
    <w:p w14:paraId="3F80BD45" w14:textId="77777777" w:rsidR="00E32D5D" w:rsidRDefault="00E32D5D" w:rsidP="00E32D5D">
      <w:pPr>
        <w:pStyle w:val="BodyText-COG"/>
      </w:pPr>
    </w:p>
    <w:p w14:paraId="48E9CF91" w14:textId="34C59B0D" w:rsidR="00E32D5D" w:rsidRDefault="00E32D5D" w:rsidP="00E32D5D">
      <w:pPr>
        <w:pStyle w:val="BodyText-COG"/>
      </w:pPr>
      <w:r>
        <w:t xml:space="preserve">Members of both CEEPC and its sub-committees requested additional support to </w:t>
      </w:r>
      <w:r w:rsidR="00F902BE">
        <w:t>ensure</w:t>
      </w:r>
      <w:r>
        <w:t xml:space="preserve"> 100 percent of COG members were able to have consistent, comparable GHG inventories completed and have updates on their inventories completed to track progress towards GHG emission reduction goals. COG </w:t>
      </w:r>
      <w:r w:rsidR="00F902BE">
        <w:t xml:space="preserve">has </w:t>
      </w:r>
      <w:r>
        <w:t xml:space="preserve">completed </w:t>
      </w:r>
      <w:r w:rsidR="00F902BE">
        <w:t>local and regional</w:t>
      </w:r>
      <w:r>
        <w:t xml:space="preserve"> GHG inventories for all COG members and metropolitan Washington</w:t>
      </w:r>
      <w:r w:rsidR="00F902BE">
        <w:t xml:space="preserve"> for </w:t>
      </w:r>
      <w:r>
        <w:t>2005, 2012, 2015</w:t>
      </w:r>
      <w:r w:rsidR="00F902BE">
        <w:t>, and 2018</w:t>
      </w:r>
      <w:r>
        <w:t xml:space="preserve">.  </w:t>
      </w:r>
    </w:p>
    <w:p w14:paraId="4CCCCB30" w14:textId="77777777" w:rsidR="00E32D5D" w:rsidRDefault="00E32D5D" w:rsidP="00E32D5D">
      <w:pPr>
        <w:pStyle w:val="BodyText-COG"/>
      </w:pPr>
    </w:p>
    <w:p w14:paraId="679BBE49" w14:textId="77777777" w:rsidR="00E32D5D" w:rsidRDefault="00E32D5D" w:rsidP="00E32D5D">
      <w:pPr>
        <w:pStyle w:val="Level2Head-COG"/>
        <w:spacing w:line="240" w:lineRule="auto"/>
      </w:pPr>
      <w:bookmarkStart w:id="376" w:name="_Toc535399901"/>
      <w:bookmarkStart w:id="377" w:name="_Toc50968775"/>
      <w:bookmarkStart w:id="378" w:name="_Toc51077764"/>
      <w:r>
        <w:t>Methodology Basics</w:t>
      </w:r>
      <w:bookmarkEnd w:id="376"/>
      <w:bookmarkEnd w:id="377"/>
      <w:bookmarkEnd w:id="378"/>
    </w:p>
    <w:p w14:paraId="15739B1E" w14:textId="503AC095" w:rsidR="00E32D5D" w:rsidRDefault="00E32D5D" w:rsidP="00E32D5D">
      <w:pPr>
        <w:pStyle w:val="BodyText-COG"/>
        <w:rPr>
          <w:highlight w:val="yellow"/>
        </w:rPr>
      </w:pPr>
      <w:r>
        <w:t>COG completes GHG community-scale inventories for all 24 local government members and metropolitan Washington. COG makes every effort to capture an accurate picture of GHG trends for each of its local government members, while also providing for a consistently applied methodology across all its members’ communities.</w:t>
      </w:r>
      <w:r w:rsidR="00472133">
        <w:t xml:space="preserve"> Local inventory results are added together to get the total regional GHG emissions. </w:t>
      </w:r>
      <w:r>
        <w:t xml:space="preserve"> </w:t>
      </w:r>
    </w:p>
    <w:p w14:paraId="0F12868C" w14:textId="77777777" w:rsidR="00E32D5D" w:rsidRDefault="00E32D5D" w:rsidP="00E32D5D">
      <w:pPr>
        <w:pStyle w:val="BodyText-COG"/>
        <w:spacing w:line="240" w:lineRule="auto"/>
      </w:pPr>
      <w:r>
        <w:t xml:space="preserve"> </w:t>
      </w:r>
    </w:p>
    <w:p w14:paraId="54C0689F" w14:textId="77777777" w:rsidR="00E32D5D" w:rsidRDefault="00E32D5D" w:rsidP="00E32D5D">
      <w:pPr>
        <w:pStyle w:val="BodyText-COG"/>
        <w:spacing w:line="240" w:lineRule="auto"/>
      </w:pPr>
      <w:r w:rsidRPr="006938F0">
        <w:rPr>
          <w:color w:val="auto"/>
        </w:rPr>
        <w:t xml:space="preserve">COG GHG inventories strive to be compliant with both the </w:t>
      </w:r>
      <w:hyperlink r:id="rId192" w:history="1">
        <w:r w:rsidRPr="006938F0">
          <w:rPr>
            <w:rStyle w:val="Hyperlink"/>
          </w:rPr>
          <w:t>U.S. Communities Protocol for Accounting and Reporting Greenhouse Gas Emissions</w:t>
        </w:r>
      </w:hyperlink>
      <w:r w:rsidRPr="006938F0">
        <w:rPr>
          <w:color w:val="auto"/>
        </w:rPr>
        <w:t xml:space="preserve"> (USCP) and </w:t>
      </w:r>
      <w:hyperlink r:id="rId193" w:history="1">
        <w:r w:rsidRPr="006938F0">
          <w:rPr>
            <w:rStyle w:val="Hyperlink"/>
          </w:rPr>
          <w:t>Global Protocol for Community-Scale Greenhouse Gas Inventories</w:t>
        </w:r>
      </w:hyperlink>
      <w:r w:rsidRPr="006938F0">
        <w:rPr>
          <w:color w:val="auto"/>
        </w:rPr>
        <w:t xml:space="preserve"> (GPC). </w:t>
      </w:r>
      <w:r>
        <w:t xml:space="preserve">The Protocols provide guidance on what emission types should at minimum be included in all local community GHG inventories. Additional guidance on approaches to calculating emissions are offered, but not prescribed. COG mainly follows the calculation guidance from USCP as the USCP identifies sources of data widely available to communities in the US. If COG has reliable local data available that could provide more accurate results then an alternative approach, calculation, or tool is used.   </w:t>
      </w:r>
    </w:p>
    <w:p w14:paraId="747A8BB4" w14:textId="77777777" w:rsidR="00E32D5D" w:rsidRDefault="00E32D5D" w:rsidP="00E32D5D">
      <w:pPr>
        <w:pStyle w:val="BodyText-COG"/>
        <w:spacing w:line="240" w:lineRule="auto"/>
      </w:pPr>
    </w:p>
    <w:p w14:paraId="1C4E6078" w14:textId="2A076D07" w:rsidR="00E32D5D" w:rsidRPr="006938F0" w:rsidRDefault="00E32D5D" w:rsidP="00E32D5D">
      <w:pPr>
        <w:pStyle w:val="BodyText-COG"/>
        <w:spacing w:line="240" w:lineRule="auto"/>
      </w:pPr>
      <w:r>
        <w:t xml:space="preserve">COG inventories use public data </w:t>
      </w:r>
      <w:proofErr w:type="gramStart"/>
      <w:r>
        <w:t>readily-available</w:t>
      </w:r>
      <w:proofErr w:type="gramEnd"/>
      <w:r>
        <w:t xml:space="preserve"> on a consistent basis for all its local government members. Data sources used must be available for past, current, </w:t>
      </w:r>
      <w:r w:rsidR="006938F0">
        <w:t>and</w:t>
      </w:r>
      <w:r>
        <w:t xml:space="preserve"> potential future inventories to </w:t>
      </w:r>
      <w:r>
        <w:lastRenderedPageBreak/>
        <w:t xml:space="preserve">accurately capture trends. While both accuracy and consistency are important to GHG inventories, consistency will be given a higher priority. Any models used are applied as consistently as possible. If a new version of the model is used, it must be noted. </w:t>
      </w:r>
      <w:r w:rsidRPr="006938F0">
        <w:t xml:space="preserve">Consistent </w:t>
      </w:r>
      <w:r w:rsidRPr="006938F0">
        <w:rPr>
          <w:rFonts w:eastAsia="Times New Roman" w:cs="Calibri"/>
          <w:color w:val="000000"/>
          <w:szCs w:val="22"/>
        </w:rPr>
        <w:t>Global Warming Potential Factors (GWP) are applied; COG inventories use GWP Factors from the Intergovernmental Panel on Climate Change Fourth Assessment Report (IPCC AR4).</w:t>
      </w:r>
    </w:p>
    <w:p w14:paraId="05D79A9D" w14:textId="77777777" w:rsidR="00E32D5D" w:rsidRDefault="00E32D5D" w:rsidP="00E32D5D">
      <w:pPr>
        <w:pStyle w:val="BodyText-COG"/>
        <w:spacing w:line="240" w:lineRule="auto"/>
      </w:pPr>
    </w:p>
    <w:p w14:paraId="3B53234C" w14:textId="19A1A67F" w:rsidR="00E32D5D" w:rsidRDefault="00E32D5D" w:rsidP="00E32D5D">
      <w:pPr>
        <w:pStyle w:val="BodyText-COG"/>
        <w:spacing w:line="240" w:lineRule="auto"/>
      </w:pPr>
      <w:r>
        <w:t xml:space="preserve">COG inventories follow an activities-based approach, meaning emissions are calculated based on the result of an activity happening in a community. An example of this is that solid waste emissions are calculated based on the tonnage of trash the community sends to a landfill. Simply because they do not have a landfill within </w:t>
      </w:r>
      <w:r w:rsidR="00826D73">
        <w:t>their jurisdiction’s</w:t>
      </w:r>
      <w:r>
        <w:t xml:space="preserve"> boundaries, does not mean that they are not contributing to landfill emissions. This approach accounts for these types of activities for the emissions types reported. </w:t>
      </w:r>
    </w:p>
    <w:p w14:paraId="7F7DDF2A" w14:textId="77777777" w:rsidR="00E32D5D" w:rsidRDefault="00E32D5D" w:rsidP="00E32D5D">
      <w:pPr>
        <w:pStyle w:val="BodyText-COG"/>
        <w:rPr>
          <w:highlight w:val="yellow"/>
        </w:rPr>
      </w:pPr>
    </w:p>
    <w:p w14:paraId="1AE7562E" w14:textId="478ADFEF" w:rsidR="00E32D5D" w:rsidRDefault="00E32D5D" w:rsidP="00E32D5D">
      <w:pPr>
        <w:pStyle w:val="BodyText-COG"/>
      </w:pPr>
      <w:r>
        <w:t>The broad categories of emission types covered by COG’s GHG inventory work include the built environment, transportation and mobile emissions, wastewater treatment, agriculture, solid waste treatment, and some process and fugitive emissions. Most of these are required elements to be compliant with the USCP and GPC. Neither require agriculture; however, it was requested for inclusion by COG member counties</w:t>
      </w:r>
      <w:r w:rsidR="00DB5062">
        <w:t xml:space="preserve"> (Appendix Table 1)</w:t>
      </w:r>
      <w:r>
        <w:t xml:space="preserve">. </w:t>
      </w:r>
    </w:p>
    <w:p w14:paraId="37E1E95E" w14:textId="652CF5F0" w:rsidR="00E32D5D" w:rsidRDefault="00DB5062" w:rsidP="00E32D5D">
      <w:pPr>
        <w:pStyle w:val="BodyText-COG"/>
      </w:pPr>
      <w:r>
        <w:rPr>
          <w:rFonts w:ascii="Times New Roman" w:eastAsiaTheme="minorHAnsi" w:hAnsi="Times New Roman" w:cs="Times New Roman"/>
          <w:noProof/>
          <w:color w:val="auto"/>
          <w:sz w:val="24"/>
        </w:rPr>
        <mc:AlternateContent>
          <mc:Choice Requires="wps">
            <w:drawing>
              <wp:anchor distT="0" distB="0" distL="114300" distR="114300" simplePos="0" relativeHeight="251657728" behindDoc="1" locked="0" layoutInCell="1" allowOverlap="1" wp14:anchorId="5A8867BB" wp14:editId="1D90432E">
                <wp:simplePos x="0" y="0"/>
                <wp:positionH relativeFrom="margin">
                  <wp:posOffset>39370</wp:posOffset>
                </wp:positionH>
                <wp:positionV relativeFrom="paragraph">
                  <wp:posOffset>225425</wp:posOffset>
                </wp:positionV>
                <wp:extent cx="6153785" cy="209550"/>
                <wp:effectExtent l="0" t="0" r="0" b="0"/>
                <wp:wrapTight wrapText="bothSides">
                  <wp:wrapPolygon edited="0">
                    <wp:start x="0" y="0"/>
                    <wp:lineTo x="0" y="19636"/>
                    <wp:lineTo x="21531" y="19636"/>
                    <wp:lineTo x="21531" y="0"/>
                    <wp:lineTo x="0" y="0"/>
                  </wp:wrapPolygon>
                </wp:wrapTight>
                <wp:docPr id="55" name="Text Box 55"/>
                <wp:cNvGraphicFramePr/>
                <a:graphic xmlns:a="http://schemas.openxmlformats.org/drawingml/2006/main">
                  <a:graphicData uri="http://schemas.microsoft.com/office/word/2010/wordprocessingShape">
                    <wps:wsp>
                      <wps:cNvSpPr txBox="1"/>
                      <wps:spPr>
                        <a:xfrm>
                          <a:off x="0" y="0"/>
                          <a:ext cx="6153785" cy="209550"/>
                        </a:xfrm>
                        <a:prstGeom prst="rect">
                          <a:avLst/>
                        </a:prstGeom>
                        <a:solidFill>
                          <a:prstClr val="white"/>
                        </a:solidFill>
                        <a:ln>
                          <a:noFill/>
                        </a:ln>
                      </wps:spPr>
                      <wps:txbx>
                        <w:txbxContent>
                          <w:p w14:paraId="3E005F87" w14:textId="62C5F59E" w:rsidR="00A224C1" w:rsidRDefault="00A224C1" w:rsidP="00DB5062">
                            <w:pPr>
                              <w:pStyle w:val="Caption"/>
                            </w:pPr>
                            <w:bookmarkStart w:id="379" w:name="_Toc49788757"/>
                            <w:r>
                              <w:t xml:space="preserve">Appendix Table 1:  </w:t>
                            </w:r>
                            <w:bookmarkEnd w:id="379"/>
                            <w:r>
                              <w:t>Emission Types in COG Inventories Compared to Protocol Requirements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867BB" id="_x0000_t202" coordsize="21600,21600" o:spt="202" path="m,l,21600r21600,l21600,xe">
                <v:stroke joinstyle="miter"/>
                <v:path gradientshapeok="t" o:connecttype="rect"/>
              </v:shapetype>
              <v:shape id="Text Box 55" o:spid="_x0000_s1026" type="#_x0000_t202" style="position:absolute;margin-left:3.1pt;margin-top:17.75pt;width:484.55pt;height:1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" stroked="f">
                <v:textbox inset="0,0,0,0">
                  <w:txbxContent>
                    <w:p w14:paraId="3E005F87" w14:textId="62C5F59E" w:rsidR="00A224C1" w:rsidRDefault="00A224C1" w:rsidP="00DB5062">
                      <w:pPr>
                        <w:pStyle w:val="Caption"/>
                      </w:pPr>
                      <w:bookmarkStart w:id="380" w:name="_Toc49788757"/>
                      <w:r>
                        <w:t xml:space="preserve">Appendix Table 1:  </w:t>
                      </w:r>
                      <w:bookmarkEnd w:id="380"/>
                      <w:r>
                        <w:t>Emission Types in COG Inventories Compared to Protocol Requirements</w:t>
                      </w:r>
                    </w:p>
                  </w:txbxContent>
                </v:textbox>
                <w10:wrap type="tight" anchorx="margin"/>
              </v:shape>
            </w:pict>
          </mc:Fallback>
        </mc:AlternateContent>
      </w:r>
    </w:p>
    <w:tbl>
      <w:tblPr>
        <w:tblpPr w:leftFromText="180" w:rightFromText="180" w:vertAnchor="text" w:tblpY="1"/>
        <w:tblOverlap w:val="neve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050"/>
        <w:gridCol w:w="1800"/>
        <w:gridCol w:w="1800"/>
        <w:gridCol w:w="1710"/>
      </w:tblGrid>
      <w:tr w:rsidR="00E32D5D" w14:paraId="0BE6B155" w14:textId="77777777" w:rsidTr="002D225C">
        <w:trPr>
          <w:trHeight w:val="358"/>
        </w:trPr>
        <w:tc>
          <w:tcPr>
            <w:tcW w:w="3050" w:type="dxa"/>
            <w:shd w:val="clear" w:color="auto" w:fill="2F6B97"/>
            <w:tcMar>
              <w:top w:w="72" w:type="dxa"/>
              <w:left w:w="144" w:type="dxa"/>
              <w:bottom w:w="72" w:type="dxa"/>
              <w:right w:w="144" w:type="dxa"/>
            </w:tcMar>
            <w:hideMark/>
          </w:tcPr>
          <w:p w14:paraId="70C2A000" w14:textId="77777777" w:rsidR="00E32D5D" w:rsidRDefault="00E32D5D">
            <w:pPr>
              <w:pStyle w:val="BodyText-COG"/>
              <w:rPr>
                <w:color w:val="FFFFFF" w:themeColor="background1"/>
              </w:rPr>
            </w:pPr>
            <w:r>
              <w:rPr>
                <w:b/>
                <w:bCs/>
                <w:color w:val="FFFFFF" w:themeColor="background1"/>
              </w:rPr>
              <w:t xml:space="preserve">Emissions Types  </w:t>
            </w:r>
          </w:p>
        </w:tc>
        <w:tc>
          <w:tcPr>
            <w:tcW w:w="1800" w:type="dxa"/>
            <w:shd w:val="clear" w:color="auto" w:fill="2F6B97"/>
            <w:hideMark/>
          </w:tcPr>
          <w:p w14:paraId="75810C91" w14:textId="77777777" w:rsidR="00E32D5D" w:rsidRDefault="00E32D5D">
            <w:pPr>
              <w:pStyle w:val="BodyText-COG"/>
              <w:jc w:val="center"/>
              <w:rPr>
                <w:b/>
                <w:bCs/>
                <w:color w:val="FFFFFF" w:themeColor="background1"/>
              </w:rPr>
            </w:pPr>
            <w:r>
              <w:rPr>
                <w:b/>
                <w:bCs/>
                <w:color w:val="FFFFFF" w:themeColor="background1"/>
              </w:rPr>
              <w:t>COG Inventory?</w:t>
            </w:r>
          </w:p>
        </w:tc>
        <w:tc>
          <w:tcPr>
            <w:tcW w:w="1800" w:type="dxa"/>
            <w:shd w:val="clear" w:color="auto" w:fill="2F6B97"/>
            <w:hideMark/>
          </w:tcPr>
          <w:p w14:paraId="72CC1E85" w14:textId="77777777" w:rsidR="00E32D5D" w:rsidRDefault="00E32D5D">
            <w:pPr>
              <w:pStyle w:val="BodyText-COG"/>
              <w:jc w:val="center"/>
              <w:rPr>
                <w:b/>
                <w:bCs/>
                <w:color w:val="FFFFFF" w:themeColor="background1"/>
              </w:rPr>
            </w:pPr>
            <w:r>
              <w:rPr>
                <w:b/>
                <w:bCs/>
                <w:color w:val="FFFFFF" w:themeColor="background1"/>
              </w:rPr>
              <w:t>USCP Required?</w:t>
            </w:r>
          </w:p>
        </w:tc>
        <w:tc>
          <w:tcPr>
            <w:tcW w:w="1710" w:type="dxa"/>
            <w:shd w:val="clear" w:color="auto" w:fill="2F6B97"/>
            <w:hideMark/>
          </w:tcPr>
          <w:p w14:paraId="1BBBBA4C" w14:textId="77777777" w:rsidR="00E32D5D" w:rsidRDefault="00E32D5D">
            <w:pPr>
              <w:pStyle w:val="BodyText-COG"/>
              <w:jc w:val="center"/>
              <w:rPr>
                <w:b/>
                <w:bCs/>
                <w:color w:val="FFFFFF" w:themeColor="background1"/>
              </w:rPr>
            </w:pPr>
            <w:r>
              <w:rPr>
                <w:b/>
                <w:bCs/>
                <w:color w:val="FFFFFF" w:themeColor="background1"/>
              </w:rPr>
              <w:t>GPC Required?</w:t>
            </w:r>
          </w:p>
        </w:tc>
      </w:tr>
      <w:tr w:rsidR="00E32D5D" w14:paraId="64FD25D2" w14:textId="77777777" w:rsidTr="00081CF5">
        <w:trPr>
          <w:trHeight w:val="318"/>
        </w:trPr>
        <w:tc>
          <w:tcPr>
            <w:tcW w:w="3050" w:type="dxa"/>
            <w:shd w:val="clear" w:color="auto" w:fill="auto"/>
            <w:tcMar>
              <w:top w:w="72" w:type="dxa"/>
              <w:left w:w="144" w:type="dxa"/>
              <w:bottom w:w="72" w:type="dxa"/>
              <w:right w:w="144" w:type="dxa"/>
            </w:tcMar>
            <w:hideMark/>
          </w:tcPr>
          <w:p w14:paraId="2C2DB471" w14:textId="77777777" w:rsidR="00E32D5D" w:rsidRDefault="00E32D5D">
            <w:pPr>
              <w:pStyle w:val="BodyText-COG"/>
            </w:pPr>
            <w:r>
              <w:t>Built Environment</w:t>
            </w:r>
          </w:p>
        </w:tc>
        <w:tc>
          <w:tcPr>
            <w:tcW w:w="1800" w:type="dxa"/>
            <w:shd w:val="clear" w:color="auto" w:fill="auto"/>
            <w:hideMark/>
          </w:tcPr>
          <w:p w14:paraId="70700D1E" w14:textId="77777777" w:rsidR="00E32D5D" w:rsidRDefault="00E32D5D">
            <w:pPr>
              <w:pStyle w:val="BodyText-COG"/>
              <w:jc w:val="center"/>
              <w:rPr>
                <w:rFonts w:ascii="Franklin Gothic Medium" w:hAnsi="Franklin Gothic Medium"/>
                <w:b/>
                <w:color w:val="00B050"/>
                <w:sz w:val="24"/>
              </w:rPr>
            </w:pPr>
            <w:r>
              <w:rPr>
                <w:rFonts w:ascii="Franklin Gothic Medium" w:hAnsi="Franklin Gothic Medium"/>
                <w:b/>
                <w:color w:val="00B050"/>
                <w:sz w:val="24"/>
              </w:rPr>
              <w:t>√</w:t>
            </w:r>
          </w:p>
        </w:tc>
        <w:tc>
          <w:tcPr>
            <w:tcW w:w="1800" w:type="dxa"/>
            <w:shd w:val="clear" w:color="auto" w:fill="auto"/>
            <w:hideMark/>
          </w:tcPr>
          <w:p w14:paraId="15B42F56" w14:textId="77777777" w:rsidR="00E32D5D" w:rsidRDefault="00E32D5D">
            <w:pPr>
              <w:pStyle w:val="BodyText-COG"/>
              <w:jc w:val="center"/>
              <w:rPr>
                <w:rFonts w:ascii="Franklin Gothic Medium" w:hAnsi="Franklin Gothic Medium"/>
                <w:b/>
              </w:rPr>
            </w:pPr>
            <w:r>
              <w:rPr>
                <w:rFonts w:ascii="Franklin Gothic Medium" w:hAnsi="Franklin Gothic Medium"/>
                <w:b/>
                <w:color w:val="00B050"/>
                <w:sz w:val="24"/>
              </w:rPr>
              <w:t>√</w:t>
            </w:r>
          </w:p>
        </w:tc>
        <w:tc>
          <w:tcPr>
            <w:tcW w:w="1710" w:type="dxa"/>
            <w:shd w:val="clear" w:color="auto" w:fill="auto"/>
            <w:hideMark/>
          </w:tcPr>
          <w:p w14:paraId="3C88BE66" w14:textId="77777777" w:rsidR="00E32D5D" w:rsidRDefault="00E32D5D">
            <w:pPr>
              <w:pStyle w:val="BodyText-COG"/>
              <w:jc w:val="center"/>
            </w:pPr>
            <w:r>
              <w:rPr>
                <w:rFonts w:ascii="Franklin Gothic Medium" w:hAnsi="Franklin Gothic Medium"/>
                <w:b/>
                <w:color w:val="00B050"/>
                <w:sz w:val="24"/>
              </w:rPr>
              <w:t>√</w:t>
            </w:r>
          </w:p>
        </w:tc>
      </w:tr>
      <w:tr w:rsidR="00E32D5D" w14:paraId="1E0845D9" w14:textId="77777777" w:rsidTr="002D225C">
        <w:trPr>
          <w:trHeight w:val="286"/>
        </w:trPr>
        <w:tc>
          <w:tcPr>
            <w:tcW w:w="3050" w:type="dxa"/>
            <w:shd w:val="clear" w:color="auto" w:fill="E8EBEF"/>
            <w:tcMar>
              <w:top w:w="72" w:type="dxa"/>
              <w:left w:w="144" w:type="dxa"/>
              <w:bottom w:w="72" w:type="dxa"/>
              <w:right w:w="144" w:type="dxa"/>
            </w:tcMar>
            <w:hideMark/>
          </w:tcPr>
          <w:p w14:paraId="5EA0D02A" w14:textId="77777777" w:rsidR="00E32D5D" w:rsidRDefault="00E32D5D">
            <w:pPr>
              <w:pStyle w:val="BodyText-COG"/>
            </w:pPr>
            <w:r>
              <w:t>Transportation and Mobile</w:t>
            </w:r>
          </w:p>
        </w:tc>
        <w:tc>
          <w:tcPr>
            <w:tcW w:w="1800" w:type="dxa"/>
            <w:shd w:val="clear" w:color="auto" w:fill="E8EBEF"/>
            <w:hideMark/>
          </w:tcPr>
          <w:p w14:paraId="5A5EC428" w14:textId="77777777" w:rsidR="00E32D5D" w:rsidRDefault="00E32D5D">
            <w:pPr>
              <w:pStyle w:val="BodyText-COG"/>
              <w:jc w:val="center"/>
              <w:rPr>
                <w:rFonts w:ascii="Franklin Gothic Medium" w:hAnsi="Franklin Gothic Medium"/>
                <w:b/>
                <w:color w:val="00B050"/>
                <w:sz w:val="24"/>
              </w:rPr>
            </w:pPr>
            <w:r>
              <w:rPr>
                <w:rFonts w:ascii="Franklin Gothic Medium" w:hAnsi="Franklin Gothic Medium"/>
                <w:b/>
                <w:color w:val="00B050"/>
                <w:sz w:val="24"/>
              </w:rPr>
              <w:t>√</w:t>
            </w:r>
          </w:p>
        </w:tc>
        <w:tc>
          <w:tcPr>
            <w:tcW w:w="1800" w:type="dxa"/>
            <w:shd w:val="clear" w:color="auto" w:fill="E8EBEF"/>
            <w:hideMark/>
          </w:tcPr>
          <w:p w14:paraId="009817C3" w14:textId="77777777" w:rsidR="00E32D5D" w:rsidRDefault="00E32D5D">
            <w:pPr>
              <w:pStyle w:val="BodyText-COG"/>
              <w:jc w:val="center"/>
            </w:pPr>
            <w:r>
              <w:rPr>
                <w:rFonts w:ascii="Franklin Gothic Medium" w:hAnsi="Franklin Gothic Medium"/>
                <w:b/>
                <w:color w:val="00B050"/>
                <w:sz w:val="24"/>
              </w:rPr>
              <w:t>√</w:t>
            </w:r>
          </w:p>
        </w:tc>
        <w:tc>
          <w:tcPr>
            <w:tcW w:w="1710" w:type="dxa"/>
            <w:shd w:val="clear" w:color="auto" w:fill="E8EBEF"/>
            <w:hideMark/>
          </w:tcPr>
          <w:p w14:paraId="65D45686" w14:textId="77777777" w:rsidR="00E32D5D" w:rsidRDefault="00E32D5D">
            <w:pPr>
              <w:pStyle w:val="BodyText-COG"/>
              <w:jc w:val="center"/>
            </w:pPr>
            <w:r>
              <w:rPr>
                <w:rFonts w:ascii="Franklin Gothic Medium" w:hAnsi="Franklin Gothic Medium"/>
                <w:b/>
                <w:color w:val="00B050"/>
                <w:sz w:val="24"/>
              </w:rPr>
              <w:t>√</w:t>
            </w:r>
          </w:p>
        </w:tc>
      </w:tr>
      <w:tr w:rsidR="00E32D5D" w14:paraId="4029E61E" w14:textId="77777777" w:rsidTr="00081CF5">
        <w:trPr>
          <w:trHeight w:val="286"/>
        </w:trPr>
        <w:tc>
          <w:tcPr>
            <w:tcW w:w="3050" w:type="dxa"/>
            <w:shd w:val="clear" w:color="auto" w:fill="auto"/>
            <w:tcMar>
              <w:top w:w="72" w:type="dxa"/>
              <w:left w:w="144" w:type="dxa"/>
              <w:bottom w:w="72" w:type="dxa"/>
              <w:right w:w="144" w:type="dxa"/>
            </w:tcMar>
            <w:hideMark/>
          </w:tcPr>
          <w:p w14:paraId="3E6C5BBE" w14:textId="77777777" w:rsidR="00E32D5D" w:rsidRDefault="00E32D5D">
            <w:pPr>
              <w:pStyle w:val="BodyText-COG"/>
            </w:pPr>
            <w:r>
              <w:t>Wastewater Treatment</w:t>
            </w:r>
          </w:p>
        </w:tc>
        <w:tc>
          <w:tcPr>
            <w:tcW w:w="1800" w:type="dxa"/>
            <w:shd w:val="clear" w:color="auto" w:fill="auto"/>
            <w:hideMark/>
          </w:tcPr>
          <w:p w14:paraId="5E084D8E" w14:textId="77777777" w:rsidR="00E32D5D" w:rsidRDefault="00E32D5D">
            <w:pPr>
              <w:pStyle w:val="BodyText-COG"/>
              <w:jc w:val="center"/>
              <w:rPr>
                <w:rFonts w:ascii="Franklin Gothic Medium" w:hAnsi="Franklin Gothic Medium"/>
                <w:b/>
                <w:color w:val="00B050"/>
                <w:sz w:val="24"/>
              </w:rPr>
            </w:pPr>
            <w:r>
              <w:rPr>
                <w:rFonts w:ascii="Franklin Gothic Medium" w:hAnsi="Franklin Gothic Medium"/>
                <w:b/>
                <w:color w:val="00B050"/>
                <w:sz w:val="24"/>
              </w:rPr>
              <w:t>√</w:t>
            </w:r>
          </w:p>
        </w:tc>
        <w:tc>
          <w:tcPr>
            <w:tcW w:w="1800" w:type="dxa"/>
            <w:shd w:val="clear" w:color="auto" w:fill="auto"/>
            <w:hideMark/>
          </w:tcPr>
          <w:p w14:paraId="7F943000" w14:textId="77777777" w:rsidR="00E32D5D" w:rsidRDefault="00E32D5D">
            <w:pPr>
              <w:pStyle w:val="BodyText-COG"/>
              <w:jc w:val="center"/>
            </w:pPr>
            <w:r>
              <w:rPr>
                <w:rFonts w:ascii="Franklin Gothic Medium" w:hAnsi="Franklin Gothic Medium"/>
                <w:b/>
                <w:color w:val="00B050"/>
                <w:sz w:val="24"/>
              </w:rPr>
              <w:t>√</w:t>
            </w:r>
          </w:p>
        </w:tc>
        <w:tc>
          <w:tcPr>
            <w:tcW w:w="1710" w:type="dxa"/>
            <w:shd w:val="clear" w:color="auto" w:fill="auto"/>
            <w:hideMark/>
          </w:tcPr>
          <w:p w14:paraId="73027405" w14:textId="77777777" w:rsidR="00E32D5D" w:rsidRDefault="00E32D5D">
            <w:pPr>
              <w:pStyle w:val="BodyText-COG"/>
              <w:jc w:val="center"/>
            </w:pPr>
            <w:r>
              <w:rPr>
                <w:rFonts w:ascii="Franklin Gothic Medium" w:hAnsi="Franklin Gothic Medium"/>
                <w:b/>
                <w:color w:val="00B050"/>
                <w:sz w:val="24"/>
              </w:rPr>
              <w:t>√</w:t>
            </w:r>
          </w:p>
        </w:tc>
      </w:tr>
      <w:tr w:rsidR="00E32D5D" w14:paraId="39D0C241" w14:textId="77777777" w:rsidTr="002D225C">
        <w:trPr>
          <w:trHeight w:val="286"/>
        </w:trPr>
        <w:tc>
          <w:tcPr>
            <w:tcW w:w="3050" w:type="dxa"/>
            <w:shd w:val="clear" w:color="auto" w:fill="E8EBEF"/>
            <w:tcMar>
              <w:top w:w="72" w:type="dxa"/>
              <w:left w:w="144" w:type="dxa"/>
              <w:bottom w:w="72" w:type="dxa"/>
              <w:right w:w="144" w:type="dxa"/>
            </w:tcMar>
            <w:hideMark/>
          </w:tcPr>
          <w:p w14:paraId="226DE1F2" w14:textId="77777777" w:rsidR="00E32D5D" w:rsidRDefault="00E32D5D">
            <w:pPr>
              <w:pStyle w:val="BodyText-COG"/>
            </w:pPr>
            <w:r>
              <w:t xml:space="preserve">Agriculture </w:t>
            </w:r>
          </w:p>
        </w:tc>
        <w:tc>
          <w:tcPr>
            <w:tcW w:w="1800" w:type="dxa"/>
            <w:shd w:val="clear" w:color="auto" w:fill="E8EBEF"/>
            <w:hideMark/>
          </w:tcPr>
          <w:p w14:paraId="6C81BA9B" w14:textId="77777777" w:rsidR="00E32D5D" w:rsidRDefault="00E32D5D">
            <w:pPr>
              <w:pStyle w:val="BodyText-COG"/>
              <w:jc w:val="center"/>
              <w:rPr>
                <w:rFonts w:ascii="Franklin Gothic Medium" w:hAnsi="Franklin Gothic Medium"/>
                <w:color w:val="FF0000"/>
                <w:sz w:val="24"/>
              </w:rPr>
            </w:pPr>
            <w:r>
              <w:rPr>
                <w:rFonts w:ascii="Franklin Gothic Medium" w:hAnsi="Franklin Gothic Medium"/>
                <w:b/>
                <w:color w:val="00B050"/>
                <w:sz w:val="24"/>
              </w:rPr>
              <w:t>√</w:t>
            </w:r>
          </w:p>
        </w:tc>
        <w:tc>
          <w:tcPr>
            <w:tcW w:w="1800" w:type="dxa"/>
            <w:shd w:val="clear" w:color="auto" w:fill="E8EBEF"/>
            <w:hideMark/>
          </w:tcPr>
          <w:p w14:paraId="47E0C744" w14:textId="77777777" w:rsidR="00E32D5D" w:rsidRDefault="00E32D5D">
            <w:pPr>
              <w:pStyle w:val="BodyText-COG"/>
              <w:jc w:val="center"/>
              <w:rPr>
                <w:rFonts w:ascii="Franklin Gothic Medium" w:hAnsi="Franklin Gothic Medium"/>
              </w:rPr>
            </w:pPr>
            <w:r>
              <w:rPr>
                <w:rFonts w:ascii="Franklin Gothic Medium" w:hAnsi="Franklin Gothic Medium"/>
                <w:color w:val="FF0000"/>
                <w:sz w:val="24"/>
              </w:rPr>
              <w:t>X</w:t>
            </w:r>
          </w:p>
        </w:tc>
        <w:tc>
          <w:tcPr>
            <w:tcW w:w="1710" w:type="dxa"/>
            <w:shd w:val="clear" w:color="auto" w:fill="E8EBEF"/>
            <w:hideMark/>
          </w:tcPr>
          <w:p w14:paraId="15495864" w14:textId="77777777" w:rsidR="00E32D5D" w:rsidRDefault="00E32D5D">
            <w:pPr>
              <w:pStyle w:val="BodyText-COG"/>
              <w:jc w:val="center"/>
            </w:pPr>
            <w:r>
              <w:rPr>
                <w:rFonts w:ascii="Franklin Gothic Medium" w:hAnsi="Franklin Gothic Medium"/>
                <w:color w:val="FF0000"/>
                <w:sz w:val="24"/>
              </w:rPr>
              <w:t>X</w:t>
            </w:r>
          </w:p>
        </w:tc>
      </w:tr>
      <w:tr w:rsidR="00E32D5D" w14:paraId="4FC8D8B0" w14:textId="77777777" w:rsidTr="00081CF5">
        <w:trPr>
          <w:trHeight w:val="376"/>
        </w:trPr>
        <w:tc>
          <w:tcPr>
            <w:tcW w:w="3050" w:type="dxa"/>
            <w:shd w:val="clear" w:color="auto" w:fill="auto"/>
            <w:tcMar>
              <w:top w:w="72" w:type="dxa"/>
              <w:left w:w="144" w:type="dxa"/>
              <w:bottom w:w="72" w:type="dxa"/>
              <w:right w:w="144" w:type="dxa"/>
            </w:tcMar>
            <w:hideMark/>
          </w:tcPr>
          <w:p w14:paraId="18B90DDC" w14:textId="77777777" w:rsidR="00E32D5D" w:rsidRDefault="00E32D5D">
            <w:pPr>
              <w:pStyle w:val="BodyText-COG"/>
            </w:pPr>
            <w:r>
              <w:t>Solid Waste Treatment</w:t>
            </w:r>
          </w:p>
        </w:tc>
        <w:tc>
          <w:tcPr>
            <w:tcW w:w="1800" w:type="dxa"/>
            <w:shd w:val="clear" w:color="auto" w:fill="auto"/>
            <w:hideMark/>
          </w:tcPr>
          <w:p w14:paraId="0E556706" w14:textId="77777777" w:rsidR="00E32D5D" w:rsidRDefault="00E32D5D">
            <w:pPr>
              <w:pStyle w:val="BodyText-COG"/>
              <w:jc w:val="center"/>
              <w:rPr>
                <w:rFonts w:ascii="Franklin Gothic Medium" w:hAnsi="Franklin Gothic Medium"/>
                <w:b/>
                <w:color w:val="00B050"/>
                <w:sz w:val="24"/>
              </w:rPr>
            </w:pPr>
            <w:r>
              <w:rPr>
                <w:rFonts w:ascii="Franklin Gothic Medium" w:hAnsi="Franklin Gothic Medium"/>
                <w:b/>
                <w:color w:val="00B050"/>
                <w:sz w:val="24"/>
              </w:rPr>
              <w:t>√</w:t>
            </w:r>
          </w:p>
        </w:tc>
        <w:tc>
          <w:tcPr>
            <w:tcW w:w="1800" w:type="dxa"/>
            <w:shd w:val="clear" w:color="auto" w:fill="auto"/>
            <w:hideMark/>
          </w:tcPr>
          <w:p w14:paraId="7D5E0A32" w14:textId="77777777" w:rsidR="00E32D5D" w:rsidRDefault="00E32D5D">
            <w:pPr>
              <w:pStyle w:val="BodyText-COG"/>
              <w:jc w:val="center"/>
            </w:pPr>
            <w:r>
              <w:rPr>
                <w:rFonts w:ascii="Franklin Gothic Medium" w:hAnsi="Franklin Gothic Medium"/>
                <w:b/>
                <w:color w:val="00B050"/>
                <w:sz w:val="24"/>
              </w:rPr>
              <w:t>√</w:t>
            </w:r>
          </w:p>
        </w:tc>
        <w:tc>
          <w:tcPr>
            <w:tcW w:w="1710" w:type="dxa"/>
            <w:shd w:val="clear" w:color="auto" w:fill="auto"/>
            <w:hideMark/>
          </w:tcPr>
          <w:p w14:paraId="1BBA2923" w14:textId="77777777" w:rsidR="00E32D5D" w:rsidRDefault="00E32D5D">
            <w:pPr>
              <w:pStyle w:val="BodyText-COG"/>
              <w:jc w:val="center"/>
            </w:pPr>
            <w:r>
              <w:rPr>
                <w:rFonts w:ascii="Franklin Gothic Medium" w:hAnsi="Franklin Gothic Medium"/>
                <w:b/>
                <w:color w:val="00B050"/>
                <w:sz w:val="24"/>
              </w:rPr>
              <w:t>√</w:t>
            </w:r>
          </w:p>
        </w:tc>
      </w:tr>
      <w:tr w:rsidR="00E32D5D" w14:paraId="149E6380" w14:textId="77777777" w:rsidTr="002D225C">
        <w:trPr>
          <w:trHeight w:val="286"/>
        </w:trPr>
        <w:tc>
          <w:tcPr>
            <w:tcW w:w="3050" w:type="dxa"/>
            <w:shd w:val="clear" w:color="auto" w:fill="E8EBEF"/>
            <w:tcMar>
              <w:top w:w="72" w:type="dxa"/>
              <w:left w:w="144" w:type="dxa"/>
              <w:bottom w:w="72" w:type="dxa"/>
              <w:right w:w="144" w:type="dxa"/>
            </w:tcMar>
            <w:hideMark/>
          </w:tcPr>
          <w:p w14:paraId="672DC1E2" w14:textId="77777777" w:rsidR="00E32D5D" w:rsidRDefault="00E32D5D">
            <w:pPr>
              <w:pStyle w:val="BodyText-COG"/>
            </w:pPr>
            <w:r>
              <w:t xml:space="preserve">Some Process and Fugitive </w:t>
            </w:r>
          </w:p>
        </w:tc>
        <w:tc>
          <w:tcPr>
            <w:tcW w:w="1800" w:type="dxa"/>
            <w:shd w:val="clear" w:color="auto" w:fill="E8EBEF"/>
            <w:hideMark/>
          </w:tcPr>
          <w:p w14:paraId="6173F528" w14:textId="77777777" w:rsidR="00E32D5D" w:rsidRDefault="00E32D5D">
            <w:pPr>
              <w:pStyle w:val="BodyText-COG"/>
              <w:jc w:val="center"/>
              <w:rPr>
                <w:rFonts w:ascii="Franklin Gothic Medium" w:hAnsi="Franklin Gothic Medium"/>
                <w:color w:val="FF0000"/>
                <w:sz w:val="24"/>
              </w:rPr>
            </w:pPr>
            <w:r>
              <w:rPr>
                <w:rFonts w:ascii="Franklin Gothic Medium" w:hAnsi="Franklin Gothic Medium"/>
                <w:b/>
                <w:color w:val="00B050"/>
                <w:sz w:val="24"/>
              </w:rPr>
              <w:t>√</w:t>
            </w:r>
          </w:p>
        </w:tc>
        <w:tc>
          <w:tcPr>
            <w:tcW w:w="1800" w:type="dxa"/>
            <w:shd w:val="clear" w:color="auto" w:fill="E8EBEF"/>
            <w:hideMark/>
          </w:tcPr>
          <w:p w14:paraId="3890FB9D" w14:textId="77777777" w:rsidR="00E32D5D" w:rsidRDefault="00E32D5D">
            <w:pPr>
              <w:pStyle w:val="BodyText-COG"/>
              <w:jc w:val="center"/>
            </w:pPr>
            <w:r>
              <w:rPr>
                <w:rFonts w:ascii="Franklin Gothic Medium" w:hAnsi="Franklin Gothic Medium"/>
                <w:color w:val="FF0000"/>
                <w:sz w:val="24"/>
              </w:rPr>
              <w:t>X</w:t>
            </w:r>
          </w:p>
        </w:tc>
        <w:tc>
          <w:tcPr>
            <w:tcW w:w="1710" w:type="dxa"/>
            <w:shd w:val="clear" w:color="auto" w:fill="E8EBEF"/>
            <w:hideMark/>
          </w:tcPr>
          <w:p w14:paraId="2D118815" w14:textId="77777777" w:rsidR="00E32D5D" w:rsidRDefault="00E32D5D">
            <w:pPr>
              <w:pStyle w:val="BodyText-COG"/>
              <w:jc w:val="center"/>
            </w:pPr>
            <w:r>
              <w:rPr>
                <w:rFonts w:ascii="Franklin Gothic Medium" w:hAnsi="Franklin Gothic Medium"/>
                <w:b/>
                <w:color w:val="00B050"/>
                <w:sz w:val="24"/>
              </w:rPr>
              <w:t>√</w:t>
            </w:r>
          </w:p>
        </w:tc>
      </w:tr>
    </w:tbl>
    <w:p w14:paraId="1B5BDF1F" w14:textId="77777777" w:rsidR="00E32D5D" w:rsidRDefault="00E32D5D" w:rsidP="00E32D5D">
      <w:pPr>
        <w:pStyle w:val="BodyText-COG"/>
      </w:pPr>
      <w:r>
        <w:br w:type="textWrapping" w:clear="all"/>
      </w:r>
    </w:p>
    <w:p w14:paraId="2E8B75E4" w14:textId="77777777" w:rsidR="00E32D5D" w:rsidRDefault="00E32D5D" w:rsidP="00E32D5D">
      <w:pPr>
        <w:pStyle w:val="BodyText-COG"/>
        <w:spacing w:line="240" w:lineRule="auto"/>
      </w:pPr>
      <w:r>
        <w:t xml:space="preserve">These emission types are further broken down into 16 emissions activities and 22 separate inventory records that are calculated and added together to get total emissions by type and overall emissions. The gases calculated within these inventory records include carbon dioxide (CO2), methane (CH4), Nitrous oxide (N2O), Hydrofluorocarbons (HFCs), and Perfluorocarbons (PFCs).   </w:t>
      </w:r>
    </w:p>
    <w:p w14:paraId="37366633" w14:textId="77777777" w:rsidR="00E32D5D" w:rsidRDefault="00E32D5D" w:rsidP="00E32D5D">
      <w:pPr>
        <w:pStyle w:val="BodyText-COG"/>
      </w:pPr>
    </w:p>
    <w:p w14:paraId="3CFB791C" w14:textId="78AD0D16" w:rsidR="00E32D5D" w:rsidRDefault="00DB5062" w:rsidP="00E32D5D">
      <w:pPr>
        <w:pStyle w:val="BodyText-COG"/>
      </w:pPr>
      <w:r w:rsidRPr="00DB5062">
        <w:t>Appendix Table 2</w:t>
      </w:r>
      <w:r w:rsidR="00472133" w:rsidRPr="00DB5062">
        <w:t xml:space="preserve"> is a</w:t>
      </w:r>
      <w:r w:rsidR="00472133">
        <w:t xml:space="preserve"> </w:t>
      </w:r>
      <w:r w:rsidR="00E32D5D">
        <w:t xml:space="preserve">detailed table of the emission types, activities calculated, GHGs and methodologies covered, and data confidence levels.  </w:t>
      </w:r>
    </w:p>
    <w:p w14:paraId="1662050F" w14:textId="595E05A4" w:rsidR="00E32D5D" w:rsidRDefault="00E32D5D" w:rsidP="00E32D5D">
      <w:pPr>
        <w:pStyle w:val="BodyText-COG"/>
      </w:pPr>
    </w:p>
    <w:p w14:paraId="72347ED6" w14:textId="62F2BCE5" w:rsidR="00DB5062" w:rsidRDefault="00DB5062" w:rsidP="00E32D5D">
      <w:pPr>
        <w:pStyle w:val="BodyText-COG"/>
      </w:pPr>
    </w:p>
    <w:p w14:paraId="15457F6D" w14:textId="26363118" w:rsidR="00DB5062" w:rsidRDefault="00DB5062" w:rsidP="00E32D5D">
      <w:pPr>
        <w:pStyle w:val="BodyText-COG"/>
      </w:pPr>
    </w:p>
    <w:p w14:paraId="0C2E49A9" w14:textId="77777777" w:rsidR="00DB5062" w:rsidRDefault="00DB5062" w:rsidP="00E32D5D">
      <w:pPr>
        <w:pStyle w:val="BodyText-COG"/>
      </w:pPr>
    </w:p>
    <w:p w14:paraId="4EEE0964" w14:textId="77777777" w:rsidR="00DB5062" w:rsidRDefault="00DB5062" w:rsidP="00E32D5D">
      <w:pPr>
        <w:pStyle w:val="BodyText-COG"/>
      </w:pPr>
    </w:p>
    <w:p w14:paraId="04A5F977" w14:textId="77777777" w:rsidR="00DB5062" w:rsidRDefault="00DB5062" w:rsidP="00E32D5D">
      <w:pPr>
        <w:pStyle w:val="BodyText-COG"/>
      </w:pPr>
    </w:p>
    <w:p w14:paraId="75AB825E" w14:textId="77777777" w:rsidR="00DB5062" w:rsidRDefault="00DB5062" w:rsidP="00E32D5D">
      <w:pPr>
        <w:pStyle w:val="BodyText-COG"/>
      </w:pPr>
    </w:p>
    <w:p w14:paraId="605BC014" w14:textId="6E600BA4" w:rsidR="00DB5062" w:rsidRDefault="00DB5062" w:rsidP="00E32D5D">
      <w:pPr>
        <w:pStyle w:val="BodyText-COG"/>
      </w:pPr>
      <w:r w:rsidRPr="00DB5062">
        <w:rPr>
          <w:noProof/>
        </w:rPr>
        <w:lastRenderedPageBreak/>
        <w:drawing>
          <wp:anchor distT="0" distB="0" distL="114300" distR="114300" simplePos="0" relativeHeight="251659776" behindDoc="0" locked="0" layoutInCell="1" allowOverlap="1" wp14:anchorId="3AF2FE4E" wp14:editId="3F052392">
            <wp:simplePos x="0" y="0"/>
            <wp:positionH relativeFrom="column">
              <wp:posOffset>0</wp:posOffset>
            </wp:positionH>
            <wp:positionV relativeFrom="paragraph">
              <wp:posOffset>197899</wp:posOffset>
            </wp:positionV>
            <wp:extent cx="5943600" cy="712025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5943600" cy="7120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heme="minorHAnsi" w:hAnsi="Times New Roman" w:cs="Times New Roman"/>
          <w:noProof/>
          <w:color w:val="auto"/>
          <w:sz w:val="24"/>
        </w:rPr>
        <mc:AlternateContent>
          <mc:Choice Requires="wps">
            <w:drawing>
              <wp:anchor distT="0" distB="0" distL="114300" distR="114300" simplePos="0" relativeHeight="251658752" behindDoc="1" locked="0" layoutInCell="1" allowOverlap="1" wp14:anchorId="01E92C52" wp14:editId="0D4E6A0D">
                <wp:simplePos x="0" y="0"/>
                <wp:positionH relativeFrom="margin">
                  <wp:posOffset>0</wp:posOffset>
                </wp:positionH>
                <wp:positionV relativeFrom="paragraph">
                  <wp:posOffset>28</wp:posOffset>
                </wp:positionV>
                <wp:extent cx="6287135" cy="150495"/>
                <wp:effectExtent l="0" t="0" r="0" b="1905"/>
                <wp:wrapTight wrapText="bothSides">
                  <wp:wrapPolygon edited="0">
                    <wp:start x="0" y="0"/>
                    <wp:lineTo x="0" y="19139"/>
                    <wp:lineTo x="21532" y="19139"/>
                    <wp:lineTo x="21532"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287135" cy="150495"/>
                        </a:xfrm>
                        <a:prstGeom prst="rect">
                          <a:avLst/>
                        </a:prstGeom>
                        <a:solidFill>
                          <a:prstClr val="white"/>
                        </a:solidFill>
                        <a:ln>
                          <a:noFill/>
                        </a:ln>
                      </wps:spPr>
                      <wps:txbx>
                        <w:txbxContent>
                          <w:p w14:paraId="11A664F8" w14:textId="17A59972" w:rsidR="00A224C1" w:rsidRDefault="00A224C1" w:rsidP="00DB5062">
                            <w:pPr>
                              <w:pStyle w:val="Caption"/>
                            </w:pPr>
                            <w:r>
                              <w:t xml:space="preserve">Appendix Table 2:  Methodology Summary Table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92C52" id="Text Box 5" o:spid="_x0000_s1027" type="#_x0000_t202" style="position:absolute;margin-left:0;margin-top:0;width:495.05pt;height:11.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" stroked="f">
                <v:textbox inset="0,0,0,0">
                  <w:txbxContent>
                    <w:p w14:paraId="11A664F8" w14:textId="17A59972" w:rsidR="00A224C1" w:rsidRDefault="00A224C1" w:rsidP="00DB5062">
                      <w:pPr>
                        <w:pStyle w:val="Caption"/>
                      </w:pPr>
                      <w:r>
                        <w:t xml:space="preserve">Appendix Table 2:  Methodology Summary Table </w:t>
                      </w:r>
                    </w:p>
                  </w:txbxContent>
                </v:textbox>
                <w10:wrap type="tight" anchorx="margin"/>
              </v:shape>
            </w:pict>
          </mc:Fallback>
        </mc:AlternateContent>
      </w:r>
    </w:p>
    <w:p w14:paraId="70F86D14" w14:textId="6D6C1835" w:rsidR="00533953" w:rsidRDefault="00533953" w:rsidP="00533953">
      <w:pPr>
        <w:pStyle w:val="BodyText-COG"/>
        <w:spacing w:line="240" w:lineRule="auto"/>
      </w:pPr>
    </w:p>
    <w:p w14:paraId="057D8C7C" w14:textId="007A9577" w:rsidR="00533953" w:rsidRDefault="00533953" w:rsidP="00533953">
      <w:pPr>
        <w:pStyle w:val="BodyText-COG"/>
        <w:spacing w:line="240" w:lineRule="auto"/>
      </w:pPr>
    </w:p>
    <w:p w14:paraId="3C831A08" w14:textId="484A511A" w:rsidR="00533953" w:rsidRDefault="00533953" w:rsidP="00533953">
      <w:pPr>
        <w:pStyle w:val="BodyText-COG"/>
        <w:spacing w:line="240" w:lineRule="auto"/>
      </w:pPr>
    </w:p>
    <w:p w14:paraId="0C8A8C76" w14:textId="5D0DD2AE" w:rsidR="00533953" w:rsidRDefault="00DB5062" w:rsidP="00533953">
      <w:pPr>
        <w:pStyle w:val="BodyText-COG"/>
        <w:spacing w:line="240" w:lineRule="auto"/>
      </w:pPr>
      <w:r w:rsidRPr="00DB5062">
        <w:rPr>
          <w:noProof/>
        </w:rPr>
        <w:lastRenderedPageBreak/>
        <w:drawing>
          <wp:inline distT="0" distB="0" distL="0" distR="0" wp14:anchorId="0DE4878F" wp14:editId="48552AB0">
            <wp:extent cx="5943600" cy="24237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943600" cy="2423795"/>
                    </a:xfrm>
                    <a:prstGeom prst="rect">
                      <a:avLst/>
                    </a:prstGeom>
                    <a:noFill/>
                    <a:ln>
                      <a:noFill/>
                    </a:ln>
                  </pic:spPr>
                </pic:pic>
              </a:graphicData>
            </a:graphic>
          </wp:inline>
        </w:drawing>
      </w:r>
    </w:p>
    <w:p w14:paraId="3A3B3F65" w14:textId="4A350508" w:rsidR="00533953" w:rsidRDefault="00533953" w:rsidP="00533953">
      <w:pPr>
        <w:pStyle w:val="BodyText-COG"/>
        <w:spacing w:line="240" w:lineRule="auto"/>
      </w:pPr>
    </w:p>
    <w:p w14:paraId="0DFBC5D5" w14:textId="6F0EDFFE" w:rsidR="00533953" w:rsidRDefault="00DB5062" w:rsidP="00533953">
      <w:pPr>
        <w:pStyle w:val="BodyText-COG"/>
        <w:spacing w:line="240" w:lineRule="auto"/>
      </w:pPr>
      <w:r>
        <w:rPr>
          <w:noProof/>
        </w:rPr>
        <w:drawing>
          <wp:anchor distT="0" distB="0" distL="114300" distR="114300" simplePos="0" relativeHeight="251655680" behindDoc="0" locked="0" layoutInCell="1" allowOverlap="1" wp14:anchorId="651611BD" wp14:editId="17632891">
            <wp:simplePos x="0" y="0"/>
            <wp:positionH relativeFrom="margin">
              <wp:posOffset>0</wp:posOffset>
            </wp:positionH>
            <wp:positionV relativeFrom="paragraph">
              <wp:posOffset>41137</wp:posOffset>
            </wp:positionV>
            <wp:extent cx="5067300" cy="21240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5067300" cy="2124075"/>
                    </a:xfrm>
                    <a:prstGeom prst="rect">
                      <a:avLst/>
                    </a:prstGeom>
                    <a:noFill/>
                  </pic:spPr>
                </pic:pic>
              </a:graphicData>
            </a:graphic>
            <wp14:sizeRelH relativeFrom="page">
              <wp14:pctWidth>0</wp14:pctWidth>
            </wp14:sizeRelH>
            <wp14:sizeRelV relativeFrom="page">
              <wp14:pctHeight>0</wp14:pctHeight>
            </wp14:sizeRelV>
          </wp:anchor>
        </w:drawing>
      </w:r>
    </w:p>
    <w:p w14:paraId="0EE14271" w14:textId="77777777" w:rsidR="00533953" w:rsidRDefault="00533953" w:rsidP="00533953">
      <w:pPr>
        <w:pStyle w:val="BodyText-COG"/>
        <w:spacing w:line="240" w:lineRule="auto"/>
      </w:pPr>
    </w:p>
    <w:p w14:paraId="72BE9628" w14:textId="77777777" w:rsidR="00533953" w:rsidRDefault="00533953" w:rsidP="00533953">
      <w:pPr>
        <w:pStyle w:val="BodyText-COG"/>
        <w:spacing w:line="240" w:lineRule="auto"/>
      </w:pPr>
    </w:p>
    <w:p w14:paraId="149363B6" w14:textId="77777777" w:rsidR="00533953" w:rsidRDefault="00533953" w:rsidP="00533953">
      <w:pPr>
        <w:pStyle w:val="BodyText-COG"/>
        <w:spacing w:line="240" w:lineRule="auto"/>
      </w:pPr>
    </w:p>
    <w:p w14:paraId="7564F53C" w14:textId="77777777" w:rsidR="00533953" w:rsidRDefault="00533953" w:rsidP="00533953">
      <w:pPr>
        <w:pStyle w:val="BodyText-COG"/>
        <w:spacing w:line="240" w:lineRule="auto"/>
      </w:pPr>
    </w:p>
    <w:p w14:paraId="3D2100DF" w14:textId="77777777" w:rsidR="00533953" w:rsidRDefault="00533953" w:rsidP="00533953">
      <w:pPr>
        <w:pStyle w:val="BodyText-COG"/>
        <w:spacing w:line="240" w:lineRule="auto"/>
      </w:pPr>
    </w:p>
    <w:p w14:paraId="362B5171" w14:textId="77777777" w:rsidR="00533953" w:rsidRDefault="00533953" w:rsidP="00533953">
      <w:pPr>
        <w:pStyle w:val="BodyText-COG"/>
        <w:spacing w:line="240" w:lineRule="auto"/>
      </w:pPr>
    </w:p>
    <w:p w14:paraId="36E01B24" w14:textId="77777777" w:rsidR="00533953" w:rsidRDefault="00533953" w:rsidP="00533953">
      <w:pPr>
        <w:pStyle w:val="BodyText-COG"/>
        <w:spacing w:line="240" w:lineRule="auto"/>
      </w:pPr>
    </w:p>
    <w:p w14:paraId="4E7E0BAB" w14:textId="77777777" w:rsidR="00533953" w:rsidRDefault="00533953" w:rsidP="00533953">
      <w:pPr>
        <w:pStyle w:val="BodyText-COG"/>
        <w:spacing w:line="240" w:lineRule="auto"/>
      </w:pPr>
    </w:p>
    <w:p w14:paraId="549285EC" w14:textId="77777777" w:rsidR="00533953" w:rsidRDefault="00533953" w:rsidP="00533953">
      <w:pPr>
        <w:pStyle w:val="BodyText-COG"/>
        <w:spacing w:line="240" w:lineRule="auto"/>
      </w:pPr>
    </w:p>
    <w:p w14:paraId="142890AB" w14:textId="77777777" w:rsidR="00533953" w:rsidRDefault="00533953" w:rsidP="00533953">
      <w:pPr>
        <w:pStyle w:val="BodyText-COG"/>
        <w:spacing w:line="240" w:lineRule="auto"/>
      </w:pPr>
    </w:p>
    <w:p w14:paraId="7342B31B" w14:textId="77777777" w:rsidR="00533953" w:rsidRDefault="00533953" w:rsidP="00533953">
      <w:pPr>
        <w:pStyle w:val="BodyText-COG"/>
        <w:spacing w:line="240" w:lineRule="auto"/>
      </w:pPr>
    </w:p>
    <w:p w14:paraId="60DDFB7B" w14:textId="77777777" w:rsidR="00533953" w:rsidRDefault="00533953" w:rsidP="00533953">
      <w:pPr>
        <w:pStyle w:val="BodyText-COG"/>
        <w:spacing w:line="240" w:lineRule="auto"/>
      </w:pPr>
    </w:p>
    <w:p w14:paraId="3F059472" w14:textId="77777777" w:rsidR="00533953" w:rsidRDefault="00533953" w:rsidP="00533953">
      <w:pPr>
        <w:pStyle w:val="BodyText-COG"/>
        <w:spacing w:line="240" w:lineRule="auto"/>
      </w:pPr>
    </w:p>
    <w:p w14:paraId="541CAF6E" w14:textId="77777777" w:rsidR="00533953" w:rsidRDefault="00533953" w:rsidP="00533953">
      <w:pPr>
        <w:pStyle w:val="BodyText-COG"/>
        <w:spacing w:line="240" w:lineRule="auto"/>
      </w:pPr>
    </w:p>
    <w:p w14:paraId="6B82FCE1" w14:textId="6E384FDC" w:rsidR="00533953" w:rsidRDefault="00533953" w:rsidP="00533953">
      <w:pPr>
        <w:pStyle w:val="BodyText-COG"/>
        <w:spacing w:line="240" w:lineRule="auto"/>
      </w:pPr>
      <w:r>
        <w:rPr>
          <w:noProof/>
        </w:rPr>
        <w:drawing>
          <wp:anchor distT="0" distB="0" distL="114300" distR="114300" simplePos="0" relativeHeight="251656704" behindDoc="0" locked="0" layoutInCell="1" allowOverlap="1" wp14:anchorId="1AB370BB" wp14:editId="480B2286">
            <wp:simplePos x="0" y="0"/>
            <wp:positionH relativeFrom="margin">
              <wp:align>left</wp:align>
            </wp:positionH>
            <wp:positionV relativeFrom="paragraph">
              <wp:posOffset>0</wp:posOffset>
            </wp:positionV>
            <wp:extent cx="5070475" cy="1038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070475" cy="1038225"/>
                    </a:xfrm>
                    <a:prstGeom prst="rect">
                      <a:avLst/>
                    </a:prstGeom>
                    <a:noFill/>
                  </pic:spPr>
                </pic:pic>
              </a:graphicData>
            </a:graphic>
            <wp14:sizeRelH relativeFrom="page">
              <wp14:pctWidth>0</wp14:pctWidth>
            </wp14:sizeRelH>
            <wp14:sizeRelV relativeFrom="page">
              <wp14:pctHeight>0</wp14:pctHeight>
            </wp14:sizeRelV>
          </wp:anchor>
        </w:drawing>
      </w:r>
    </w:p>
    <w:p w14:paraId="1B2C2F7D" w14:textId="77777777" w:rsidR="00533953" w:rsidRDefault="00533953" w:rsidP="00533953">
      <w:pPr>
        <w:pStyle w:val="BodyText-COG"/>
        <w:spacing w:line="240" w:lineRule="auto"/>
      </w:pPr>
    </w:p>
    <w:p w14:paraId="092689AF" w14:textId="77777777" w:rsidR="00533953" w:rsidRDefault="00533953" w:rsidP="00533953">
      <w:pPr>
        <w:pStyle w:val="BodyText-COG"/>
        <w:spacing w:line="240" w:lineRule="auto"/>
      </w:pPr>
    </w:p>
    <w:p w14:paraId="267CA5B0" w14:textId="77777777" w:rsidR="00533953" w:rsidRDefault="00533953" w:rsidP="00533953">
      <w:pPr>
        <w:pStyle w:val="BodyText-COG"/>
        <w:spacing w:line="240" w:lineRule="auto"/>
      </w:pPr>
    </w:p>
    <w:p w14:paraId="16ED23BC" w14:textId="77777777" w:rsidR="00533953" w:rsidRDefault="00533953" w:rsidP="00533953">
      <w:pPr>
        <w:pStyle w:val="BodyText-COG"/>
        <w:spacing w:line="240" w:lineRule="auto"/>
      </w:pPr>
    </w:p>
    <w:p w14:paraId="2280B220" w14:textId="77777777" w:rsidR="00533953" w:rsidRDefault="00533953" w:rsidP="00533953">
      <w:pPr>
        <w:pStyle w:val="BodyText-COG"/>
        <w:spacing w:line="240" w:lineRule="auto"/>
      </w:pPr>
    </w:p>
    <w:p w14:paraId="3E3E2C66" w14:textId="77777777" w:rsidR="00533953" w:rsidRDefault="00533953" w:rsidP="00533953">
      <w:pPr>
        <w:pStyle w:val="BodyText-COG"/>
        <w:spacing w:line="240" w:lineRule="auto"/>
      </w:pPr>
    </w:p>
    <w:p w14:paraId="723A166D" w14:textId="77777777" w:rsidR="00533953" w:rsidRDefault="00533953" w:rsidP="00533953">
      <w:pPr>
        <w:pStyle w:val="BodyText-COG"/>
        <w:spacing w:line="240" w:lineRule="auto"/>
        <w:rPr>
          <w:sz w:val="18"/>
        </w:rPr>
      </w:pPr>
      <w:r>
        <w:rPr>
          <w:sz w:val="18"/>
        </w:rPr>
        <w:t xml:space="preserve">Note: These notations were developed by the Global Communities Protocol and are also used by the U.S. Communities Protocol. See Version 1.1, 2012, Appendix B. </w:t>
      </w:r>
    </w:p>
    <w:p w14:paraId="569DE553" w14:textId="77777777" w:rsidR="00E32D5D" w:rsidRDefault="00E32D5D" w:rsidP="00E32D5D">
      <w:pPr>
        <w:pStyle w:val="BodyText-COG"/>
        <w:rPr>
          <w:highlight w:val="yellow"/>
        </w:rPr>
      </w:pPr>
    </w:p>
    <w:p w14:paraId="1AF81390" w14:textId="77777777" w:rsidR="00DB5062" w:rsidRDefault="00DB5062" w:rsidP="00E32D5D">
      <w:pPr>
        <w:pStyle w:val="Level2Head-COG"/>
        <w:spacing w:line="240" w:lineRule="auto"/>
      </w:pPr>
      <w:bookmarkStart w:id="381" w:name="_Toc535399902"/>
    </w:p>
    <w:p w14:paraId="0CE86DB4" w14:textId="77777777" w:rsidR="00DB5062" w:rsidRDefault="00DB5062" w:rsidP="00E32D5D">
      <w:pPr>
        <w:pStyle w:val="Level2Head-COG"/>
        <w:spacing w:line="240" w:lineRule="auto"/>
      </w:pPr>
    </w:p>
    <w:p w14:paraId="6D1B6487" w14:textId="77777777" w:rsidR="00DB5062" w:rsidRDefault="00DB5062" w:rsidP="00E32D5D">
      <w:pPr>
        <w:pStyle w:val="Level2Head-COG"/>
        <w:spacing w:line="240" w:lineRule="auto"/>
      </w:pPr>
    </w:p>
    <w:p w14:paraId="64C74FA1" w14:textId="77777777" w:rsidR="00DB5062" w:rsidRDefault="00DB5062" w:rsidP="00E32D5D">
      <w:pPr>
        <w:pStyle w:val="Level2Head-COG"/>
        <w:spacing w:line="240" w:lineRule="auto"/>
      </w:pPr>
    </w:p>
    <w:p w14:paraId="2D31CD25" w14:textId="77777777" w:rsidR="00DB5062" w:rsidRDefault="00DB5062" w:rsidP="00E32D5D">
      <w:pPr>
        <w:pStyle w:val="Level2Head-COG"/>
        <w:spacing w:line="240" w:lineRule="auto"/>
      </w:pPr>
    </w:p>
    <w:p w14:paraId="0273839D" w14:textId="4D46B8F1" w:rsidR="00E32D5D" w:rsidRDefault="00E32D5D" w:rsidP="00E32D5D">
      <w:pPr>
        <w:pStyle w:val="Level2Head-COG"/>
        <w:spacing w:line="240" w:lineRule="auto"/>
      </w:pPr>
      <w:bookmarkStart w:id="382" w:name="_Toc50968776"/>
      <w:bookmarkStart w:id="383" w:name="_Toc51077765"/>
      <w:r>
        <w:lastRenderedPageBreak/>
        <w:t>Process</w:t>
      </w:r>
      <w:bookmarkEnd w:id="381"/>
      <w:bookmarkEnd w:id="382"/>
      <w:bookmarkEnd w:id="383"/>
      <w:r>
        <w:t xml:space="preserve"> </w:t>
      </w:r>
    </w:p>
    <w:p w14:paraId="248CC513" w14:textId="77777777" w:rsidR="00E32D5D" w:rsidRDefault="00E32D5D" w:rsidP="00E32D5D">
      <w:pPr>
        <w:pStyle w:val="Level3Head-COG"/>
      </w:pPr>
      <w:bookmarkStart w:id="384" w:name="_Toc535399903"/>
      <w:bookmarkStart w:id="385" w:name="_Toc50968777"/>
      <w:bookmarkStart w:id="386" w:name="_Toc51077766"/>
      <w:r>
        <w:t>stakeholder engagement</w:t>
      </w:r>
      <w:bookmarkEnd w:id="384"/>
      <w:bookmarkEnd w:id="385"/>
      <w:bookmarkEnd w:id="386"/>
      <w:r>
        <w:t xml:space="preserve"> </w:t>
      </w:r>
    </w:p>
    <w:p w14:paraId="477135BB" w14:textId="206F2E14" w:rsidR="00E32D5D" w:rsidRDefault="00E32D5D" w:rsidP="00E32D5D">
      <w:pPr>
        <w:pStyle w:val="BodyText-COG"/>
        <w:spacing w:line="240" w:lineRule="auto"/>
      </w:pPr>
      <w:r>
        <w:t xml:space="preserve">COG needs to continue to work with its local government members to capture as accurate of a picture as possible for each community while providing consistent data inputs and methodologies across all communities. </w:t>
      </w:r>
      <w:proofErr w:type="gramStart"/>
      <w:r>
        <w:t>In order to</w:t>
      </w:r>
      <w:proofErr w:type="gramEnd"/>
      <w:r>
        <w:t xml:space="preserve"> accomplish this, COG staff needs to help members understand the existing process and methodologies, provide opportunities for their input on methodologies and the products, and support them on how they want to communicate results to their communities. The local government stakeholder engagement process include</w:t>
      </w:r>
      <w:r w:rsidR="00E575F9">
        <w:t>s</w:t>
      </w:r>
      <w:r>
        <w:t xml:space="preserve"> the following: </w:t>
      </w:r>
    </w:p>
    <w:p w14:paraId="5D2730E1" w14:textId="77777777" w:rsidR="00E32D5D" w:rsidRDefault="00E32D5D" w:rsidP="00E32D5D">
      <w:pPr>
        <w:pStyle w:val="BodyText-COG"/>
        <w:spacing w:line="240" w:lineRule="auto"/>
      </w:pPr>
    </w:p>
    <w:p w14:paraId="438B21CC" w14:textId="77777777" w:rsidR="00E32D5D" w:rsidRDefault="00E32D5D" w:rsidP="00EC12DE">
      <w:pPr>
        <w:pStyle w:val="BodyText-COG"/>
        <w:numPr>
          <w:ilvl w:val="0"/>
          <w:numId w:val="27"/>
        </w:numPr>
        <w:spacing w:line="240" w:lineRule="auto"/>
      </w:pPr>
      <w:r>
        <w:t xml:space="preserve">Make COG members aware of the inventory procedure at the beginning of the process and listen to and address any questions/comments/concerns. Discuss any new priorities that need to be considered, potential methodology refinements, etc. from COG members. </w:t>
      </w:r>
    </w:p>
    <w:p w14:paraId="4B9C64D4" w14:textId="77777777" w:rsidR="00E32D5D" w:rsidRDefault="00E32D5D" w:rsidP="00EC12DE">
      <w:pPr>
        <w:pStyle w:val="BodyText-COG"/>
        <w:numPr>
          <w:ilvl w:val="0"/>
          <w:numId w:val="27"/>
        </w:numPr>
        <w:spacing w:line="240" w:lineRule="auto"/>
      </w:pPr>
      <w:r>
        <w:t xml:space="preserve">Present draft results to each community. Address questions/comments/concerns. Revise as needed. </w:t>
      </w:r>
    </w:p>
    <w:p w14:paraId="49D4EB10" w14:textId="77777777" w:rsidR="00E32D5D" w:rsidRDefault="00E32D5D" w:rsidP="00EC12DE">
      <w:pPr>
        <w:pStyle w:val="BodyText-COG"/>
        <w:numPr>
          <w:ilvl w:val="0"/>
          <w:numId w:val="27"/>
        </w:numPr>
        <w:spacing w:line="240" w:lineRule="auto"/>
      </w:pPr>
      <w:r>
        <w:t xml:space="preserve">Offer and provide one-on-one meetings, as needed, to COG local government members. </w:t>
      </w:r>
    </w:p>
    <w:p w14:paraId="084A9AAF" w14:textId="77777777" w:rsidR="00E32D5D" w:rsidRDefault="00E32D5D" w:rsidP="00EC12DE">
      <w:pPr>
        <w:pStyle w:val="BodyText-COG"/>
        <w:numPr>
          <w:ilvl w:val="0"/>
          <w:numId w:val="27"/>
        </w:numPr>
        <w:spacing w:line="240" w:lineRule="auto"/>
      </w:pPr>
      <w:r>
        <w:t xml:space="preserve">Provide final products to each community.  </w:t>
      </w:r>
    </w:p>
    <w:p w14:paraId="311CE532" w14:textId="77777777" w:rsidR="00E32D5D" w:rsidRDefault="00E32D5D" w:rsidP="00EC12DE">
      <w:pPr>
        <w:pStyle w:val="BodyText-COG"/>
        <w:numPr>
          <w:ilvl w:val="0"/>
          <w:numId w:val="27"/>
        </w:numPr>
        <w:spacing w:line="240" w:lineRule="auto"/>
      </w:pPr>
      <w:r>
        <w:t xml:space="preserve">Support local governments, as needed, in how to communicate results to their communities. </w:t>
      </w:r>
    </w:p>
    <w:p w14:paraId="31C874CF" w14:textId="35EB3A0A" w:rsidR="00490671" w:rsidRDefault="00490671" w:rsidP="00F914F4">
      <w:pPr>
        <w:pStyle w:val="BodyText-COG"/>
        <w:outlineLvl w:val="0"/>
      </w:pPr>
    </w:p>
    <w:p w14:paraId="492510AF" w14:textId="4ACF3DEB" w:rsidR="0095541A" w:rsidRDefault="0095541A" w:rsidP="0095541A">
      <w:pPr>
        <w:pStyle w:val="Level3Head-COG"/>
        <w:rPr>
          <w:rFonts w:eastAsiaTheme="majorEastAsia"/>
        </w:rPr>
      </w:pPr>
      <w:bookmarkStart w:id="387" w:name="_Toc35257215"/>
      <w:bookmarkStart w:id="388" w:name="_Toc34644627"/>
      <w:bookmarkStart w:id="389" w:name="_Toc535399906"/>
      <w:bookmarkStart w:id="390" w:name="_Toc50968778"/>
      <w:bookmarkStart w:id="391" w:name="_Toc51077767"/>
      <w:r>
        <w:rPr>
          <w:caps w:val="0"/>
        </w:rPr>
        <w:t>CLEARPATH</w:t>
      </w:r>
      <w:bookmarkEnd w:id="387"/>
      <w:bookmarkEnd w:id="388"/>
      <w:bookmarkEnd w:id="389"/>
      <w:bookmarkEnd w:id="390"/>
      <w:bookmarkEnd w:id="391"/>
    </w:p>
    <w:p w14:paraId="2DFDD2C8" w14:textId="77777777" w:rsidR="0095541A" w:rsidRPr="0095541A" w:rsidRDefault="0095541A" w:rsidP="0095541A">
      <w:pPr>
        <w:pStyle w:val="BodyText-COG"/>
        <w:rPr>
          <w:rFonts w:cs="Arial"/>
          <w:color w:val="auto"/>
          <w:szCs w:val="22"/>
          <w:shd w:val="clear" w:color="auto" w:fill="FFFFFF"/>
        </w:rPr>
      </w:pPr>
      <w:r w:rsidRPr="0095541A">
        <w:rPr>
          <w:color w:val="auto"/>
          <w:szCs w:val="22"/>
        </w:rPr>
        <w:t xml:space="preserve">ICLEI’s ClearPath tool is </w:t>
      </w:r>
      <w:r w:rsidRPr="0095541A">
        <w:rPr>
          <w:rFonts w:cs="Arial"/>
          <w:color w:val="auto"/>
          <w:szCs w:val="22"/>
          <w:shd w:val="clear" w:color="auto" w:fill="FFFFFF"/>
        </w:rPr>
        <w:t xml:space="preserve">an online tool for preparing local GHG inventories, forecasts, climate action plans, and monitoring reports. The tool is consistent with both US and global accounting protocols. COG uses the Community Scale Inventory Module to support completing its GHG inventory work for its members and the region. </w:t>
      </w:r>
    </w:p>
    <w:p w14:paraId="7D8C07E3" w14:textId="77777777" w:rsidR="0095541A" w:rsidRPr="0095541A" w:rsidRDefault="0095541A" w:rsidP="0095541A">
      <w:pPr>
        <w:pStyle w:val="BodyText-COG"/>
        <w:rPr>
          <w:rFonts w:cs="Arial"/>
          <w:color w:val="auto"/>
          <w:szCs w:val="22"/>
          <w:shd w:val="clear" w:color="auto" w:fill="FFFFFF"/>
        </w:rPr>
      </w:pPr>
    </w:p>
    <w:p w14:paraId="00178961" w14:textId="77777777" w:rsidR="0095541A" w:rsidRPr="0095541A" w:rsidRDefault="0095541A" w:rsidP="0095541A">
      <w:pPr>
        <w:pStyle w:val="BodyText-COG"/>
        <w:rPr>
          <w:rFonts w:cs="Arial"/>
          <w:color w:val="auto"/>
          <w:szCs w:val="22"/>
          <w:shd w:val="clear" w:color="auto" w:fill="FFFFFF"/>
        </w:rPr>
      </w:pPr>
      <w:r w:rsidRPr="0095541A">
        <w:rPr>
          <w:rFonts w:cs="Arial"/>
          <w:color w:val="auto"/>
          <w:szCs w:val="22"/>
          <w:shd w:val="clear" w:color="auto" w:fill="FFFFFF"/>
        </w:rPr>
        <w:t>COG created inventory records in ClearPath for all emission activities in the inventory for Fairfax County. Some of the tool’s calculators are used to calculate emissions as inventory records are created, while in other instances, previously calculated emissions are recorded in the inventory record.</w:t>
      </w:r>
    </w:p>
    <w:p w14:paraId="1C1E663B" w14:textId="77777777" w:rsidR="0095541A" w:rsidRPr="0095541A" w:rsidRDefault="0095541A" w:rsidP="00F914F4">
      <w:pPr>
        <w:pStyle w:val="BodyText-COG"/>
        <w:outlineLvl w:val="0"/>
      </w:pPr>
    </w:p>
    <w:p w14:paraId="2991D399" w14:textId="77777777" w:rsidR="00B110F2" w:rsidRDefault="00B110F2" w:rsidP="00B110F2">
      <w:pPr>
        <w:pStyle w:val="Level3Head-COG"/>
      </w:pPr>
      <w:bookmarkStart w:id="392" w:name="_Toc535399907"/>
      <w:bookmarkStart w:id="393" w:name="_Toc50968779"/>
      <w:bookmarkStart w:id="394" w:name="_Toc51077768"/>
      <w:r>
        <w:t>methodology updates</w:t>
      </w:r>
      <w:bookmarkEnd w:id="392"/>
      <w:bookmarkEnd w:id="393"/>
      <w:bookmarkEnd w:id="394"/>
    </w:p>
    <w:p w14:paraId="5A6F5458" w14:textId="77777777" w:rsidR="00B110F2" w:rsidRDefault="00B110F2" w:rsidP="00B110F2">
      <w:pPr>
        <w:pStyle w:val="BodyText-COG"/>
      </w:pPr>
      <w:r>
        <w:t xml:space="preserve">The practice of developing community-scale inventories is relatively new and has evolved rapidly in recent years. The practice will continue to evolve to provide for more accurate, measured results (rather than modeled). Therefore, the methodologies used in COG inventory work should continue to evolve overtime to incorporate the best available data and methods. </w:t>
      </w:r>
    </w:p>
    <w:p w14:paraId="7C03A3E9" w14:textId="77777777" w:rsidR="00B110F2" w:rsidRDefault="00B110F2" w:rsidP="00B110F2">
      <w:pPr>
        <w:pStyle w:val="BodyText-COG"/>
      </w:pPr>
    </w:p>
    <w:p w14:paraId="32B409B9" w14:textId="20A4181A" w:rsidR="00B110F2" w:rsidRDefault="00B110F2" w:rsidP="00B110F2">
      <w:pPr>
        <w:pStyle w:val="BodyText-COG"/>
      </w:pPr>
      <w:r>
        <w:t xml:space="preserve">Some methodology updates, like a change in Global Warming Potential Factors, will affect all emission calculations in the inventory. However, more often it may be refinements to the calculations for a specific activity or source. Methodology updates should be prioritized first by how much of an impact they have on the overall inventory. Priority should be given to an activity that accounts for a larger percent of the inventory. Secondly, methodology update needs </w:t>
      </w:r>
      <w:r w:rsidR="008A2CD8">
        <w:t xml:space="preserve">should be </w:t>
      </w:r>
      <w:r>
        <w:t xml:space="preserve">based on current data quality confidence levels. Activities or sources with low-to-medium data quality confidence levels could be investigated to see if more accurate data or calculations methods could be applied.   </w:t>
      </w:r>
    </w:p>
    <w:p w14:paraId="3FE5BD39" w14:textId="77777777" w:rsidR="00B110F2" w:rsidRDefault="00B110F2" w:rsidP="00B110F2">
      <w:pPr>
        <w:pStyle w:val="BodyText-COG"/>
      </w:pPr>
    </w:p>
    <w:p w14:paraId="6B990454" w14:textId="18269930" w:rsidR="00B110F2" w:rsidRDefault="00B110F2" w:rsidP="00B110F2">
      <w:pPr>
        <w:pStyle w:val="BodyText-COG"/>
      </w:pPr>
      <w:r>
        <w:t>If methodology changes to how an activity/source is calculated results in more than a 1-2</w:t>
      </w:r>
      <w:r w:rsidR="00F439D4">
        <w:t xml:space="preserve"> percent</w:t>
      </w:r>
      <w:r>
        <w:t xml:space="preserve"> difference, if possible, </w:t>
      </w:r>
      <w:r w:rsidR="008A2CD8">
        <w:t xml:space="preserve">COG will </w:t>
      </w:r>
      <w:r>
        <w:t>back cast to change the methodologies from previous years. If methodology changes result in less than a 1-2</w:t>
      </w:r>
      <w:r w:rsidR="00F439D4">
        <w:t xml:space="preserve"> percent</w:t>
      </w:r>
      <w:r>
        <w:t xml:space="preserve"> difference, back casting is not </w:t>
      </w:r>
      <w:r w:rsidR="008A2CD8">
        <w:t>typical nor is it called for by the Protocols</w:t>
      </w:r>
      <w:r>
        <w:t xml:space="preserve">. All changes in methodologies between inventory years need to be noted.  </w:t>
      </w:r>
    </w:p>
    <w:p w14:paraId="6847F570" w14:textId="77777777" w:rsidR="00B110F2" w:rsidRDefault="00B110F2" w:rsidP="00B110F2">
      <w:pPr>
        <w:pStyle w:val="BodyText-COG"/>
      </w:pPr>
    </w:p>
    <w:p w14:paraId="2B9FAB52" w14:textId="777B0883" w:rsidR="00B110F2" w:rsidRDefault="00B110F2" w:rsidP="00B110F2">
      <w:pPr>
        <w:pStyle w:val="BodyText-COG"/>
        <w:spacing w:line="240" w:lineRule="auto"/>
      </w:pPr>
      <w:r>
        <w:lastRenderedPageBreak/>
        <w:t xml:space="preserve">To ensure methodology changes are Protocol compliant, </w:t>
      </w:r>
      <w:r w:rsidR="008A2CD8">
        <w:t xml:space="preserve">COG </w:t>
      </w:r>
      <w:r>
        <w:t>refer</w:t>
      </w:r>
      <w:r w:rsidR="008A2CD8">
        <w:t>s</w:t>
      </w:r>
      <w:r>
        <w:t xml:space="preserve"> to the USCP and GPC methodologies for guidance throughout the process</w:t>
      </w:r>
      <w:r w:rsidR="008A2CD8">
        <w:t xml:space="preserve"> and requests </w:t>
      </w:r>
      <w:r>
        <w:t xml:space="preserve">review of methodology updates by ICLEI, COG members, and other GHG inventory experts.  </w:t>
      </w:r>
    </w:p>
    <w:p w14:paraId="2447B163" w14:textId="24E9D83F" w:rsidR="00B110F2" w:rsidRDefault="00B110F2" w:rsidP="00F914F4">
      <w:pPr>
        <w:pStyle w:val="BodyText-COG"/>
        <w:outlineLvl w:val="0"/>
      </w:pPr>
    </w:p>
    <w:p w14:paraId="7C003621" w14:textId="40BBCDB6" w:rsidR="0095541A" w:rsidRDefault="0095541A" w:rsidP="005F5B00">
      <w:pPr>
        <w:pStyle w:val="Level2Head-COG"/>
        <w:spacing w:line="260" w:lineRule="exact"/>
        <w:rPr>
          <w:rFonts w:eastAsiaTheme="majorEastAsia"/>
        </w:rPr>
      </w:pPr>
      <w:bookmarkStart w:id="395" w:name="_Toc50968780"/>
      <w:bookmarkStart w:id="396" w:name="_Toc51077769"/>
      <w:r>
        <w:t>Getting Started</w:t>
      </w:r>
      <w:bookmarkEnd w:id="395"/>
      <w:bookmarkEnd w:id="396"/>
    </w:p>
    <w:p w14:paraId="68933949" w14:textId="68F15306" w:rsidR="0095541A" w:rsidRDefault="0095541A" w:rsidP="005F5B00">
      <w:pPr>
        <w:pStyle w:val="Level3Head-COG"/>
        <w:spacing w:after="120"/>
      </w:pPr>
      <w:bookmarkStart w:id="397" w:name="_Toc50968781"/>
      <w:bookmarkStart w:id="398" w:name="_Toc51077770"/>
      <w:r>
        <w:rPr>
          <w:caps w:val="0"/>
        </w:rPr>
        <w:t xml:space="preserve">Setting Up </w:t>
      </w:r>
      <w:proofErr w:type="gramStart"/>
      <w:r>
        <w:rPr>
          <w:caps w:val="0"/>
        </w:rPr>
        <w:t>The</w:t>
      </w:r>
      <w:proofErr w:type="gramEnd"/>
      <w:r>
        <w:rPr>
          <w:caps w:val="0"/>
        </w:rPr>
        <w:t xml:space="preserve"> </w:t>
      </w:r>
      <w:r w:rsidR="001E69AF">
        <w:rPr>
          <w:caps w:val="0"/>
        </w:rPr>
        <w:t>GHG</w:t>
      </w:r>
      <w:r>
        <w:rPr>
          <w:caps w:val="0"/>
        </w:rPr>
        <w:t xml:space="preserve"> Inventory</w:t>
      </w:r>
      <w:bookmarkEnd w:id="397"/>
      <w:bookmarkEnd w:id="398"/>
      <w:r>
        <w:rPr>
          <w:caps w:val="0"/>
        </w:rPr>
        <w:t xml:space="preserve"> </w:t>
      </w:r>
    </w:p>
    <w:p w14:paraId="7309A3FF" w14:textId="77777777" w:rsidR="0095541A" w:rsidRDefault="0095541A" w:rsidP="005F5B00">
      <w:pPr>
        <w:pStyle w:val="Level5Head-COG"/>
        <w:spacing w:line="260" w:lineRule="exact"/>
      </w:pPr>
      <w:r>
        <w:t xml:space="preserve">Description </w:t>
      </w:r>
    </w:p>
    <w:p w14:paraId="53E55EDA" w14:textId="2E964505" w:rsidR="0095541A" w:rsidRPr="0095541A" w:rsidRDefault="0095541A" w:rsidP="005F5B00">
      <w:pPr>
        <w:spacing w:line="260" w:lineRule="exact"/>
        <w:rPr>
          <w:rFonts w:ascii="Franklin Gothic Book" w:hAnsi="Franklin Gothic Book"/>
          <w:sz w:val="22"/>
          <w:szCs w:val="22"/>
        </w:rPr>
      </w:pPr>
      <w:r w:rsidRPr="0095541A">
        <w:rPr>
          <w:rFonts w:ascii="Franklin Gothic Book" w:hAnsi="Franklin Gothic Book"/>
          <w:sz w:val="22"/>
          <w:szCs w:val="22"/>
        </w:rPr>
        <w:t xml:space="preserve">Gathering demographic and economic data is the first step taken in developing the inventories. Some of the demographic and economic data is used to estimate GHG emissions. For instance, household and commercial building data is used to estimate non-utility fuel consumption, such as fuel oil. Also, population data may serve </w:t>
      </w:r>
      <w:proofErr w:type="gramStart"/>
      <w:r w:rsidRPr="0095541A">
        <w:rPr>
          <w:rFonts w:ascii="Franklin Gothic Book" w:hAnsi="Franklin Gothic Book"/>
          <w:sz w:val="22"/>
          <w:szCs w:val="22"/>
        </w:rPr>
        <w:t>as a means to</w:t>
      </w:r>
      <w:proofErr w:type="gramEnd"/>
      <w:r w:rsidRPr="0095541A">
        <w:rPr>
          <w:rFonts w:ascii="Franklin Gothic Book" w:hAnsi="Franklin Gothic Book"/>
          <w:sz w:val="22"/>
          <w:szCs w:val="22"/>
        </w:rPr>
        <w:t xml:space="preserve"> downscale to a local community when local data is unavailable.</w:t>
      </w:r>
    </w:p>
    <w:p w14:paraId="2174BCB8" w14:textId="77777777" w:rsidR="0095541A" w:rsidRPr="0095541A" w:rsidRDefault="0095541A" w:rsidP="005F5B00">
      <w:pPr>
        <w:spacing w:line="260" w:lineRule="exact"/>
        <w:rPr>
          <w:rFonts w:ascii="Franklin Gothic Book" w:hAnsi="Franklin Gothic Book"/>
          <w:sz w:val="22"/>
          <w:szCs w:val="22"/>
        </w:rPr>
      </w:pPr>
    </w:p>
    <w:p w14:paraId="1678AB6C" w14:textId="77777777" w:rsidR="0095541A" w:rsidRPr="0095541A" w:rsidRDefault="0095541A" w:rsidP="005F5B00">
      <w:pPr>
        <w:spacing w:line="260" w:lineRule="exact"/>
        <w:rPr>
          <w:rFonts w:ascii="Franklin Gothic Book" w:hAnsi="Franklin Gothic Book"/>
          <w:sz w:val="22"/>
          <w:szCs w:val="22"/>
        </w:rPr>
      </w:pPr>
      <w:r w:rsidRPr="0095541A">
        <w:rPr>
          <w:rFonts w:ascii="Franklin Gothic Book" w:hAnsi="Franklin Gothic Book"/>
          <w:sz w:val="22"/>
          <w:szCs w:val="22"/>
        </w:rPr>
        <w:t xml:space="preserve">The demographic and economic data are also used as a benchmark throughout the inventory to gauge emissions per person, household, employee, etc. Therefore, it is important to gather this information at the start of the inventory process and use it as consistently as possible across all emissions activity calculations. </w:t>
      </w:r>
    </w:p>
    <w:p w14:paraId="2E551A23" w14:textId="77777777" w:rsidR="0095541A" w:rsidRDefault="0095541A" w:rsidP="005F5B00">
      <w:pPr>
        <w:spacing w:line="260" w:lineRule="exact"/>
        <w:rPr>
          <w:rFonts w:asciiTheme="minorHAnsi" w:hAnsiTheme="minorHAnsi"/>
          <w:sz w:val="22"/>
          <w:szCs w:val="22"/>
        </w:rPr>
      </w:pPr>
    </w:p>
    <w:p w14:paraId="11D88AA2" w14:textId="77777777" w:rsidR="0095541A" w:rsidRDefault="0095541A" w:rsidP="005F5B00">
      <w:pPr>
        <w:pStyle w:val="Level5Head-COG"/>
        <w:spacing w:line="260" w:lineRule="exact"/>
      </w:pPr>
      <w:r>
        <w:t xml:space="preserve">Data Collection </w:t>
      </w:r>
    </w:p>
    <w:p w14:paraId="3B4B1B21" w14:textId="1A232BAF" w:rsidR="0095541A" w:rsidRPr="0095541A" w:rsidRDefault="0095541A" w:rsidP="005F5B00">
      <w:pPr>
        <w:spacing w:line="260" w:lineRule="exact"/>
        <w:rPr>
          <w:rFonts w:ascii="Franklin Gothic Book" w:hAnsi="Franklin Gothic Book"/>
          <w:sz w:val="22"/>
          <w:szCs w:val="22"/>
        </w:rPr>
      </w:pPr>
      <w:r w:rsidRPr="0095541A">
        <w:rPr>
          <w:rFonts w:ascii="Franklin Gothic Book" w:hAnsi="Franklin Gothic Book"/>
          <w:sz w:val="22"/>
          <w:szCs w:val="22"/>
        </w:rPr>
        <w:t xml:space="preserve">American Community Survey </w:t>
      </w:r>
      <w:r w:rsidR="00FA5C2C">
        <w:rPr>
          <w:rFonts w:ascii="Franklin Gothic Book" w:hAnsi="Franklin Gothic Book"/>
          <w:sz w:val="22"/>
          <w:szCs w:val="22"/>
        </w:rPr>
        <w:t xml:space="preserve">(ACS) </w:t>
      </w:r>
      <w:r w:rsidRPr="0095541A">
        <w:rPr>
          <w:rFonts w:ascii="Franklin Gothic Book" w:hAnsi="Franklin Gothic Book"/>
          <w:sz w:val="22"/>
          <w:szCs w:val="22"/>
        </w:rPr>
        <w:t xml:space="preserve">has data readily available for all COG member local governments. This data is used as much as possible for calculations and benchmarks throughout the inventory. However, COG transportation and wastewater models use COG Cooperative Forecast data; therefore, transportation on-road and off-road and all wastewater calculations use the Cooperative Forecast data for its benchmarking. </w:t>
      </w:r>
    </w:p>
    <w:p w14:paraId="4B5C9642" w14:textId="77777777" w:rsidR="0095541A" w:rsidRPr="0095541A" w:rsidRDefault="0095541A" w:rsidP="005F5B00">
      <w:pPr>
        <w:spacing w:line="260" w:lineRule="exact"/>
        <w:rPr>
          <w:rFonts w:ascii="Franklin Gothic Book" w:hAnsi="Franklin Gothic Book"/>
          <w:sz w:val="22"/>
          <w:szCs w:val="22"/>
        </w:rPr>
      </w:pPr>
    </w:p>
    <w:p w14:paraId="39FD3094" w14:textId="3C752C70" w:rsidR="0095541A" w:rsidRPr="0095541A" w:rsidRDefault="0095541A" w:rsidP="005F5B00">
      <w:pPr>
        <w:spacing w:line="260" w:lineRule="exact"/>
        <w:rPr>
          <w:rFonts w:ascii="Franklin Gothic Book" w:hAnsi="Franklin Gothic Book"/>
          <w:sz w:val="22"/>
          <w:szCs w:val="22"/>
        </w:rPr>
      </w:pPr>
      <w:r w:rsidRPr="0095541A">
        <w:rPr>
          <w:rFonts w:ascii="Franklin Gothic Book" w:hAnsi="Franklin Gothic Book"/>
          <w:sz w:val="22"/>
          <w:szCs w:val="22"/>
        </w:rPr>
        <w:t>In addition, COG uses CoStar, a commercial building database, to track commercial construction in the region. It also provides readily available data for the GHG inventories. Gross Domestic Product data is an input to provide during the creation of an inventory in ClearPath.</w:t>
      </w:r>
    </w:p>
    <w:p w14:paraId="413D65FF" w14:textId="71B85FA6" w:rsidR="0095541A" w:rsidRDefault="0095541A" w:rsidP="005F5B00">
      <w:pPr>
        <w:pStyle w:val="BodyText-COG"/>
      </w:pPr>
    </w:p>
    <w:p w14:paraId="11F076E0" w14:textId="77777777" w:rsidR="00EC12DE" w:rsidRPr="00EC12DE" w:rsidRDefault="00EC12DE" w:rsidP="005F5B00">
      <w:pPr>
        <w:spacing w:before="360" w:line="260" w:lineRule="exact"/>
        <w:rPr>
          <w:rFonts w:ascii="Franklin Gothic Medium" w:eastAsia="MS PGothic" w:hAnsi="Franklin Gothic Medium" w:cs="Times New Roman"/>
          <w:caps/>
          <w:color w:val="auto"/>
          <w:sz w:val="40"/>
          <w:szCs w:val="40"/>
        </w:rPr>
      </w:pPr>
      <w:bookmarkStart w:id="399" w:name="_Toc535399913"/>
      <w:r w:rsidRPr="00EC12DE">
        <w:rPr>
          <w:rFonts w:ascii="Franklin Gothic Medium" w:eastAsia="MS PGothic" w:hAnsi="Franklin Gothic Medium" w:cs="Times New Roman"/>
          <w:caps/>
          <w:color w:val="auto"/>
          <w:sz w:val="40"/>
          <w:szCs w:val="40"/>
        </w:rPr>
        <w:t>BUILT ENVIRONMENT</w:t>
      </w:r>
      <w:bookmarkEnd w:id="399"/>
    </w:p>
    <w:p w14:paraId="43CFC16F" w14:textId="77777777" w:rsidR="00C744CA" w:rsidRDefault="00C744CA" w:rsidP="00C744CA">
      <w:pPr>
        <w:suppressAutoHyphens/>
        <w:rPr>
          <w:rFonts w:ascii="Franklin Gothic Medium" w:eastAsia="MS PGothic" w:hAnsi="Franklin Gothic Medium" w:cs="Times New Roman"/>
          <w:color w:val="000000"/>
          <w:sz w:val="34"/>
          <w:szCs w:val="34"/>
        </w:rPr>
      </w:pPr>
      <w:bookmarkStart w:id="400" w:name="_Toc535399914"/>
    </w:p>
    <w:p w14:paraId="016EC651" w14:textId="7E7AB070" w:rsidR="00EC12DE" w:rsidRPr="00EC12DE" w:rsidRDefault="00EC12DE" w:rsidP="00C744CA">
      <w:pPr>
        <w:suppressAutoHyphens/>
        <w:rPr>
          <w:rFonts w:ascii="Franklin Gothic Medium" w:eastAsia="MS PGothic" w:hAnsi="Franklin Gothic Medium" w:cs="Times New Roman"/>
          <w:color w:val="000000"/>
          <w:sz w:val="34"/>
          <w:szCs w:val="34"/>
        </w:rPr>
      </w:pPr>
      <w:r w:rsidRPr="00EC12DE">
        <w:rPr>
          <w:rFonts w:ascii="Franklin Gothic Medium" w:eastAsia="MS PGothic" w:hAnsi="Franklin Gothic Medium" w:cs="Times New Roman"/>
          <w:color w:val="000000"/>
          <w:sz w:val="34"/>
          <w:szCs w:val="34"/>
        </w:rPr>
        <w:t>Residential Energy</w:t>
      </w:r>
      <w:bookmarkEnd w:id="400"/>
      <w:r w:rsidRPr="00EC12DE">
        <w:rPr>
          <w:rFonts w:ascii="Franklin Gothic Medium" w:eastAsia="MS PGothic" w:hAnsi="Franklin Gothic Medium" w:cs="Times New Roman"/>
          <w:color w:val="000000"/>
          <w:sz w:val="34"/>
          <w:szCs w:val="34"/>
        </w:rPr>
        <w:t xml:space="preserve"> </w:t>
      </w:r>
    </w:p>
    <w:p w14:paraId="70E7134B" w14:textId="77777777" w:rsidR="00C744CA" w:rsidRDefault="00C744CA" w:rsidP="00C744CA">
      <w:pPr>
        <w:suppressAutoHyphens/>
        <w:rPr>
          <w:rFonts w:ascii="Franklin Gothic Medium" w:eastAsia="MS PGothic" w:hAnsi="Franklin Gothic Medium" w:cs="Times New Roman"/>
          <w:caps/>
          <w:color w:val="404040"/>
          <w:sz w:val="28"/>
          <w:szCs w:val="28"/>
        </w:rPr>
      </w:pPr>
      <w:bookmarkStart w:id="401" w:name="_Toc535399915"/>
    </w:p>
    <w:p w14:paraId="467F53D0" w14:textId="143C85D6" w:rsidR="00EC12DE" w:rsidRPr="00EC12DE" w:rsidRDefault="00EC12DE" w:rsidP="00C744CA">
      <w:pPr>
        <w:suppressAutoHyphens/>
        <w:rPr>
          <w:rFonts w:ascii="Franklin Gothic Medium" w:eastAsia="MS PGothic" w:hAnsi="Franklin Gothic Medium" w:cs="Times New Roman"/>
          <w:caps/>
          <w:color w:val="404040"/>
          <w:sz w:val="28"/>
          <w:szCs w:val="28"/>
        </w:rPr>
      </w:pPr>
      <w:r w:rsidRPr="00EC12DE">
        <w:rPr>
          <w:rFonts w:ascii="Franklin Gothic Medium" w:eastAsia="MS PGothic" w:hAnsi="Franklin Gothic Medium" w:cs="Times New Roman"/>
          <w:caps/>
          <w:color w:val="404040"/>
          <w:sz w:val="28"/>
          <w:szCs w:val="28"/>
        </w:rPr>
        <w:t>EMISSIONS FROM GRID ELECTRICITY</w:t>
      </w:r>
      <w:bookmarkEnd w:id="401"/>
      <w:r w:rsidRPr="00EC12DE">
        <w:rPr>
          <w:rFonts w:ascii="Franklin Gothic Medium" w:eastAsia="MS PGothic" w:hAnsi="Franklin Gothic Medium" w:cs="Times New Roman"/>
          <w:caps/>
          <w:color w:val="404040"/>
          <w:sz w:val="28"/>
          <w:szCs w:val="28"/>
        </w:rPr>
        <w:t xml:space="preserve"> </w:t>
      </w:r>
    </w:p>
    <w:p w14:paraId="75BA352E" w14:textId="77777777" w:rsidR="00C744CA" w:rsidRDefault="00C744CA" w:rsidP="00C744CA">
      <w:pPr>
        <w:suppressAutoHyphens/>
        <w:rPr>
          <w:rFonts w:ascii="Franklin Gothic Medium" w:eastAsia="MS PGothic" w:hAnsi="Franklin Gothic Medium" w:cs="Times New Roman"/>
          <w:color w:val="000000"/>
          <w:sz w:val="24"/>
        </w:rPr>
      </w:pPr>
    </w:p>
    <w:p w14:paraId="3F489175" w14:textId="6BDC190F" w:rsidR="00EC12DE" w:rsidRPr="00EC12DE" w:rsidRDefault="00EC12DE" w:rsidP="005F5B00">
      <w:pPr>
        <w:suppressAutoHyphens/>
        <w:spacing w:line="260" w:lineRule="exact"/>
        <w:rPr>
          <w:rFonts w:ascii="Franklin Gothic Medium" w:eastAsia="MS PGothic" w:hAnsi="Franklin Gothic Medium" w:cs="Times New Roman"/>
          <w:color w:val="000000"/>
          <w:sz w:val="24"/>
        </w:rPr>
      </w:pPr>
      <w:r w:rsidRPr="00EC12DE">
        <w:rPr>
          <w:rFonts w:ascii="Franklin Gothic Medium" w:eastAsia="MS PGothic" w:hAnsi="Franklin Gothic Medium" w:cs="Times New Roman"/>
          <w:color w:val="000000"/>
          <w:sz w:val="24"/>
        </w:rPr>
        <w:t xml:space="preserve">Residential Electricity </w:t>
      </w:r>
    </w:p>
    <w:p w14:paraId="5E011184" w14:textId="77777777" w:rsidR="00EC12DE" w:rsidRPr="00EC12DE" w:rsidRDefault="00EC12DE" w:rsidP="005F5B00">
      <w:pPr>
        <w:suppressAutoHyphens/>
        <w:spacing w:line="260" w:lineRule="exact"/>
        <w:rPr>
          <w:rFonts w:eastAsia="MS PGothic" w:cs="Times New Roman"/>
          <w:caps/>
          <w:color w:val="000000"/>
          <w:sz w:val="20"/>
          <w:szCs w:val="20"/>
        </w:rPr>
      </w:pPr>
      <w:r w:rsidRPr="00EC12DE">
        <w:rPr>
          <w:rFonts w:eastAsia="MS PGothic" w:cs="Times New Roman"/>
          <w:caps/>
          <w:color w:val="000000"/>
          <w:sz w:val="20"/>
          <w:szCs w:val="20"/>
        </w:rPr>
        <w:t xml:space="preserve">Description </w:t>
      </w:r>
    </w:p>
    <w:p w14:paraId="6A09D0E3" w14:textId="46020E84" w:rsidR="00EC12DE" w:rsidRPr="00EC12DE" w:rsidRDefault="00EC12DE" w:rsidP="005F5B00">
      <w:pPr>
        <w:spacing w:line="260" w:lineRule="exact"/>
        <w:rPr>
          <w:rFonts w:ascii="Franklin Gothic Book" w:eastAsia="MS PGothic" w:hAnsi="Franklin Gothic Book" w:cs="Times New Roman"/>
          <w:color w:val="000000"/>
          <w:sz w:val="22"/>
          <w:szCs w:val="22"/>
        </w:rPr>
      </w:pPr>
      <w:r w:rsidRPr="00EC12DE">
        <w:rPr>
          <w:rFonts w:ascii="Franklin Gothic Book" w:eastAsia="MS PGothic" w:hAnsi="Franklin Gothic Book" w:cs="Times New Roman"/>
          <w:color w:val="000000"/>
          <w:sz w:val="22"/>
          <w:szCs w:val="22"/>
        </w:rPr>
        <w:t xml:space="preserve">Residential Electricity accounts for emissions resulting in electricity use in residential buildings. Energy use in buildings account for a significant portion of GHG emissions. According to the USCP, local jurisdictions can often influence </w:t>
      </w:r>
      <w:r w:rsidR="00655899">
        <w:rPr>
          <w:rFonts w:ascii="Franklin Gothic Book" w:eastAsia="MS PGothic" w:hAnsi="Franklin Gothic Book" w:cs="Times New Roman"/>
          <w:color w:val="000000"/>
          <w:sz w:val="22"/>
          <w:szCs w:val="22"/>
        </w:rPr>
        <w:t>energy</w:t>
      </w:r>
      <w:r w:rsidRPr="00EC12DE">
        <w:rPr>
          <w:rFonts w:ascii="Franklin Gothic Book" w:eastAsia="MS PGothic" w:hAnsi="Franklin Gothic Book" w:cs="Times New Roman"/>
          <w:color w:val="000000"/>
          <w:sz w:val="22"/>
          <w:szCs w:val="22"/>
        </w:rPr>
        <w:t xml:space="preserve"> use through building codes, incentives, and technical assistance.</w:t>
      </w:r>
    </w:p>
    <w:p w14:paraId="159F8FCD" w14:textId="77777777" w:rsidR="00EC12DE" w:rsidRPr="00EC12DE" w:rsidRDefault="00EC12DE" w:rsidP="005F5B00">
      <w:pPr>
        <w:spacing w:line="260" w:lineRule="exact"/>
        <w:rPr>
          <w:rFonts w:ascii="Franklin Gothic Book" w:eastAsia="MS PGothic" w:hAnsi="Franklin Gothic Book" w:cs="Times New Roman"/>
          <w:color w:val="000000"/>
          <w:sz w:val="22"/>
          <w:szCs w:val="22"/>
          <w:highlight w:val="yellow"/>
        </w:rPr>
      </w:pPr>
    </w:p>
    <w:p w14:paraId="255C5E33" w14:textId="77777777" w:rsidR="00EC12DE" w:rsidRPr="00EC12DE" w:rsidRDefault="00EC12DE" w:rsidP="005F5B00">
      <w:pPr>
        <w:suppressAutoHyphens/>
        <w:spacing w:line="260" w:lineRule="exact"/>
        <w:rPr>
          <w:rFonts w:eastAsia="MS PGothic" w:cs="Times New Roman"/>
          <w:caps/>
          <w:color w:val="000000"/>
          <w:sz w:val="20"/>
          <w:szCs w:val="20"/>
        </w:rPr>
      </w:pPr>
      <w:r w:rsidRPr="00EC12DE">
        <w:rPr>
          <w:rFonts w:eastAsia="MS PGothic" w:cs="Times New Roman"/>
          <w:caps/>
          <w:color w:val="000000"/>
          <w:sz w:val="20"/>
          <w:szCs w:val="20"/>
        </w:rPr>
        <w:t>Methodology</w:t>
      </w:r>
    </w:p>
    <w:p w14:paraId="6396A33E" w14:textId="2A17AEB2" w:rsidR="00EC12DE" w:rsidRPr="00EC12DE" w:rsidRDefault="00EC12DE" w:rsidP="005F5B00">
      <w:pPr>
        <w:spacing w:line="260" w:lineRule="exact"/>
        <w:rPr>
          <w:rFonts w:ascii="Franklin Gothic Book" w:eastAsia="MS PGothic" w:hAnsi="Franklin Gothic Book" w:cs="Times New Roman"/>
          <w:color w:val="000000"/>
          <w:sz w:val="22"/>
          <w:szCs w:val="22"/>
          <w:lang w:val="en"/>
        </w:rPr>
      </w:pPr>
      <w:r w:rsidRPr="00EC12DE">
        <w:rPr>
          <w:rFonts w:ascii="Franklin Gothic Book" w:eastAsia="MS PGothic" w:hAnsi="Franklin Gothic Book" w:cs="Times New Roman"/>
          <w:color w:val="000000"/>
          <w:sz w:val="22"/>
          <w:szCs w:val="22"/>
          <w:lang w:val="en"/>
        </w:rPr>
        <w:t xml:space="preserve">The Residential Electricity emission calculations follow the </w:t>
      </w:r>
      <w:r w:rsidR="00323282">
        <w:rPr>
          <w:rFonts w:ascii="Franklin Gothic Book" w:eastAsia="MS PGothic" w:hAnsi="Franklin Gothic Book" w:cs="Times New Roman"/>
          <w:color w:val="000000"/>
          <w:sz w:val="22"/>
          <w:szCs w:val="22"/>
          <w:lang w:val="en"/>
        </w:rPr>
        <w:t>USCP</w:t>
      </w:r>
      <w:r w:rsidRPr="00EC12DE">
        <w:rPr>
          <w:rFonts w:ascii="Franklin Gothic Book" w:eastAsia="MS PGothic" w:hAnsi="Franklin Gothic Book" w:cs="Times New Roman"/>
          <w:color w:val="000000"/>
          <w:sz w:val="22"/>
          <w:szCs w:val="22"/>
          <w:lang w:val="en"/>
        </w:rPr>
        <w:t xml:space="preserve"> recommended methodology as outlined in Appendix C, BE.2.1 from Version 1.1 of the Protocol. </w:t>
      </w:r>
    </w:p>
    <w:p w14:paraId="4076CC52" w14:textId="77777777" w:rsidR="00EC12DE" w:rsidRPr="00EC12DE" w:rsidRDefault="00EC12DE" w:rsidP="005F5B00">
      <w:pPr>
        <w:suppressAutoHyphens/>
        <w:spacing w:line="260" w:lineRule="exact"/>
        <w:rPr>
          <w:rFonts w:eastAsia="MS PGothic" w:cs="Times New Roman"/>
          <w:caps/>
          <w:color w:val="000000"/>
          <w:sz w:val="20"/>
          <w:szCs w:val="20"/>
        </w:rPr>
      </w:pPr>
      <w:r w:rsidRPr="00EC12DE">
        <w:rPr>
          <w:rFonts w:eastAsia="MS PGothic" w:cs="Times New Roman"/>
          <w:caps/>
          <w:color w:val="000000"/>
          <w:sz w:val="20"/>
          <w:szCs w:val="20"/>
        </w:rPr>
        <w:lastRenderedPageBreak/>
        <w:t xml:space="preserve">Data Collection </w:t>
      </w:r>
    </w:p>
    <w:p w14:paraId="28892E65" w14:textId="77777777" w:rsidR="00EC12DE" w:rsidRPr="00EC12DE" w:rsidRDefault="00EC12DE" w:rsidP="005F5B00">
      <w:pPr>
        <w:spacing w:line="260" w:lineRule="exact"/>
        <w:rPr>
          <w:rFonts w:ascii="Franklin Gothic Book" w:eastAsia="MS PGothic" w:hAnsi="Franklin Gothic Book" w:cs="Times New Roman"/>
          <w:color w:val="000000"/>
          <w:sz w:val="22"/>
          <w:szCs w:val="22"/>
        </w:rPr>
      </w:pPr>
      <w:r w:rsidRPr="00EC12DE">
        <w:rPr>
          <w:rFonts w:ascii="Franklin Gothic Book" w:eastAsia="MS PGothic" w:hAnsi="Franklin Gothic Book" w:cs="Times New Roman"/>
          <w:color w:val="000000"/>
          <w:sz w:val="22"/>
          <w:szCs w:val="22"/>
        </w:rPr>
        <w:t xml:space="preserve">COG annually collects aggregated account and consumption data from the 7 electric utilities that serve metropolitan Washington. </w:t>
      </w:r>
    </w:p>
    <w:p w14:paraId="31C5B2E8" w14:textId="77777777" w:rsidR="00EC12DE" w:rsidRPr="00EC12DE" w:rsidRDefault="00EC12DE" w:rsidP="005F5B00">
      <w:pPr>
        <w:spacing w:line="260" w:lineRule="exact"/>
        <w:rPr>
          <w:rFonts w:ascii="Franklin Gothic Book" w:eastAsia="MS PGothic" w:hAnsi="Franklin Gothic Book" w:cs="Times New Roman"/>
          <w:color w:val="000000"/>
          <w:sz w:val="22"/>
          <w:szCs w:val="22"/>
          <w:highlight w:val="yellow"/>
        </w:rPr>
      </w:pPr>
    </w:p>
    <w:p w14:paraId="086D3C6F" w14:textId="77777777" w:rsidR="00EC12DE" w:rsidRPr="00EC12DE" w:rsidRDefault="00EC12DE" w:rsidP="005F5B00">
      <w:pPr>
        <w:spacing w:line="260" w:lineRule="exact"/>
        <w:rPr>
          <w:rFonts w:ascii="Franklin Gothic Book" w:eastAsia="MS PGothic" w:hAnsi="Franklin Gothic Book" w:cs="Times New Roman"/>
          <w:color w:val="000000"/>
          <w:sz w:val="22"/>
          <w:szCs w:val="22"/>
        </w:rPr>
      </w:pPr>
      <w:r w:rsidRPr="00EC12DE">
        <w:rPr>
          <w:rFonts w:ascii="Franklin Gothic Book" w:eastAsia="MS PGothic" w:hAnsi="Franklin Gothic Book" w:cs="Times New Roman"/>
          <w:color w:val="000000"/>
          <w:sz w:val="22"/>
          <w:szCs w:val="22"/>
        </w:rPr>
        <w:t xml:space="preserve">Data Needs: </w:t>
      </w:r>
    </w:p>
    <w:p w14:paraId="61B4331B" w14:textId="77777777" w:rsidR="00EC12DE" w:rsidRPr="00EC12DE" w:rsidRDefault="00EC12DE" w:rsidP="005F5B00">
      <w:pPr>
        <w:numPr>
          <w:ilvl w:val="0"/>
          <w:numId w:val="28"/>
        </w:numPr>
        <w:spacing w:line="260" w:lineRule="exact"/>
        <w:ind w:left="720"/>
        <w:rPr>
          <w:rFonts w:ascii="Franklin Gothic Book" w:eastAsia="MS PGothic" w:hAnsi="Franklin Gothic Book" w:cs="Times New Roman"/>
          <w:color w:val="000000"/>
          <w:sz w:val="22"/>
          <w:szCs w:val="22"/>
        </w:rPr>
      </w:pPr>
      <w:r w:rsidRPr="00EC12DE">
        <w:rPr>
          <w:rFonts w:ascii="Franklin Gothic Book" w:eastAsia="MS PGothic" w:hAnsi="Franklin Gothic Book" w:cs="Times New Roman"/>
          <w:color w:val="000000"/>
          <w:sz w:val="22"/>
          <w:szCs w:val="22"/>
        </w:rPr>
        <w:t xml:space="preserve">Accounts: Number of residential electric accounts from all utilities serving metropolitan Washington. </w:t>
      </w:r>
    </w:p>
    <w:p w14:paraId="59198945" w14:textId="77777777" w:rsidR="00EC12DE" w:rsidRPr="00EC12DE" w:rsidRDefault="00EC12DE" w:rsidP="005F5B00">
      <w:pPr>
        <w:numPr>
          <w:ilvl w:val="0"/>
          <w:numId w:val="28"/>
        </w:numPr>
        <w:spacing w:line="260" w:lineRule="exact"/>
        <w:ind w:left="720"/>
        <w:rPr>
          <w:rFonts w:eastAsia="MS PGothic" w:cs="Times New Roman"/>
          <w:color w:val="000000"/>
        </w:rPr>
      </w:pPr>
      <w:r w:rsidRPr="00EC12DE">
        <w:rPr>
          <w:rFonts w:ascii="Franklin Gothic Book" w:eastAsia="MS PGothic" w:hAnsi="Franklin Gothic Book" w:cs="Times New Roman"/>
          <w:color w:val="000000"/>
          <w:sz w:val="22"/>
          <w:szCs w:val="22"/>
        </w:rPr>
        <w:t xml:space="preserve">Consumption: Annual residential electricity use in kilowatt hours from all utilities serving metropolitan Washington.  </w:t>
      </w:r>
    </w:p>
    <w:p w14:paraId="43B3FC93" w14:textId="77777777" w:rsidR="00EC12DE" w:rsidRPr="00EC12DE" w:rsidRDefault="00EC12DE" w:rsidP="005F5B00">
      <w:pPr>
        <w:numPr>
          <w:ilvl w:val="0"/>
          <w:numId w:val="28"/>
        </w:numPr>
        <w:spacing w:line="260" w:lineRule="exact"/>
        <w:rPr>
          <w:rFonts w:eastAsia="MS PGothic" w:cs="Times New Roman"/>
          <w:color w:val="000000"/>
        </w:rPr>
      </w:pPr>
      <w:proofErr w:type="spellStart"/>
      <w:r w:rsidRPr="00EC12DE">
        <w:rPr>
          <w:rFonts w:ascii="Franklin Gothic Book" w:eastAsia="MS PGothic" w:hAnsi="Franklin Gothic Book" w:cs="Times New Roman"/>
          <w:color w:val="000000"/>
          <w:sz w:val="22"/>
          <w:szCs w:val="22"/>
        </w:rPr>
        <w:t>eGRID</w:t>
      </w:r>
      <w:proofErr w:type="spellEnd"/>
      <w:r w:rsidRPr="00EC12DE">
        <w:rPr>
          <w:rFonts w:ascii="Franklin Gothic Book" w:eastAsia="MS PGothic" w:hAnsi="Franklin Gothic Book" w:cs="Times New Roman"/>
          <w:color w:val="000000"/>
          <w:sz w:val="22"/>
          <w:szCs w:val="22"/>
        </w:rPr>
        <w:t xml:space="preserve">: U.S. Environmental Protection Agency (EPA) </w:t>
      </w:r>
      <w:proofErr w:type="spellStart"/>
      <w:r w:rsidRPr="00EC12DE">
        <w:rPr>
          <w:rFonts w:ascii="Franklin Gothic Book" w:eastAsia="MS PGothic" w:hAnsi="Franklin Gothic Book" w:cs="Times New Roman"/>
          <w:color w:val="000000"/>
          <w:sz w:val="22"/>
          <w:szCs w:val="22"/>
        </w:rPr>
        <w:t>eGRID</w:t>
      </w:r>
      <w:proofErr w:type="spellEnd"/>
      <w:r w:rsidRPr="00EC12DE">
        <w:rPr>
          <w:rFonts w:ascii="Franklin Gothic Book" w:eastAsia="MS PGothic" w:hAnsi="Franklin Gothic Book" w:cs="Times New Roman"/>
          <w:color w:val="000000"/>
          <w:sz w:val="22"/>
          <w:szCs w:val="22"/>
        </w:rPr>
        <w:t xml:space="preserve"> Subregion Output Emission Rates – Greenhouse Gases. Subregions RFC East (RFCE) and SERV Virginia/Carolina (SRVC) total output emission rates of CO</w:t>
      </w:r>
      <w:r w:rsidRPr="00EC12DE">
        <w:rPr>
          <w:rFonts w:ascii="Franklin Gothic Book" w:eastAsia="MS PGothic" w:hAnsi="Franklin Gothic Book" w:cs="Times New Roman"/>
          <w:color w:val="000000"/>
          <w:sz w:val="22"/>
          <w:szCs w:val="22"/>
          <w:vertAlign w:val="subscript"/>
        </w:rPr>
        <w:t>2</w:t>
      </w:r>
      <w:r w:rsidRPr="00EC12DE">
        <w:rPr>
          <w:rFonts w:ascii="Franklin Gothic Book" w:eastAsia="MS PGothic" w:hAnsi="Franklin Gothic Book" w:cs="Times New Roman"/>
          <w:color w:val="000000"/>
          <w:sz w:val="22"/>
          <w:szCs w:val="22"/>
        </w:rPr>
        <w:t xml:space="preserve"> (</w:t>
      </w:r>
      <w:proofErr w:type="spellStart"/>
      <w:r w:rsidRPr="00EC12DE">
        <w:rPr>
          <w:rFonts w:ascii="Franklin Gothic Book" w:eastAsia="MS PGothic" w:hAnsi="Franklin Gothic Book" w:cs="Times New Roman"/>
          <w:color w:val="000000"/>
          <w:sz w:val="22"/>
          <w:szCs w:val="22"/>
        </w:rPr>
        <w:t>lb</w:t>
      </w:r>
      <w:proofErr w:type="spellEnd"/>
      <w:r w:rsidRPr="00EC12DE">
        <w:rPr>
          <w:rFonts w:ascii="Franklin Gothic Book" w:eastAsia="MS PGothic" w:hAnsi="Franklin Gothic Book" w:cs="Times New Roman"/>
          <w:color w:val="000000"/>
          <w:sz w:val="22"/>
          <w:szCs w:val="22"/>
        </w:rPr>
        <w:t>/MWh), CH</w:t>
      </w:r>
      <w:r w:rsidRPr="00EC12DE">
        <w:rPr>
          <w:rFonts w:ascii="Franklin Gothic Book" w:eastAsia="MS PGothic" w:hAnsi="Franklin Gothic Book" w:cs="Times New Roman"/>
          <w:color w:val="000000"/>
          <w:sz w:val="22"/>
          <w:szCs w:val="22"/>
          <w:vertAlign w:val="subscript"/>
        </w:rPr>
        <w:t>4</w:t>
      </w:r>
      <w:r w:rsidRPr="00EC12DE">
        <w:rPr>
          <w:rFonts w:ascii="Franklin Gothic Book" w:eastAsia="MS PGothic" w:hAnsi="Franklin Gothic Book" w:cs="Times New Roman"/>
          <w:color w:val="000000"/>
          <w:sz w:val="22"/>
          <w:szCs w:val="22"/>
        </w:rPr>
        <w:t xml:space="preserve"> (</w:t>
      </w:r>
      <w:proofErr w:type="spellStart"/>
      <w:r w:rsidRPr="00EC12DE">
        <w:rPr>
          <w:rFonts w:ascii="Franklin Gothic Book" w:eastAsia="MS PGothic" w:hAnsi="Franklin Gothic Book" w:cs="Times New Roman"/>
          <w:color w:val="000000"/>
          <w:sz w:val="22"/>
          <w:szCs w:val="22"/>
        </w:rPr>
        <w:t>lb</w:t>
      </w:r>
      <w:proofErr w:type="spellEnd"/>
      <w:r w:rsidRPr="00EC12DE">
        <w:rPr>
          <w:rFonts w:ascii="Franklin Gothic Book" w:eastAsia="MS PGothic" w:hAnsi="Franklin Gothic Book" w:cs="Times New Roman"/>
          <w:color w:val="000000"/>
          <w:sz w:val="22"/>
          <w:szCs w:val="22"/>
        </w:rPr>
        <w:t>/GWh), and N</w:t>
      </w:r>
      <w:r w:rsidRPr="00EC12DE">
        <w:rPr>
          <w:rFonts w:ascii="Franklin Gothic Book" w:eastAsia="MS PGothic" w:hAnsi="Franklin Gothic Book" w:cs="Times New Roman"/>
          <w:color w:val="000000"/>
          <w:sz w:val="22"/>
          <w:szCs w:val="22"/>
          <w:vertAlign w:val="subscript"/>
        </w:rPr>
        <w:t>2</w:t>
      </w:r>
      <w:r w:rsidRPr="00EC12DE">
        <w:rPr>
          <w:rFonts w:ascii="Franklin Gothic Book" w:eastAsia="MS PGothic" w:hAnsi="Franklin Gothic Book" w:cs="Times New Roman"/>
          <w:color w:val="000000"/>
          <w:sz w:val="22"/>
          <w:szCs w:val="22"/>
        </w:rPr>
        <w:t>O (</w:t>
      </w:r>
      <w:proofErr w:type="spellStart"/>
      <w:r w:rsidRPr="00EC12DE">
        <w:rPr>
          <w:rFonts w:ascii="Franklin Gothic Book" w:eastAsia="MS PGothic" w:hAnsi="Franklin Gothic Book" w:cs="Times New Roman"/>
          <w:color w:val="000000"/>
          <w:sz w:val="22"/>
          <w:szCs w:val="22"/>
        </w:rPr>
        <w:t>lb</w:t>
      </w:r>
      <w:proofErr w:type="spellEnd"/>
      <w:r w:rsidRPr="00EC12DE">
        <w:rPr>
          <w:rFonts w:ascii="Franklin Gothic Book" w:eastAsia="MS PGothic" w:hAnsi="Franklin Gothic Book" w:cs="Times New Roman"/>
          <w:color w:val="000000"/>
          <w:sz w:val="22"/>
          <w:szCs w:val="22"/>
        </w:rPr>
        <w:t xml:space="preserve">/GWh). </w:t>
      </w:r>
    </w:p>
    <w:p w14:paraId="493A5B6A" w14:textId="67671720" w:rsidR="00EC12DE" w:rsidRDefault="00EC12DE" w:rsidP="005F5B00">
      <w:pPr>
        <w:pStyle w:val="BodyText-COG"/>
      </w:pPr>
    </w:p>
    <w:p w14:paraId="1DC00C68" w14:textId="426E05AA" w:rsidR="005F5B00" w:rsidRDefault="005F5B00" w:rsidP="00824F84">
      <w:pPr>
        <w:suppressAutoHyphens/>
        <w:spacing w:before="120" w:line="260" w:lineRule="exact"/>
        <w:rPr>
          <w:rFonts w:ascii="Franklin Gothic Medium" w:eastAsia="MS PGothic" w:hAnsi="Franklin Gothic Medium" w:cs="Times New Roman"/>
          <w:caps/>
          <w:color w:val="404040"/>
          <w:sz w:val="28"/>
          <w:szCs w:val="28"/>
        </w:rPr>
      </w:pPr>
      <w:bookmarkStart w:id="402" w:name="_Toc535399916"/>
      <w:r w:rsidRPr="005F5B00">
        <w:rPr>
          <w:rFonts w:ascii="Franklin Gothic Medium" w:eastAsia="MS PGothic" w:hAnsi="Franklin Gothic Medium" w:cs="Times New Roman"/>
          <w:caps/>
          <w:color w:val="404040"/>
          <w:sz w:val="28"/>
          <w:szCs w:val="28"/>
        </w:rPr>
        <w:t>EMISSIONS FROM STATIONARY FUEL</w:t>
      </w:r>
      <w:bookmarkEnd w:id="402"/>
      <w:r w:rsidRPr="005F5B00">
        <w:rPr>
          <w:rFonts w:ascii="Franklin Gothic Medium" w:eastAsia="MS PGothic" w:hAnsi="Franklin Gothic Medium" w:cs="Times New Roman"/>
          <w:caps/>
          <w:color w:val="404040"/>
          <w:sz w:val="28"/>
          <w:szCs w:val="28"/>
        </w:rPr>
        <w:t xml:space="preserve"> </w:t>
      </w:r>
    </w:p>
    <w:p w14:paraId="11DC2F51" w14:textId="77777777" w:rsidR="00824F84" w:rsidRPr="005F5B00" w:rsidRDefault="00824F84" w:rsidP="00824F84">
      <w:pPr>
        <w:suppressAutoHyphens/>
        <w:spacing w:line="260" w:lineRule="exact"/>
        <w:rPr>
          <w:rFonts w:ascii="Franklin Gothic Medium" w:eastAsia="MS PGothic" w:hAnsi="Franklin Gothic Medium" w:cs="Times New Roman"/>
          <w:caps/>
          <w:color w:val="404040"/>
          <w:sz w:val="28"/>
          <w:szCs w:val="28"/>
        </w:rPr>
      </w:pPr>
    </w:p>
    <w:p w14:paraId="51EBBE71" w14:textId="77777777" w:rsidR="005F5B00" w:rsidRPr="005F5B00" w:rsidRDefault="005F5B00" w:rsidP="005F5B00">
      <w:pPr>
        <w:suppressAutoHyphens/>
        <w:spacing w:line="260" w:lineRule="exact"/>
        <w:rPr>
          <w:rFonts w:ascii="Franklin Gothic Medium" w:eastAsia="MS PGothic" w:hAnsi="Franklin Gothic Medium" w:cs="Times New Roman"/>
          <w:color w:val="000000"/>
          <w:sz w:val="24"/>
        </w:rPr>
      </w:pPr>
      <w:r w:rsidRPr="005F5B00">
        <w:rPr>
          <w:rFonts w:ascii="Franklin Gothic Medium" w:eastAsia="MS PGothic" w:hAnsi="Franklin Gothic Medium" w:cs="Times New Roman"/>
          <w:color w:val="000000"/>
          <w:sz w:val="24"/>
        </w:rPr>
        <w:t xml:space="preserve">Residential Natural Gas </w:t>
      </w:r>
    </w:p>
    <w:p w14:paraId="5BF5E358" w14:textId="77777777" w:rsidR="005F5B00" w:rsidRPr="005F5B00" w:rsidRDefault="005F5B00" w:rsidP="005F5B00">
      <w:pPr>
        <w:suppressAutoHyphens/>
        <w:spacing w:line="260" w:lineRule="exact"/>
        <w:rPr>
          <w:rFonts w:eastAsia="MS PGothic" w:cs="Times New Roman"/>
          <w:caps/>
          <w:color w:val="000000"/>
          <w:sz w:val="20"/>
          <w:szCs w:val="20"/>
        </w:rPr>
      </w:pPr>
      <w:r w:rsidRPr="005F5B00">
        <w:rPr>
          <w:rFonts w:eastAsia="MS PGothic" w:cs="Times New Roman"/>
          <w:caps/>
          <w:color w:val="000000"/>
          <w:sz w:val="20"/>
          <w:szCs w:val="20"/>
        </w:rPr>
        <w:t xml:space="preserve">Description </w:t>
      </w:r>
    </w:p>
    <w:p w14:paraId="031F8F33" w14:textId="2F735DCA" w:rsidR="005F5B00" w:rsidRPr="005F5B00" w:rsidRDefault="005F5B00" w:rsidP="005F5B00">
      <w:pPr>
        <w:spacing w:line="260" w:lineRule="exact"/>
        <w:rPr>
          <w:rFonts w:ascii="Franklin Gothic Book" w:eastAsia="MS PGothic" w:hAnsi="Franklin Gothic Book" w:cs="Times New Roman"/>
          <w:color w:val="000000"/>
          <w:sz w:val="22"/>
          <w:szCs w:val="22"/>
        </w:rPr>
      </w:pPr>
      <w:r w:rsidRPr="005F5B00">
        <w:rPr>
          <w:rFonts w:ascii="Franklin Gothic Book" w:eastAsia="MS PGothic" w:hAnsi="Franklin Gothic Book" w:cs="Times New Roman"/>
          <w:color w:val="000000"/>
          <w:sz w:val="22"/>
          <w:szCs w:val="22"/>
        </w:rPr>
        <w:t xml:space="preserve">Residential Natural Gas consumption accounts for combustion emissions from stationary fuel applications, such as furnaces. Energy use in buildings account for a significant portion of GHG emissions. According to the USCP, local jurisdictions can often influence </w:t>
      </w:r>
      <w:r w:rsidR="00655899">
        <w:rPr>
          <w:rFonts w:ascii="Franklin Gothic Book" w:eastAsia="MS PGothic" w:hAnsi="Franklin Gothic Book" w:cs="Times New Roman"/>
          <w:color w:val="000000"/>
          <w:sz w:val="22"/>
          <w:szCs w:val="22"/>
        </w:rPr>
        <w:t>energy</w:t>
      </w:r>
      <w:r w:rsidRPr="005F5B00">
        <w:rPr>
          <w:rFonts w:ascii="Franklin Gothic Book" w:eastAsia="MS PGothic" w:hAnsi="Franklin Gothic Book" w:cs="Times New Roman"/>
          <w:color w:val="000000"/>
          <w:sz w:val="22"/>
          <w:szCs w:val="22"/>
        </w:rPr>
        <w:t xml:space="preserve"> use through building codes, incentives, and technical assistance.</w:t>
      </w:r>
    </w:p>
    <w:p w14:paraId="6CC53E0A" w14:textId="77777777" w:rsidR="005F5B00" w:rsidRPr="005F5B00" w:rsidRDefault="005F5B00" w:rsidP="005F5B00">
      <w:pPr>
        <w:spacing w:line="260" w:lineRule="exact"/>
        <w:rPr>
          <w:rFonts w:ascii="Franklin Gothic Book" w:eastAsia="MS PGothic" w:hAnsi="Franklin Gothic Book" w:cs="Times New Roman"/>
          <w:color w:val="000000"/>
          <w:sz w:val="22"/>
          <w:szCs w:val="22"/>
          <w:highlight w:val="yellow"/>
        </w:rPr>
      </w:pPr>
    </w:p>
    <w:p w14:paraId="65E9ED69" w14:textId="77777777" w:rsidR="005F5B00" w:rsidRPr="005F5B00" w:rsidRDefault="005F5B00" w:rsidP="005F5B00">
      <w:pPr>
        <w:suppressAutoHyphens/>
        <w:spacing w:line="260" w:lineRule="exact"/>
        <w:rPr>
          <w:rFonts w:eastAsia="MS PGothic" w:cs="Times New Roman"/>
          <w:caps/>
          <w:color w:val="000000"/>
          <w:sz w:val="20"/>
          <w:szCs w:val="20"/>
        </w:rPr>
      </w:pPr>
      <w:r w:rsidRPr="005F5B00">
        <w:rPr>
          <w:rFonts w:eastAsia="MS PGothic" w:cs="Times New Roman"/>
          <w:caps/>
          <w:color w:val="000000"/>
          <w:sz w:val="20"/>
          <w:szCs w:val="20"/>
        </w:rPr>
        <w:t>Methodology</w:t>
      </w:r>
    </w:p>
    <w:p w14:paraId="5A45B593" w14:textId="79D95D4B" w:rsidR="005F5B00" w:rsidRPr="005F5B00" w:rsidRDefault="005F5B00" w:rsidP="005F5B00">
      <w:pPr>
        <w:spacing w:line="260" w:lineRule="exact"/>
        <w:rPr>
          <w:rFonts w:ascii="Franklin Gothic Book" w:eastAsia="MS PGothic" w:hAnsi="Franklin Gothic Book" w:cs="Times New Roman"/>
          <w:color w:val="000000"/>
          <w:sz w:val="22"/>
          <w:szCs w:val="22"/>
          <w:highlight w:val="yellow"/>
          <w:lang w:val="en"/>
        </w:rPr>
      </w:pPr>
      <w:r w:rsidRPr="005F5B00">
        <w:rPr>
          <w:rFonts w:ascii="Franklin Gothic Book" w:eastAsia="MS PGothic" w:hAnsi="Franklin Gothic Book" w:cs="Times New Roman"/>
          <w:color w:val="000000"/>
          <w:sz w:val="22"/>
          <w:szCs w:val="22"/>
          <w:lang w:val="en"/>
        </w:rPr>
        <w:t xml:space="preserve">The Residential Natural Gas emission calculations generally follow the </w:t>
      </w:r>
      <w:r w:rsidR="00323282">
        <w:rPr>
          <w:rFonts w:ascii="Franklin Gothic Book" w:eastAsia="MS PGothic" w:hAnsi="Franklin Gothic Book" w:cs="Times New Roman"/>
          <w:color w:val="000000"/>
          <w:sz w:val="22"/>
          <w:szCs w:val="22"/>
          <w:lang w:val="en"/>
        </w:rPr>
        <w:t>USCP</w:t>
      </w:r>
      <w:r w:rsidRPr="005F5B00">
        <w:rPr>
          <w:rFonts w:ascii="Franklin Gothic Book" w:eastAsia="MS PGothic" w:hAnsi="Franklin Gothic Book" w:cs="Times New Roman"/>
          <w:color w:val="000000"/>
          <w:sz w:val="22"/>
          <w:szCs w:val="22"/>
          <w:lang w:val="en"/>
        </w:rPr>
        <w:t xml:space="preserve"> recommended methodology as outlined in Appendix C, BE.1.1 from Version 1.1 of the Protocol.  </w:t>
      </w:r>
    </w:p>
    <w:p w14:paraId="0AF3631D" w14:textId="77777777" w:rsidR="005F5B00" w:rsidRPr="005F5B00" w:rsidRDefault="005F5B00" w:rsidP="005F5B00">
      <w:pPr>
        <w:spacing w:line="260" w:lineRule="exact"/>
        <w:rPr>
          <w:rFonts w:ascii="Franklin Gothic Book" w:eastAsia="MS PGothic" w:hAnsi="Franklin Gothic Book" w:cs="Times New Roman"/>
          <w:color w:val="000000"/>
          <w:sz w:val="22"/>
          <w:szCs w:val="22"/>
          <w:lang w:val="en"/>
        </w:rPr>
      </w:pPr>
    </w:p>
    <w:p w14:paraId="216996E8" w14:textId="77777777" w:rsidR="005F5B00" w:rsidRPr="005F5B00" w:rsidRDefault="005F5B00" w:rsidP="005F5B00">
      <w:pPr>
        <w:suppressAutoHyphens/>
        <w:spacing w:line="260" w:lineRule="exact"/>
        <w:rPr>
          <w:rFonts w:eastAsia="MS PGothic" w:cs="Times New Roman"/>
          <w:caps/>
          <w:color w:val="000000"/>
          <w:sz w:val="20"/>
          <w:szCs w:val="20"/>
        </w:rPr>
      </w:pPr>
      <w:r w:rsidRPr="005F5B00">
        <w:rPr>
          <w:rFonts w:eastAsia="MS PGothic" w:cs="Times New Roman"/>
          <w:caps/>
          <w:color w:val="000000"/>
          <w:sz w:val="20"/>
          <w:szCs w:val="20"/>
        </w:rPr>
        <w:t xml:space="preserve">Data Collection </w:t>
      </w:r>
    </w:p>
    <w:p w14:paraId="6ACF0411" w14:textId="629CDD0F" w:rsidR="005F5B00" w:rsidRDefault="005F5B00" w:rsidP="005F5B00">
      <w:pPr>
        <w:spacing w:line="260" w:lineRule="exact"/>
        <w:rPr>
          <w:rFonts w:ascii="Franklin Gothic Book" w:eastAsia="MS PGothic" w:hAnsi="Franklin Gothic Book" w:cs="Times New Roman"/>
          <w:color w:val="000000"/>
          <w:sz w:val="22"/>
          <w:szCs w:val="22"/>
        </w:rPr>
      </w:pPr>
      <w:r w:rsidRPr="005F5B00">
        <w:rPr>
          <w:rFonts w:ascii="Franklin Gothic Book" w:eastAsia="MS PGothic" w:hAnsi="Franklin Gothic Book" w:cs="Times New Roman"/>
          <w:color w:val="000000"/>
          <w:sz w:val="22"/>
          <w:szCs w:val="22"/>
        </w:rPr>
        <w:t xml:space="preserve">COG annually collects aggregated account and consumption data from the 3 natural gas utilities that serve metropolitan Washington. </w:t>
      </w:r>
    </w:p>
    <w:p w14:paraId="36D97B8A" w14:textId="77777777" w:rsidR="005F5B00" w:rsidRPr="005F5B00" w:rsidRDefault="005F5B00" w:rsidP="005F5B00">
      <w:pPr>
        <w:spacing w:line="260" w:lineRule="exact"/>
        <w:rPr>
          <w:rFonts w:ascii="Franklin Gothic Book" w:eastAsia="MS PGothic" w:hAnsi="Franklin Gothic Book" w:cs="Times New Roman"/>
          <w:color w:val="000000"/>
          <w:sz w:val="22"/>
          <w:szCs w:val="22"/>
        </w:rPr>
      </w:pPr>
    </w:p>
    <w:p w14:paraId="22DBEC73" w14:textId="77777777" w:rsidR="005F5B00" w:rsidRPr="005F5B00" w:rsidRDefault="005F5B00" w:rsidP="005F5B00">
      <w:pPr>
        <w:spacing w:line="260" w:lineRule="exact"/>
        <w:rPr>
          <w:rFonts w:ascii="Franklin Gothic Book" w:eastAsia="MS PGothic" w:hAnsi="Franklin Gothic Book" w:cs="Times New Roman"/>
          <w:color w:val="000000"/>
          <w:sz w:val="22"/>
          <w:szCs w:val="22"/>
        </w:rPr>
      </w:pPr>
      <w:r w:rsidRPr="005F5B00">
        <w:rPr>
          <w:rFonts w:ascii="Franklin Gothic Book" w:eastAsia="MS PGothic" w:hAnsi="Franklin Gothic Book" w:cs="Times New Roman"/>
          <w:color w:val="000000"/>
          <w:sz w:val="22"/>
          <w:szCs w:val="22"/>
        </w:rPr>
        <w:t xml:space="preserve">Data Needs: </w:t>
      </w:r>
    </w:p>
    <w:p w14:paraId="6A0ABD62" w14:textId="77777777" w:rsidR="005F5B00" w:rsidRPr="005F5B00" w:rsidRDefault="005F5B00" w:rsidP="005F5B00">
      <w:pPr>
        <w:numPr>
          <w:ilvl w:val="0"/>
          <w:numId w:val="29"/>
        </w:numPr>
        <w:spacing w:line="260" w:lineRule="exact"/>
        <w:ind w:left="720"/>
        <w:rPr>
          <w:rFonts w:ascii="Franklin Gothic Book" w:eastAsia="MS PGothic" w:hAnsi="Franklin Gothic Book" w:cs="Times New Roman"/>
          <w:color w:val="000000"/>
          <w:sz w:val="22"/>
          <w:szCs w:val="22"/>
        </w:rPr>
      </w:pPr>
      <w:r w:rsidRPr="005F5B00">
        <w:rPr>
          <w:rFonts w:ascii="Franklin Gothic Book" w:eastAsia="MS PGothic" w:hAnsi="Franklin Gothic Book" w:cs="Times New Roman"/>
          <w:color w:val="000000"/>
          <w:sz w:val="22"/>
          <w:szCs w:val="22"/>
        </w:rPr>
        <w:t xml:space="preserve">Accounts: Number of residential natural gas accounts from all utilities serving metropolitan Washington. </w:t>
      </w:r>
    </w:p>
    <w:p w14:paraId="39104EFD" w14:textId="77777777" w:rsidR="005F5B00" w:rsidRPr="005F5B00" w:rsidRDefault="005F5B00" w:rsidP="005F5B00">
      <w:pPr>
        <w:numPr>
          <w:ilvl w:val="0"/>
          <w:numId w:val="29"/>
        </w:numPr>
        <w:spacing w:line="260" w:lineRule="exact"/>
        <w:rPr>
          <w:rFonts w:eastAsia="MS PGothic" w:cs="Times New Roman"/>
          <w:color w:val="000000"/>
        </w:rPr>
      </w:pPr>
      <w:r w:rsidRPr="005F5B00">
        <w:rPr>
          <w:rFonts w:ascii="Franklin Gothic Book" w:eastAsia="MS PGothic" w:hAnsi="Franklin Gothic Book" w:cs="Times New Roman"/>
          <w:color w:val="000000"/>
          <w:sz w:val="22"/>
          <w:szCs w:val="22"/>
        </w:rPr>
        <w:t xml:space="preserve">Consumption: Annual residential consumption of natural gas in Therms from all utilities serving metropolitan Washington.  </w:t>
      </w:r>
    </w:p>
    <w:p w14:paraId="78EF197D" w14:textId="789230F7" w:rsidR="005F5B00" w:rsidRDefault="005F5B00" w:rsidP="005F5B00">
      <w:pPr>
        <w:pStyle w:val="BodyText-COG"/>
      </w:pPr>
    </w:p>
    <w:p w14:paraId="47EB221E" w14:textId="77777777" w:rsidR="00BB09CC" w:rsidRDefault="00BB09CC" w:rsidP="00BB09CC">
      <w:pPr>
        <w:pStyle w:val="Level4Head-COG"/>
      </w:pPr>
      <w:r>
        <w:t xml:space="preserve">Residential Fuel Oil </w:t>
      </w:r>
    </w:p>
    <w:p w14:paraId="2288B06B" w14:textId="77777777" w:rsidR="00BB09CC" w:rsidRDefault="00BB09CC" w:rsidP="00BB09CC">
      <w:pPr>
        <w:pStyle w:val="Level5Head-COG"/>
        <w:spacing w:line="260" w:lineRule="exact"/>
      </w:pPr>
      <w:r>
        <w:t xml:space="preserve">Description </w:t>
      </w:r>
    </w:p>
    <w:p w14:paraId="70E4B257" w14:textId="132AE8AA" w:rsidR="00BB09CC" w:rsidRPr="00BB09CC" w:rsidRDefault="00BB09CC" w:rsidP="00BB09CC">
      <w:pPr>
        <w:spacing w:line="260" w:lineRule="exact"/>
        <w:rPr>
          <w:rFonts w:ascii="Franklin Gothic Book" w:hAnsi="Franklin Gothic Book"/>
          <w:sz w:val="22"/>
          <w:szCs w:val="22"/>
        </w:rPr>
      </w:pPr>
      <w:r w:rsidRPr="00BB09CC">
        <w:rPr>
          <w:rFonts w:ascii="Franklin Gothic Book" w:hAnsi="Franklin Gothic Book"/>
          <w:sz w:val="22"/>
          <w:szCs w:val="22"/>
        </w:rPr>
        <w:t xml:space="preserve">Residential Fuel Oil accounts for both distillate fuel </w:t>
      </w:r>
      <w:proofErr w:type="gramStart"/>
      <w:r w:rsidRPr="00BB09CC">
        <w:rPr>
          <w:rFonts w:ascii="Franklin Gothic Book" w:hAnsi="Franklin Gothic Book"/>
          <w:sz w:val="22"/>
          <w:szCs w:val="22"/>
        </w:rPr>
        <w:t>oils</w:t>
      </w:r>
      <w:proofErr w:type="gramEnd"/>
      <w:r w:rsidRPr="00BB09CC">
        <w:rPr>
          <w:rFonts w:ascii="Franklin Gothic Book" w:hAnsi="Franklin Gothic Book"/>
          <w:sz w:val="22"/>
          <w:szCs w:val="22"/>
        </w:rPr>
        <w:t xml:space="preserve"> and kerosene used in stationary applications. Energy use in buildings account for a significant portion of GHG emissions. According to the USCP, local jurisdictions can often influence </w:t>
      </w:r>
      <w:r w:rsidR="00655899">
        <w:rPr>
          <w:rFonts w:ascii="Franklin Gothic Book" w:hAnsi="Franklin Gothic Book"/>
          <w:sz w:val="22"/>
          <w:szCs w:val="22"/>
        </w:rPr>
        <w:t>energy</w:t>
      </w:r>
      <w:r w:rsidRPr="00BB09CC">
        <w:rPr>
          <w:rFonts w:ascii="Franklin Gothic Book" w:hAnsi="Franklin Gothic Book"/>
          <w:sz w:val="22"/>
          <w:szCs w:val="22"/>
        </w:rPr>
        <w:t xml:space="preserve"> use through building codes, incentives, and technical assistance.</w:t>
      </w:r>
    </w:p>
    <w:p w14:paraId="109A99A9" w14:textId="77777777" w:rsidR="00BB09CC" w:rsidRPr="00BB09CC" w:rsidRDefault="00BB09CC" w:rsidP="00BB09CC">
      <w:pPr>
        <w:pStyle w:val="BodyText-COG"/>
      </w:pPr>
    </w:p>
    <w:p w14:paraId="1605AB29" w14:textId="53CBCAE0" w:rsidR="00BB09CC" w:rsidRPr="00BB09CC" w:rsidRDefault="00BB09CC" w:rsidP="00BB09CC">
      <w:pPr>
        <w:pStyle w:val="BodyText-COG"/>
        <w:rPr>
          <w:lang w:val="en"/>
        </w:rPr>
      </w:pPr>
      <w:r w:rsidRPr="00BB09CC">
        <w:t xml:space="preserve">Distillate fuel oils include both fuel oils and diesel fuels that are further classified by level of volatility, listed from least to greatest (No. 1, No. 2, and No. 4). </w:t>
      </w:r>
      <w:r w:rsidRPr="00BB09CC">
        <w:rPr>
          <w:lang w:val="en"/>
        </w:rPr>
        <w:t>Residential fuel oils are less volatile than gasoline and are burned for space heating or water</w:t>
      </w:r>
      <w:r w:rsidRPr="00BB09CC">
        <w:t xml:space="preserve"> heating by private household consumers. No.2 fuel oil (Heating Oil) is the most common type used by households for the specific purpose of heating their home, water heating, cooking, etc., excluding </w:t>
      </w:r>
      <w:r w:rsidR="009556AE" w:rsidRPr="00BB09CC">
        <w:t>farmhouses</w:t>
      </w:r>
      <w:r w:rsidRPr="00BB09CC">
        <w:t xml:space="preserve">, farming, and apartment buildings. No. 1 fuel oil is used by households mainly for portable outdoor stoves and portable outdoor heaters. </w:t>
      </w:r>
      <w:r w:rsidRPr="00BB09CC">
        <w:lastRenderedPageBreak/>
        <w:t xml:space="preserve">Kerosene </w:t>
      </w:r>
      <w:r w:rsidRPr="00BB09CC">
        <w:rPr>
          <w:lang w:val="en"/>
        </w:rPr>
        <w:t xml:space="preserve">is a distilled product of oil or coal with the generic name kerosene, having properties like those of No. 1 fuel oil. </w:t>
      </w:r>
    </w:p>
    <w:p w14:paraId="7283F14C" w14:textId="77777777" w:rsidR="00BB09CC" w:rsidRPr="00BB09CC" w:rsidRDefault="00BB09CC" w:rsidP="00BB09CC">
      <w:pPr>
        <w:pStyle w:val="BodyText-COG"/>
        <w:rPr>
          <w:highlight w:val="yellow"/>
        </w:rPr>
      </w:pPr>
    </w:p>
    <w:p w14:paraId="4ACCF3A9" w14:textId="77777777" w:rsidR="00BB09CC" w:rsidRDefault="00BB09CC" w:rsidP="00BB09CC">
      <w:pPr>
        <w:pStyle w:val="Level5Head-COG"/>
        <w:spacing w:line="260" w:lineRule="exact"/>
        <w:rPr>
          <w:color w:val="auto"/>
        </w:rPr>
      </w:pPr>
      <w:r>
        <w:rPr>
          <w:color w:val="auto"/>
        </w:rPr>
        <w:t xml:space="preserve">Methodology </w:t>
      </w:r>
    </w:p>
    <w:p w14:paraId="33AC6865" w14:textId="164B1974" w:rsidR="00BB09CC" w:rsidRPr="00BB09CC" w:rsidRDefault="00BB09CC" w:rsidP="00BB09CC">
      <w:pPr>
        <w:pStyle w:val="BodyText-COG"/>
        <w:rPr>
          <w:color w:val="auto"/>
        </w:rPr>
      </w:pPr>
      <w:r w:rsidRPr="00BB09CC">
        <w:rPr>
          <w:color w:val="auto"/>
          <w:szCs w:val="22"/>
          <w:lang w:val="en"/>
        </w:rPr>
        <w:t xml:space="preserve">The Residential Fuel Oil emission calculations follows the </w:t>
      </w:r>
      <w:r w:rsidR="00323282">
        <w:rPr>
          <w:color w:val="auto"/>
          <w:szCs w:val="22"/>
          <w:lang w:val="en"/>
        </w:rPr>
        <w:t>USCP</w:t>
      </w:r>
      <w:r w:rsidRPr="00BB09CC">
        <w:rPr>
          <w:color w:val="auto"/>
          <w:szCs w:val="22"/>
          <w:lang w:val="en"/>
        </w:rPr>
        <w:t xml:space="preserve"> recommended methodology as outlined in Appendix C, BE.1.2 from Version 1.1 of the Protocol. This methodology estimates residential fuel oil consumption in gallons (including distillate fuel oil and kerosene) by estimating per household consumption in DC, MD and VA and multiplying that by the estimated number of households using fuel oil as a home heating fuel in the region and each jurisdiction. Gallons are used to estimate emissions. </w:t>
      </w:r>
    </w:p>
    <w:p w14:paraId="782DC7E6" w14:textId="77777777" w:rsidR="00BB09CC" w:rsidRDefault="00BB09CC" w:rsidP="00BB09CC">
      <w:pPr>
        <w:pStyle w:val="Level5Head-COG"/>
        <w:spacing w:line="260" w:lineRule="exact"/>
      </w:pPr>
      <w:r>
        <w:t xml:space="preserve"> </w:t>
      </w:r>
    </w:p>
    <w:p w14:paraId="0F5AC143" w14:textId="77777777" w:rsidR="00BB09CC" w:rsidRDefault="00BB09CC" w:rsidP="00BB09CC">
      <w:pPr>
        <w:pStyle w:val="Level5Head-COG"/>
        <w:spacing w:line="260" w:lineRule="exact"/>
      </w:pPr>
      <w:r>
        <w:t>Data Collection</w:t>
      </w:r>
    </w:p>
    <w:p w14:paraId="27B4E0D0" w14:textId="50B6E0A7" w:rsidR="00BB09CC" w:rsidRDefault="00BB09CC" w:rsidP="00BB09CC">
      <w:pPr>
        <w:pStyle w:val="BodyText-COG"/>
      </w:pPr>
      <w:r>
        <w:t xml:space="preserve">Local data on households and consumption related to fuel oil is not readily available for all COG members. However, the Energy Information Administration (EIA) has readily available data on state-wide fuel oil consumption and the ACS has readily available data on number of households using fuel oil as a home heating fuel. </w:t>
      </w:r>
    </w:p>
    <w:p w14:paraId="5B3F7C44" w14:textId="77777777" w:rsidR="00BB09CC" w:rsidRDefault="00BB09CC" w:rsidP="00BB09CC">
      <w:pPr>
        <w:pStyle w:val="BodyText-COG"/>
      </w:pPr>
    </w:p>
    <w:p w14:paraId="61214B40" w14:textId="77777777" w:rsidR="00BB09CC" w:rsidRDefault="00BB09CC" w:rsidP="00BB09CC">
      <w:pPr>
        <w:pStyle w:val="BodyText-COG"/>
      </w:pPr>
      <w:r>
        <w:t>Data Needs:</w:t>
      </w:r>
    </w:p>
    <w:p w14:paraId="5550BF39" w14:textId="77777777" w:rsidR="00BB09CC" w:rsidRDefault="00BB09CC" w:rsidP="00BB09CC">
      <w:pPr>
        <w:pStyle w:val="BodyText-COG"/>
        <w:numPr>
          <w:ilvl w:val="0"/>
          <w:numId w:val="30"/>
        </w:numPr>
        <w:ind w:left="720"/>
      </w:pPr>
      <w:r>
        <w:t xml:space="preserve">Households using Fuel Oil: Number of households using fuel oil data for all COG jurisdictions and states collected from the ACS’ Selected Housing Characteristics. </w:t>
      </w:r>
    </w:p>
    <w:p w14:paraId="15C4D9E8" w14:textId="77777777" w:rsidR="00BB09CC" w:rsidRDefault="00BB09CC" w:rsidP="00BB09CC">
      <w:pPr>
        <w:pStyle w:val="BodyText-COG"/>
        <w:numPr>
          <w:ilvl w:val="0"/>
          <w:numId w:val="31"/>
        </w:numPr>
      </w:pPr>
      <w:r>
        <w:t xml:space="preserve">Statewide Residential Fuel Oil Consumption: EIA State Energy Data System (SEDs) data for Statewide Residential Distillate Fuel Oil and Kerosene consumption in thousands of barrels (000’ Barrels). </w:t>
      </w:r>
    </w:p>
    <w:p w14:paraId="1B6D6CAB" w14:textId="6DEC4C3D" w:rsidR="00BB09CC" w:rsidRDefault="00BB09CC" w:rsidP="005F5B00">
      <w:pPr>
        <w:pStyle w:val="BodyText-COG"/>
      </w:pPr>
    </w:p>
    <w:p w14:paraId="4C144807" w14:textId="77777777" w:rsidR="00BE44F7" w:rsidRDefault="00BE44F7" w:rsidP="00BE44F7">
      <w:pPr>
        <w:pStyle w:val="Level4Head-COG"/>
      </w:pPr>
      <w:r>
        <w:t xml:space="preserve">Residential LPG  </w:t>
      </w:r>
    </w:p>
    <w:p w14:paraId="411C11E7" w14:textId="77777777" w:rsidR="00BE44F7" w:rsidRDefault="00BE44F7" w:rsidP="00BE44F7">
      <w:pPr>
        <w:pStyle w:val="Level5Head-COG"/>
        <w:spacing w:line="260" w:lineRule="exact"/>
      </w:pPr>
      <w:r>
        <w:t>Description</w:t>
      </w:r>
    </w:p>
    <w:p w14:paraId="555AC0B7" w14:textId="2ABE19CA" w:rsidR="009556AE" w:rsidRDefault="009556AE" w:rsidP="009556AE">
      <w:pPr>
        <w:pStyle w:val="BodyText-COG"/>
        <w:spacing w:line="240" w:lineRule="auto"/>
        <w:rPr>
          <w:color w:val="auto"/>
        </w:rPr>
      </w:pPr>
      <w:r>
        <w:rPr>
          <w:color w:val="auto"/>
        </w:rPr>
        <w:t>Liquefied Petroleum Gas (LPG) refers to a group of hydrocarbon gases derived from crude oil refining or natural gas processing. Propane is the most common LPG. In the U.S. and Canada, commercially available propane (LPG) is not totally pure; its typically at least 90</w:t>
      </w:r>
      <w:r w:rsidR="00186366">
        <w:rPr>
          <w:color w:val="auto"/>
        </w:rPr>
        <w:t xml:space="preserve"> percent</w:t>
      </w:r>
      <w:r>
        <w:rPr>
          <w:color w:val="auto"/>
        </w:rPr>
        <w:t xml:space="preserve"> propane, with the rest being ethane, propylene, butane, and odorants including ethyl mercaptan. LPGs are used as fuel in heating appliances, cooking equipment, and vehicles. It is usually delivered by tank trucks and stored near a housing unit in a tank or cylinder until used; however, propane stored in canisters can also be purchased from retail stores. For our purposes, LPG’s are equated with propane, yet propane also encompasses similar fuel gases, such as butane, supplied to a residence in liquid form. According to the USCP, local jurisdictions can often influence </w:t>
      </w:r>
      <w:r w:rsidR="00655899">
        <w:rPr>
          <w:color w:val="auto"/>
        </w:rPr>
        <w:t>energy</w:t>
      </w:r>
      <w:r>
        <w:rPr>
          <w:color w:val="auto"/>
        </w:rPr>
        <w:t xml:space="preserve"> use through building codes, incentives, and technical assistance.</w:t>
      </w:r>
    </w:p>
    <w:p w14:paraId="76CD050C" w14:textId="77777777" w:rsidR="00BE44F7" w:rsidRPr="00BE44F7" w:rsidRDefault="00BE44F7" w:rsidP="00BE44F7">
      <w:pPr>
        <w:pStyle w:val="BodyText-COG"/>
        <w:rPr>
          <w:highlight w:val="yellow"/>
        </w:rPr>
      </w:pPr>
    </w:p>
    <w:p w14:paraId="32478656" w14:textId="77777777" w:rsidR="00BE44F7" w:rsidRDefault="00BE44F7" w:rsidP="00BE44F7">
      <w:pPr>
        <w:pStyle w:val="Level5Head-COG"/>
        <w:spacing w:line="260" w:lineRule="exact"/>
      </w:pPr>
      <w:r>
        <w:t xml:space="preserve">methodology </w:t>
      </w:r>
    </w:p>
    <w:p w14:paraId="7CF95726" w14:textId="21B31231" w:rsidR="00BE44F7" w:rsidRPr="00BE44F7" w:rsidRDefault="00BE44F7" w:rsidP="00BE44F7">
      <w:pPr>
        <w:pStyle w:val="BodyText-COG"/>
        <w:rPr>
          <w:color w:val="auto"/>
        </w:rPr>
      </w:pPr>
      <w:r w:rsidRPr="00BE44F7">
        <w:rPr>
          <w:color w:val="auto"/>
          <w:szCs w:val="22"/>
          <w:lang w:val="en"/>
        </w:rPr>
        <w:t xml:space="preserve">The Residential LPG emission calculations follows the </w:t>
      </w:r>
      <w:r w:rsidR="00323282">
        <w:rPr>
          <w:color w:val="auto"/>
          <w:szCs w:val="22"/>
          <w:lang w:val="en"/>
        </w:rPr>
        <w:t xml:space="preserve">USCP </w:t>
      </w:r>
      <w:r w:rsidRPr="00BE44F7">
        <w:rPr>
          <w:color w:val="auto"/>
          <w:szCs w:val="22"/>
          <w:lang w:val="en"/>
        </w:rPr>
        <w:t xml:space="preserve">recommended methodology as outlined in Appendix C, BE.1.2 from Version 1.1 of the Protocol. This methodology estimates residential LPG consumption in gallons by estimating per household consumption in DC, MD and VA and multiplying that by the estimated number of households using fuel oil as a home heating fuel in the region and each jurisdiction. Gallons are used to estimate emissions. </w:t>
      </w:r>
    </w:p>
    <w:p w14:paraId="049138B5" w14:textId="77777777" w:rsidR="00BE44F7" w:rsidRDefault="00BE44F7" w:rsidP="00BE44F7">
      <w:pPr>
        <w:pStyle w:val="Level5Head-COG"/>
        <w:spacing w:line="260" w:lineRule="exact"/>
      </w:pPr>
      <w:r>
        <w:t xml:space="preserve"> </w:t>
      </w:r>
    </w:p>
    <w:p w14:paraId="52391A72" w14:textId="77777777" w:rsidR="00BE44F7" w:rsidRDefault="00BE44F7" w:rsidP="00BE44F7">
      <w:pPr>
        <w:pStyle w:val="Level5Head-COG"/>
        <w:spacing w:line="260" w:lineRule="exact"/>
      </w:pPr>
      <w:r>
        <w:t>Data Collection</w:t>
      </w:r>
    </w:p>
    <w:p w14:paraId="73B86512" w14:textId="7C3BF4F8" w:rsidR="00BE44F7" w:rsidRDefault="00BE44F7" w:rsidP="00BE44F7">
      <w:pPr>
        <w:pStyle w:val="BodyText-COG"/>
      </w:pPr>
      <w:r>
        <w:t xml:space="preserve">Local data on households and consumption related to fuel oil is not readily available for all COG members. However, the EIA has readily available data on state-wide fuel oil consumption and the ACS has readily available data on number of households using fuel oil as a home heating fuel. </w:t>
      </w:r>
    </w:p>
    <w:p w14:paraId="040A65B2" w14:textId="042E589E" w:rsidR="00BE44F7" w:rsidRDefault="00BE44F7" w:rsidP="00BE44F7">
      <w:pPr>
        <w:pStyle w:val="BodyText-COG"/>
        <w:ind w:left="2160"/>
      </w:pPr>
    </w:p>
    <w:p w14:paraId="010A46AC" w14:textId="77777777" w:rsidR="002B3D90" w:rsidRDefault="002B3D90" w:rsidP="00BE44F7">
      <w:pPr>
        <w:pStyle w:val="BodyText-COG"/>
        <w:ind w:left="2160"/>
      </w:pPr>
    </w:p>
    <w:p w14:paraId="1DEBFE69" w14:textId="77777777" w:rsidR="00BE44F7" w:rsidRDefault="00BE44F7" w:rsidP="00BE44F7">
      <w:pPr>
        <w:pStyle w:val="BodyText-COG"/>
      </w:pPr>
      <w:r>
        <w:lastRenderedPageBreak/>
        <w:t xml:space="preserve">Data Needs: </w:t>
      </w:r>
    </w:p>
    <w:p w14:paraId="018BC416" w14:textId="721222B9" w:rsidR="00BE44F7" w:rsidRDefault="00BE44F7" w:rsidP="00BE44F7">
      <w:pPr>
        <w:pStyle w:val="BodyText-COG"/>
        <w:numPr>
          <w:ilvl w:val="0"/>
          <w:numId w:val="32"/>
        </w:numPr>
        <w:ind w:left="720"/>
      </w:pPr>
      <w:r>
        <w:t xml:space="preserve">Households using LPG: Number of households using LPG data for all COG jurisdictions and states collected from the </w:t>
      </w:r>
      <w:r w:rsidR="009556AE">
        <w:t>ACS</w:t>
      </w:r>
      <w:r>
        <w:t xml:space="preserve">’s Selected Housing Characteristics. </w:t>
      </w:r>
    </w:p>
    <w:p w14:paraId="69EE2D79" w14:textId="77777777" w:rsidR="00BE44F7" w:rsidRDefault="00BE44F7" w:rsidP="00BE44F7">
      <w:pPr>
        <w:pStyle w:val="BodyText-COG"/>
        <w:numPr>
          <w:ilvl w:val="0"/>
          <w:numId w:val="32"/>
        </w:numPr>
      </w:pPr>
      <w:r>
        <w:t xml:space="preserve">Statewide Residential LPG Consumption: EIA State Energy Data System (SEDs) data for Statewide Residential LPG consumption in thousands of barrels (000’ Barrels). </w:t>
      </w:r>
    </w:p>
    <w:p w14:paraId="1D35A22B" w14:textId="6998E625" w:rsidR="00BE44F7" w:rsidRDefault="00BE44F7" w:rsidP="00BE44F7">
      <w:pPr>
        <w:pStyle w:val="BodyText-COG"/>
      </w:pPr>
    </w:p>
    <w:p w14:paraId="61518959" w14:textId="4D3F8BFA" w:rsidR="000B14B4" w:rsidRDefault="000B14B4" w:rsidP="00824F84">
      <w:pPr>
        <w:pStyle w:val="Level2Head-COG"/>
        <w:spacing w:line="240" w:lineRule="auto"/>
      </w:pPr>
      <w:bookmarkStart w:id="403" w:name="_Toc535399917"/>
      <w:bookmarkStart w:id="404" w:name="_Toc50968782"/>
      <w:bookmarkStart w:id="405" w:name="_Toc51077771"/>
      <w:r>
        <w:t>Commercial Energy</w:t>
      </w:r>
      <w:bookmarkEnd w:id="403"/>
      <w:bookmarkEnd w:id="404"/>
      <w:bookmarkEnd w:id="405"/>
      <w:r>
        <w:t xml:space="preserve"> </w:t>
      </w:r>
    </w:p>
    <w:p w14:paraId="19E9D4E8" w14:textId="77777777" w:rsidR="00824F84" w:rsidRPr="00824F84" w:rsidRDefault="00824F84" w:rsidP="00824F84">
      <w:pPr>
        <w:pStyle w:val="BodyText-COG"/>
      </w:pPr>
    </w:p>
    <w:p w14:paraId="2925678E" w14:textId="3A998F04" w:rsidR="000B14B4" w:rsidRDefault="000B14B4" w:rsidP="00824F84">
      <w:pPr>
        <w:pStyle w:val="Level3Head-COG"/>
        <w:spacing w:before="0" w:line="240" w:lineRule="auto"/>
      </w:pPr>
      <w:bookmarkStart w:id="406" w:name="_Toc535399918"/>
      <w:bookmarkStart w:id="407" w:name="_Toc50968783"/>
      <w:bookmarkStart w:id="408" w:name="_Toc51077772"/>
      <w:r>
        <w:t>EMISSIONS FROM GRID ELECTRICITY</w:t>
      </w:r>
      <w:bookmarkEnd w:id="406"/>
      <w:bookmarkEnd w:id="407"/>
      <w:bookmarkEnd w:id="408"/>
      <w:r>
        <w:t xml:space="preserve"> </w:t>
      </w:r>
    </w:p>
    <w:p w14:paraId="301051EA" w14:textId="77777777" w:rsidR="00824F84" w:rsidRPr="00824F84" w:rsidRDefault="00824F84" w:rsidP="00824F84">
      <w:pPr>
        <w:pStyle w:val="BodyText-COG"/>
      </w:pPr>
    </w:p>
    <w:p w14:paraId="3BC35C7A" w14:textId="77777777" w:rsidR="000B14B4" w:rsidRDefault="000B14B4" w:rsidP="00A71A9C">
      <w:pPr>
        <w:pStyle w:val="Level4Head-COG"/>
      </w:pPr>
      <w:r>
        <w:t xml:space="preserve">Commercial Electricity </w:t>
      </w:r>
    </w:p>
    <w:p w14:paraId="50BF847E" w14:textId="77777777" w:rsidR="000B14B4" w:rsidRDefault="000B14B4" w:rsidP="00A71A9C">
      <w:pPr>
        <w:pStyle w:val="Level5Head-COG"/>
        <w:spacing w:line="260" w:lineRule="exact"/>
      </w:pPr>
      <w:r>
        <w:t xml:space="preserve">Description </w:t>
      </w:r>
    </w:p>
    <w:p w14:paraId="5E4ABD3F" w14:textId="0382AF5B" w:rsidR="000B14B4" w:rsidRPr="00A71A9C" w:rsidRDefault="000B14B4" w:rsidP="00A71A9C">
      <w:pPr>
        <w:spacing w:line="260" w:lineRule="exact"/>
        <w:rPr>
          <w:rFonts w:ascii="Franklin Gothic Book" w:hAnsi="Franklin Gothic Book"/>
          <w:sz w:val="22"/>
          <w:szCs w:val="22"/>
        </w:rPr>
      </w:pPr>
      <w:r w:rsidRPr="00A71A9C">
        <w:rPr>
          <w:rFonts w:ascii="Franklin Gothic Book" w:hAnsi="Franklin Gothic Book"/>
          <w:sz w:val="22"/>
          <w:szCs w:val="22"/>
        </w:rPr>
        <w:t xml:space="preserve">Commercial Electricity accounts for emissions resulting in electricity use in commercial, government, industrial, and other non-residential </w:t>
      </w:r>
      <w:proofErr w:type="gramStart"/>
      <w:r w:rsidRPr="00A71A9C">
        <w:rPr>
          <w:rFonts w:ascii="Franklin Gothic Book" w:hAnsi="Franklin Gothic Book"/>
          <w:sz w:val="22"/>
          <w:szCs w:val="22"/>
        </w:rPr>
        <w:t>buildings</w:t>
      </w:r>
      <w:proofErr w:type="gramEnd"/>
      <w:r w:rsidRPr="00A71A9C">
        <w:rPr>
          <w:rFonts w:ascii="Franklin Gothic Book" w:hAnsi="Franklin Gothic Book"/>
          <w:sz w:val="22"/>
          <w:szCs w:val="22"/>
        </w:rPr>
        <w:t xml:space="preserve"> and facilities. Energy use in buildings account for a significant portion of GHG emissions. According to the USCP, local jurisdictions can often influence </w:t>
      </w:r>
      <w:r w:rsidR="00655899">
        <w:rPr>
          <w:rFonts w:ascii="Franklin Gothic Book" w:hAnsi="Franklin Gothic Book"/>
          <w:sz w:val="22"/>
          <w:szCs w:val="22"/>
        </w:rPr>
        <w:t>energy</w:t>
      </w:r>
      <w:r w:rsidRPr="00A71A9C">
        <w:rPr>
          <w:rFonts w:ascii="Franklin Gothic Book" w:hAnsi="Franklin Gothic Book"/>
          <w:sz w:val="22"/>
          <w:szCs w:val="22"/>
        </w:rPr>
        <w:t xml:space="preserve"> use through building codes, incentives, and technical assistance.</w:t>
      </w:r>
    </w:p>
    <w:p w14:paraId="744B142B" w14:textId="77777777" w:rsidR="000B14B4" w:rsidRPr="00A71A9C" w:rsidRDefault="000B14B4" w:rsidP="00A71A9C">
      <w:pPr>
        <w:spacing w:line="260" w:lineRule="exact"/>
        <w:rPr>
          <w:rFonts w:ascii="Franklin Gothic Book" w:hAnsi="Franklin Gothic Book"/>
          <w:sz w:val="22"/>
          <w:szCs w:val="22"/>
        </w:rPr>
      </w:pPr>
    </w:p>
    <w:p w14:paraId="7F51A03E" w14:textId="77777777" w:rsidR="000B14B4" w:rsidRDefault="000B14B4" w:rsidP="00A71A9C">
      <w:pPr>
        <w:pStyle w:val="Level5Head-COG"/>
        <w:spacing w:line="260" w:lineRule="exact"/>
      </w:pPr>
      <w:r>
        <w:t>Methodology</w:t>
      </w:r>
    </w:p>
    <w:p w14:paraId="797D56A4" w14:textId="2BB65526" w:rsidR="000B14B4" w:rsidRPr="00A71A9C" w:rsidRDefault="000B14B4" w:rsidP="00A71A9C">
      <w:pPr>
        <w:pStyle w:val="BodyText-COG"/>
        <w:rPr>
          <w:szCs w:val="22"/>
          <w:lang w:val="en"/>
        </w:rPr>
      </w:pPr>
      <w:r w:rsidRPr="00A71A9C">
        <w:rPr>
          <w:szCs w:val="22"/>
          <w:lang w:val="en"/>
        </w:rPr>
        <w:t xml:space="preserve">The Commercial Electricity emission calculations follow the USCP recommended methodology as outlined in Appendix C, BE.2.1 from Version 1.1 of the Protocol. Consumption data and the U.S. EPA </w:t>
      </w:r>
      <w:proofErr w:type="spellStart"/>
      <w:r w:rsidRPr="00A71A9C">
        <w:rPr>
          <w:szCs w:val="22"/>
          <w:lang w:val="en"/>
        </w:rPr>
        <w:t>eGRID</w:t>
      </w:r>
      <w:proofErr w:type="spellEnd"/>
      <w:r w:rsidRPr="00A71A9C">
        <w:rPr>
          <w:szCs w:val="22"/>
          <w:lang w:val="en"/>
        </w:rPr>
        <w:t xml:space="preserve"> emission data are factored into the emission estimates calculated in ClearPath. </w:t>
      </w:r>
    </w:p>
    <w:p w14:paraId="5871D5FA" w14:textId="77777777" w:rsidR="000B14B4" w:rsidRPr="00A71A9C" w:rsidRDefault="000B14B4" w:rsidP="00A71A9C">
      <w:pPr>
        <w:pStyle w:val="BodyText-COG"/>
      </w:pPr>
      <w:r w:rsidRPr="00A71A9C">
        <w:rPr>
          <w:szCs w:val="22"/>
          <w:lang w:val="en"/>
        </w:rPr>
        <w:t xml:space="preserve"> </w:t>
      </w:r>
    </w:p>
    <w:p w14:paraId="6B1A89C0" w14:textId="77777777" w:rsidR="000B14B4" w:rsidRDefault="000B14B4" w:rsidP="00A71A9C">
      <w:pPr>
        <w:pStyle w:val="Level5Head-COG"/>
        <w:spacing w:line="260" w:lineRule="exact"/>
      </w:pPr>
      <w:r>
        <w:t xml:space="preserve">Data Collection </w:t>
      </w:r>
    </w:p>
    <w:p w14:paraId="742377D8" w14:textId="77777777" w:rsidR="000B14B4" w:rsidRPr="0029585C" w:rsidRDefault="000B14B4" w:rsidP="00A71A9C">
      <w:pPr>
        <w:spacing w:line="260" w:lineRule="exact"/>
        <w:rPr>
          <w:rFonts w:ascii="Franklin Gothic Book" w:hAnsi="Franklin Gothic Book"/>
          <w:sz w:val="22"/>
          <w:szCs w:val="22"/>
        </w:rPr>
      </w:pPr>
      <w:r w:rsidRPr="0029585C">
        <w:rPr>
          <w:rFonts w:ascii="Franklin Gothic Book" w:hAnsi="Franklin Gothic Book"/>
          <w:sz w:val="22"/>
          <w:szCs w:val="22"/>
        </w:rPr>
        <w:t xml:space="preserve">COG annually collects aggregated account and consumption data from the 7 electric utilities that serve metropolitan Washington. </w:t>
      </w:r>
    </w:p>
    <w:p w14:paraId="0FB9854B" w14:textId="77777777" w:rsidR="000B14B4" w:rsidRPr="0029585C" w:rsidRDefault="000B14B4" w:rsidP="00A71A9C">
      <w:pPr>
        <w:pStyle w:val="BodyText-COG"/>
        <w:rPr>
          <w:i/>
          <w:szCs w:val="22"/>
          <w:highlight w:val="yellow"/>
        </w:rPr>
      </w:pPr>
    </w:p>
    <w:p w14:paraId="5B3B5068" w14:textId="77777777" w:rsidR="000B14B4" w:rsidRPr="0029585C" w:rsidRDefault="000B14B4" w:rsidP="00A71A9C">
      <w:pPr>
        <w:spacing w:line="260" w:lineRule="exact"/>
        <w:rPr>
          <w:rFonts w:ascii="Franklin Gothic Book" w:hAnsi="Franklin Gothic Book"/>
          <w:sz w:val="22"/>
          <w:szCs w:val="22"/>
          <w:highlight w:val="yellow"/>
        </w:rPr>
      </w:pPr>
      <w:r w:rsidRPr="0029585C">
        <w:rPr>
          <w:rFonts w:ascii="Franklin Gothic Book" w:hAnsi="Franklin Gothic Book"/>
          <w:sz w:val="22"/>
          <w:szCs w:val="22"/>
        </w:rPr>
        <w:t xml:space="preserve">Data Needs: </w:t>
      </w:r>
    </w:p>
    <w:p w14:paraId="0D888E89" w14:textId="77777777" w:rsidR="000B14B4" w:rsidRPr="0029585C" w:rsidRDefault="000B14B4" w:rsidP="00A71A9C">
      <w:pPr>
        <w:numPr>
          <w:ilvl w:val="0"/>
          <w:numId w:val="28"/>
        </w:numPr>
        <w:spacing w:line="260" w:lineRule="exact"/>
        <w:ind w:left="720"/>
        <w:rPr>
          <w:rFonts w:ascii="Franklin Gothic Book" w:hAnsi="Franklin Gothic Book"/>
          <w:sz w:val="22"/>
          <w:szCs w:val="22"/>
        </w:rPr>
      </w:pPr>
      <w:r w:rsidRPr="0029585C">
        <w:rPr>
          <w:rFonts w:ascii="Franklin Gothic Book" w:hAnsi="Franklin Gothic Book"/>
          <w:sz w:val="22"/>
          <w:szCs w:val="22"/>
        </w:rPr>
        <w:t xml:space="preserve">Accounts: Number of commercial electric accounts from all utilities serving metropolitan Washington. </w:t>
      </w:r>
    </w:p>
    <w:p w14:paraId="4AD0CEB3" w14:textId="77777777" w:rsidR="000B14B4" w:rsidRPr="0029585C" w:rsidRDefault="000B14B4" w:rsidP="00A71A9C">
      <w:pPr>
        <w:numPr>
          <w:ilvl w:val="0"/>
          <w:numId w:val="28"/>
        </w:numPr>
        <w:spacing w:line="260" w:lineRule="exact"/>
        <w:ind w:left="720"/>
        <w:rPr>
          <w:rFonts w:ascii="Franklin Gothic Book" w:hAnsi="Franklin Gothic Book"/>
        </w:rPr>
      </w:pPr>
      <w:r w:rsidRPr="0029585C">
        <w:rPr>
          <w:rFonts w:ascii="Franklin Gothic Book" w:hAnsi="Franklin Gothic Book"/>
          <w:sz w:val="22"/>
          <w:szCs w:val="22"/>
        </w:rPr>
        <w:t xml:space="preserve">Consumption: Annual commercial electricity consumption in kilowatt hours from all utilities serving metropolitan Washington.  </w:t>
      </w:r>
    </w:p>
    <w:p w14:paraId="479673F5" w14:textId="77777777" w:rsidR="000B14B4" w:rsidRPr="0029585C" w:rsidRDefault="000B14B4" w:rsidP="00A71A9C">
      <w:pPr>
        <w:numPr>
          <w:ilvl w:val="0"/>
          <w:numId w:val="28"/>
        </w:numPr>
        <w:spacing w:line="260" w:lineRule="exact"/>
        <w:rPr>
          <w:rFonts w:ascii="Franklin Gothic Book" w:hAnsi="Franklin Gothic Book"/>
        </w:rPr>
      </w:pPr>
      <w:proofErr w:type="spellStart"/>
      <w:r w:rsidRPr="0029585C">
        <w:rPr>
          <w:rFonts w:ascii="Franklin Gothic Book" w:hAnsi="Franklin Gothic Book"/>
          <w:sz w:val="22"/>
          <w:szCs w:val="22"/>
        </w:rPr>
        <w:t>eGRID</w:t>
      </w:r>
      <w:proofErr w:type="spellEnd"/>
      <w:r w:rsidRPr="0029585C">
        <w:rPr>
          <w:rFonts w:ascii="Franklin Gothic Book" w:hAnsi="Franklin Gothic Book"/>
          <w:sz w:val="22"/>
          <w:szCs w:val="22"/>
        </w:rPr>
        <w:t xml:space="preserve">: U.S. Environmental Protection Agency (EPA) </w:t>
      </w:r>
      <w:proofErr w:type="spellStart"/>
      <w:r w:rsidRPr="0029585C">
        <w:rPr>
          <w:rFonts w:ascii="Franklin Gothic Book" w:hAnsi="Franklin Gothic Book"/>
          <w:sz w:val="22"/>
          <w:szCs w:val="22"/>
        </w:rPr>
        <w:t>eGRID</w:t>
      </w:r>
      <w:proofErr w:type="spellEnd"/>
      <w:r w:rsidRPr="0029585C">
        <w:rPr>
          <w:rFonts w:ascii="Franklin Gothic Book" w:hAnsi="Franklin Gothic Book"/>
          <w:sz w:val="22"/>
          <w:szCs w:val="22"/>
        </w:rPr>
        <w:t xml:space="preserve"> Subregion Output Emission Rates – Greenhouse Gases. Subregions RFC East (RFCE) and SERV Virginia/Carolina (SRVC) total output emission rates of CO</w:t>
      </w:r>
      <w:r w:rsidRPr="0029585C">
        <w:rPr>
          <w:rFonts w:ascii="Franklin Gothic Book" w:hAnsi="Franklin Gothic Book"/>
          <w:sz w:val="22"/>
          <w:szCs w:val="22"/>
          <w:vertAlign w:val="subscript"/>
        </w:rPr>
        <w:t>2</w:t>
      </w:r>
      <w:r w:rsidRPr="0029585C">
        <w:rPr>
          <w:rFonts w:ascii="Franklin Gothic Book" w:hAnsi="Franklin Gothic Book"/>
          <w:sz w:val="22"/>
          <w:szCs w:val="22"/>
        </w:rPr>
        <w:t xml:space="preserve"> (</w:t>
      </w:r>
      <w:proofErr w:type="spellStart"/>
      <w:r w:rsidRPr="0029585C">
        <w:rPr>
          <w:rFonts w:ascii="Franklin Gothic Book" w:hAnsi="Franklin Gothic Book"/>
          <w:sz w:val="22"/>
          <w:szCs w:val="22"/>
        </w:rPr>
        <w:t>lb</w:t>
      </w:r>
      <w:proofErr w:type="spellEnd"/>
      <w:r w:rsidRPr="0029585C">
        <w:rPr>
          <w:rFonts w:ascii="Franklin Gothic Book" w:hAnsi="Franklin Gothic Book"/>
          <w:sz w:val="22"/>
          <w:szCs w:val="22"/>
        </w:rPr>
        <w:t>/MWh), CH</w:t>
      </w:r>
      <w:r w:rsidRPr="0029585C">
        <w:rPr>
          <w:rFonts w:ascii="Franklin Gothic Book" w:hAnsi="Franklin Gothic Book"/>
          <w:sz w:val="22"/>
          <w:szCs w:val="22"/>
          <w:vertAlign w:val="subscript"/>
        </w:rPr>
        <w:t>4</w:t>
      </w:r>
      <w:r w:rsidRPr="0029585C">
        <w:rPr>
          <w:rFonts w:ascii="Franklin Gothic Book" w:hAnsi="Franklin Gothic Book"/>
          <w:sz w:val="22"/>
          <w:szCs w:val="22"/>
        </w:rPr>
        <w:t xml:space="preserve"> (</w:t>
      </w:r>
      <w:proofErr w:type="spellStart"/>
      <w:r w:rsidRPr="0029585C">
        <w:rPr>
          <w:rFonts w:ascii="Franklin Gothic Book" w:hAnsi="Franklin Gothic Book"/>
          <w:sz w:val="22"/>
          <w:szCs w:val="22"/>
        </w:rPr>
        <w:t>lb</w:t>
      </w:r>
      <w:proofErr w:type="spellEnd"/>
      <w:r w:rsidRPr="0029585C">
        <w:rPr>
          <w:rFonts w:ascii="Franklin Gothic Book" w:hAnsi="Franklin Gothic Book"/>
          <w:sz w:val="22"/>
          <w:szCs w:val="22"/>
        </w:rPr>
        <w:t>/GWh), and N2O (</w:t>
      </w:r>
      <w:proofErr w:type="spellStart"/>
      <w:r w:rsidRPr="0029585C">
        <w:rPr>
          <w:rFonts w:ascii="Franklin Gothic Book" w:hAnsi="Franklin Gothic Book"/>
          <w:sz w:val="22"/>
          <w:szCs w:val="22"/>
        </w:rPr>
        <w:t>lb</w:t>
      </w:r>
      <w:proofErr w:type="spellEnd"/>
      <w:r w:rsidRPr="0029585C">
        <w:rPr>
          <w:rFonts w:ascii="Franklin Gothic Book" w:hAnsi="Franklin Gothic Book"/>
          <w:sz w:val="22"/>
          <w:szCs w:val="22"/>
        </w:rPr>
        <w:t xml:space="preserve">/GWh). </w:t>
      </w:r>
    </w:p>
    <w:p w14:paraId="29C2173F" w14:textId="55E0CD4A" w:rsidR="000B14B4" w:rsidRDefault="000B14B4" w:rsidP="00A71A9C">
      <w:pPr>
        <w:pStyle w:val="BodyText-COG"/>
      </w:pPr>
    </w:p>
    <w:p w14:paraId="520834CA" w14:textId="77777777" w:rsidR="00CE2771" w:rsidRDefault="00CE2771" w:rsidP="00824F84">
      <w:pPr>
        <w:pStyle w:val="Level3Head-COG"/>
        <w:spacing w:line="240" w:lineRule="exact"/>
      </w:pPr>
      <w:bookmarkStart w:id="409" w:name="_Toc535399919"/>
      <w:bookmarkStart w:id="410" w:name="_Toc50968784"/>
      <w:bookmarkStart w:id="411" w:name="_Toc51077773"/>
      <w:r>
        <w:t>EMISSIONS FROM STATIONARY FUEL</w:t>
      </w:r>
      <w:bookmarkEnd w:id="409"/>
      <w:bookmarkEnd w:id="410"/>
      <w:bookmarkEnd w:id="411"/>
      <w:r>
        <w:t xml:space="preserve"> </w:t>
      </w:r>
    </w:p>
    <w:p w14:paraId="29182C42" w14:textId="77777777" w:rsidR="00824F84" w:rsidRDefault="00824F84" w:rsidP="00CE2771">
      <w:pPr>
        <w:pStyle w:val="Level4Head-COG"/>
      </w:pPr>
    </w:p>
    <w:p w14:paraId="4FC7D6FD" w14:textId="716E21EB" w:rsidR="00CE2771" w:rsidRDefault="00CE2771" w:rsidP="00CE2771">
      <w:pPr>
        <w:pStyle w:val="Level4Head-COG"/>
      </w:pPr>
      <w:r>
        <w:t xml:space="preserve">Commercial Natural Gas </w:t>
      </w:r>
    </w:p>
    <w:p w14:paraId="408F93BB" w14:textId="77777777" w:rsidR="00CE2771" w:rsidRDefault="00CE2771" w:rsidP="00CE2771">
      <w:pPr>
        <w:pStyle w:val="Level5Head-COG"/>
        <w:spacing w:line="260" w:lineRule="exact"/>
      </w:pPr>
      <w:r>
        <w:t xml:space="preserve">Description </w:t>
      </w:r>
    </w:p>
    <w:p w14:paraId="5F235562" w14:textId="2ABDB903" w:rsidR="00CE2771" w:rsidRPr="00CE2771" w:rsidRDefault="00CE2771" w:rsidP="00CE2771">
      <w:pPr>
        <w:spacing w:line="260" w:lineRule="exact"/>
        <w:rPr>
          <w:rFonts w:ascii="Franklin Gothic Book" w:hAnsi="Franklin Gothic Book"/>
          <w:sz w:val="22"/>
          <w:szCs w:val="22"/>
        </w:rPr>
      </w:pPr>
      <w:r w:rsidRPr="00CE2771">
        <w:rPr>
          <w:rFonts w:ascii="Franklin Gothic Book" w:hAnsi="Franklin Gothic Book"/>
          <w:sz w:val="22"/>
          <w:szCs w:val="22"/>
        </w:rPr>
        <w:t xml:space="preserve">Natural gas consumption in the non-residential setting produces combustion emissions from stationary applications, such as boilers and furnaces. Energy use in buildings account for a significant portion of GHG emissions. According to the USCP, local jurisdictions can often influence </w:t>
      </w:r>
      <w:r w:rsidR="00655899">
        <w:rPr>
          <w:rFonts w:ascii="Franklin Gothic Book" w:hAnsi="Franklin Gothic Book"/>
          <w:sz w:val="22"/>
          <w:szCs w:val="22"/>
        </w:rPr>
        <w:t>energy</w:t>
      </w:r>
      <w:r w:rsidRPr="00CE2771">
        <w:rPr>
          <w:rFonts w:ascii="Franklin Gothic Book" w:hAnsi="Franklin Gothic Book"/>
          <w:sz w:val="22"/>
          <w:szCs w:val="22"/>
        </w:rPr>
        <w:t xml:space="preserve"> use through building codes, incentives, and technical assistance.</w:t>
      </w:r>
    </w:p>
    <w:p w14:paraId="4E346F7C" w14:textId="77777777" w:rsidR="00824F84" w:rsidRPr="00CE2771" w:rsidRDefault="00824F84" w:rsidP="00CE2771">
      <w:pPr>
        <w:spacing w:line="260" w:lineRule="exact"/>
        <w:rPr>
          <w:rFonts w:ascii="Franklin Gothic Book" w:hAnsi="Franklin Gothic Book"/>
          <w:sz w:val="22"/>
          <w:szCs w:val="22"/>
          <w:highlight w:val="yellow"/>
        </w:rPr>
      </w:pPr>
    </w:p>
    <w:p w14:paraId="3F23F504" w14:textId="77777777" w:rsidR="00CE2771" w:rsidRDefault="00CE2771" w:rsidP="00CE2771">
      <w:pPr>
        <w:pStyle w:val="Level5Head-COG"/>
        <w:spacing w:line="260" w:lineRule="exact"/>
      </w:pPr>
      <w:r>
        <w:t>Methodology</w:t>
      </w:r>
    </w:p>
    <w:p w14:paraId="617B6501" w14:textId="2802AD1D" w:rsidR="00CE2771" w:rsidRPr="00CE2771" w:rsidRDefault="00CE2771" w:rsidP="00CE2771">
      <w:pPr>
        <w:pStyle w:val="BodyText-COG"/>
        <w:rPr>
          <w:szCs w:val="22"/>
          <w:lang w:val="en"/>
        </w:rPr>
      </w:pPr>
      <w:r w:rsidRPr="00CE2771">
        <w:rPr>
          <w:szCs w:val="22"/>
          <w:lang w:val="en"/>
        </w:rPr>
        <w:t xml:space="preserve">The Commercial natural gas emission calculations generally follow the </w:t>
      </w:r>
      <w:r w:rsidR="00323282">
        <w:rPr>
          <w:szCs w:val="22"/>
          <w:lang w:val="en"/>
        </w:rPr>
        <w:t>USCP</w:t>
      </w:r>
      <w:r w:rsidRPr="00CE2771">
        <w:rPr>
          <w:szCs w:val="22"/>
          <w:lang w:val="en"/>
        </w:rPr>
        <w:t xml:space="preserve"> recommended methodology as outlined in Appendix C, BE.1.1 from Version 1.1 of the Protocol. </w:t>
      </w:r>
    </w:p>
    <w:p w14:paraId="55DECD4D" w14:textId="77777777" w:rsidR="00CE2771" w:rsidRDefault="00CE2771" w:rsidP="00CE2771">
      <w:pPr>
        <w:pStyle w:val="BodyText-COG"/>
        <w:rPr>
          <w:rFonts w:asciiTheme="minorHAnsi" w:hAnsiTheme="minorHAnsi"/>
          <w:szCs w:val="22"/>
          <w:lang w:val="en"/>
        </w:rPr>
      </w:pPr>
    </w:p>
    <w:p w14:paraId="5F76D910" w14:textId="77777777" w:rsidR="00CE2771" w:rsidRDefault="00CE2771" w:rsidP="00CE2771">
      <w:pPr>
        <w:pStyle w:val="Level5Head-COG"/>
        <w:spacing w:line="260" w:lineRule="exact"/>
      </w:pPr>
      <w:r>
        <w:lastRenderedPageBreak/>
        <w:t xml:space="preserve">Data Collection </w:t>
      </w:r>
    </w:p>
    <w:p w14:paraId="6D722FB3" w14:textId="77777777" w:rsidR="00CE2771" w:rsidRPr="00CE2771" w:rsidRDefault="00CE2771" w:rsidP="00CE2771">
      <w:pPr>
        <w:spacing w:line="260" w:lineRule="exact"/>
        <w:rPr>
          <w:rFonts w:ascii="Franklin Gothic Book" w:hAnsi="Franklin Gothic Book"/>
          <w:sz w:val="22"/>
          <w:szCs w:val="22"/>
        </w:rPr>
      </w:pPr>
      <w:r w:rsidRPr="00CE2771">
        <w:rPr>
          <w:rFonts w:ascii="Franklin Gothic Book" w:hAnsi="Franklin Gothic Book"/>
          <w:sz w:val="22"/>
          <w:szCs w:val="22"/>
        </w:rPr>
        <w:t xml:space="preserve">COG annually collects aggregated account and consumption data from the 3 natural utilities that serve metropolitan Washington. </w:t>
      </w:r>
    </w:p>
    <w:p w14:paraId="509CCDA7" w14:textId="77777777" w:rsidR="00CE2771" w:rsidRPr="00CE2771" w:rsidRDefault="00CE2771" w:rsidP="00CE2771">
      <w:pPr>
        <w:spacing w:line="260" w:lineRule="exact"/>
        <w:rPr>
          <w:rFonts w:ascii="Franklin Gothic Book" w:hAnsi="Franklin Gothic Book"/>
          <w:i/>
          <w:sz w:val="22"/>
          <w:szCs w:val="22"/>
          <w:highlight w:val="yellow"/>
        </w:rPr>
      </w:pPr>
    </w:p>
    <w:p w14:paraId="2A8A619A" w14:textId="77777777" w:rsidR="00CE2771" w:rsidRPr="00CE2771" w:rsidRDefault="00CE2771" w:rsidP="00CE2771">
      <w:pPr>
        <w:spacing w:line="260" w:lineRule="exact"/>
        <w:rPr>
          <w:rFonts w:ascii="Franklin Gothic Book" w:hAnsi="Franklin Gothic Book"/>
          <w:sz w:val="22"/>
          <w:szCs w:val="22"/>
        </w:rPr>
      </w:pPr>
      <w:r w:rsidRPr="00CE2771">
        <w:rPr>
          <w:rFonts w:ascii="Franklin Gothic Book" w:hAnsi="Franklin Gothic Book"/>
          <w:sz w:val="22"/>
          <w:szCs w:val="22"/>
        </w:rPr>
        <w:t xml:space="preserve">Data Needs: </w:t>
      </w:r>
    </w:p>
    <w:p w14:paraId="19CF13EF" w14:textId="77777777" w:rsidR="00CE2771" w:rsidRPr="00CE2771" w:rsidRDefault="00CE2771" w:rsidP="00CE2771">
      <w:pPr>
        <w:numPr>
          <w:ilvl w:val="0"/>
          <w:numId w:val="28"/>
        </w:numPr>
        <w:spacing w:line="260" w:lineRule="exact"/>
        <w:ind w:left="720"/>
        <w:rPr>
          <w:rFonts w:ascii="Franklin Gothic Book" w:hAnsi="Franklin Gothic Book"/>
          <w:sz w:val="22"/>
          <w:szCs w:val="22"/>
        </w:rPr>
      </w:pPr>
      <w:r w:rsidRPr="00CE2771">
        <w:rPr>
          <w:rFonts w:ascii="Franklin Gothic Book" w:hAnsi="Franklin Gothic Book"/>
          <w:sz w:val="22"/>
          <w:szCs w:val="22"/>
        </w:rPr>
        <w:t xml:space="preserve">Accounts: Number of commercial natural gas accounts from all utilities serving metropolitan Washington. </w:t>
      </w:r>
    </w:p>
    <w:p w14:paraId="383C7A23" w14:textId="77777777" w:rsidR="00CE2771" w:rsidRPr="00CE2771" w:rsidRDefault="00CE2771" w:rsidP="00CE2771">
      <w:pPr>
        <w:numPr>
          <w:ilvl w:val="0"/>
          <w:numId w:val="28"/>
        </w:numPr>
        <w:spacing w:line="260" w:lineRule="exact"/>
        <w:rPr>
          <w:rFonts w:ascii="Franklin Gothic Book" w:hAnsi="Franklin Gothic Book"/>
        </w:rPr>
      </w:pPr>
      <w:r w:rsidRPr="00CE2771">
        <w:rPr>
          <w:rFonts w:ascii="Franklin Gothic Book" w:hAnsi="Franklin Gothic Book"/>
          <w:sz w:val="22"/>
          <w:szCs w:val="22"/>
        </w:rPr>
        <w:t xml:space="preserve">Consumption: Annual commercial consumption of natural gas in Therms from all utilities serving metropolitan Washington.  </w:t>
      </w:r>
    </w:p>
    <w:p w14:paraId="2C3063E1" w14:textId="3C58327D" w:rsidR="00E14928" w:rsidRDefault="00E14928" w:rsidP="00CE2771">
      <w:pPr>
        <w:pStyle w:val="BodyText-COG"/>
      </w:pPr>
    </w:p>
    <w:p w14:paraId="2146EF02" w14:textId="77777777" w:rsidR="00655899" w:rsidRDefault="00655899" w:rsidP="00655899">
      <w:pPr>
        <w:pStyle w:val="Level4Head-COG"/>
      </w:pPr>
      <w:r>
        <w:t xml:space="preserve">Commercial Fuel Oil </w:t>
      </w:r>
    </w:p>
    <w:p w14:paraId="394BD12E" w14:textId="77777777" w:rsidR="00655899" w:rsidRDefault="00655899" w:rsidP="00655899">
      <w:pPr>
        <w:pStyle w:val="Level5Head-COG"/>
        <w:spacing w:line="260" w:lineRule="exact"/>
      </w:pPr>
      <w:r>
        <w:t xml:space="preserve">Description </w:t>
      </w:r>
    </w:p>
    <w:p w14:paraId="5C788624" w14:textId="39C11CBA" w:rsidR="00655899" w:rsidRPr="00655899" w:rsidRDefault="00655899" w:rsidP="00655899">
      <w:pPr>
        <w:spacing w:line="260" w:lineRule="exact"/>
        <w:rPr>
          <w:rFonts w:ascii="Franklin Gothic Book" w:hAnsi="Franklin Gothic Book"/>
          <w:sz w:val="22"/>
          <w:szCs w:val="22"/>
          <w:lang w:val="en"/>
        </w:rPr>
      </w:pPr>
      <w:r w:rsidRPr="00655899">
        <w:rPr>
          <w:rFonts w:ascii="Franklin Gothic Book" w:hAnsi="Franklin Gothic Book"/>
          <w:sz w:val="22"/>
          <w:szCs w:val="22"/>
        </w:rPr>
        <w:t xml:space="preserve">Commercial Fuel Oil refers to a liquid petroleum product used as an energy source that is less volatile than gasoline. Commercial Fuel Oil is comprised of distillate fuels (No. 1, 2 and 4), residual fuels (No.5 and 6) and kerosene (No. 1). Distillate fuel oils represent the lighter petroleum fractions produced in conventional distillation processes that include both fuel oils and diesel fuels that are further classified by level of volatility, listed from least to greatest (No. 1, No. 2, and No. 4). </w:t>
      </w:r>
      <w:r w:rsidRPr="00655899">
        <w:rPr>
          <w:rFonts w:ascii="Franklin Gothic Book" w:hAnsi="Franklin Gothic Book"/>
          <w:sz w:val="22"/>
          <w:szCs w:val="22"/>
          <w:lang w:val="en"/>
        </w:rPr>
        <w:t xml:space="preserve">Products known as No. 1, No. 2, and No. 4 fuel oils are lighter oils primarily used for space heating and electric power generation. Residual fuels are generally classified as heavier oils, known as No. 5 and No. 6 fuel oils, that remain after the distillate fuel oils and lighter hydrocarbons are distilled away in refinery operations. Kerosene is a light petroleum distillate with properties like those of No. 1 fuel oil; primarily used in space heaters, cook stoves, and water heaters and is suitable for use as a light source when burned in wick-fed lamps.  </w:t>
      </w:r>
      <w:r w:rsidRPr="00655899">
        <w:rPr>
          <w:rFonts w:ascii="Franklin Gothic Book" w:hAnsi="Franklin Gothic Book"/>
          <w:sz w:val="22"/>
          <w:szCs w:val="22"/>
        </w:rPr>
        <w:t xml:space="preserve">According to the USCP, local jurisdictions can often influence </w:t>
      </w:r>
      <w:r>
        <w:rPr>
          <w:rFonts w:ascii="Franklin Gothic Book" w:hAnsi="Franklin Gothic Book"/>
          <w:sz w:val="22"/>
          <w:szCs w:val="22"/>
        </w:rPr>
        <w:t>energy</w:t>
      </w:r>
      <w:r w:rsidRPr="00655899">
        <w:rPr>
          <w:rFonts w:ascii="Franklin Gothic Book" w:hAnsi="Franklin Gothic Book"/>
          <w:sz w:val="22"/>
          <w:szCs w:val="22"/>
        </w:rPr>
        <w:t xml:space="preserve"> use through building codes, incentives, and technical assistance.</w:t>
      </w:r>
    </w:p>
    <w:p w14:paraId="16BEF131" w14:textId="77777777" w:rsidR="00655899" w:rsidRPr="00655899" w:rsidRDefault="00655899" w:rsidP="00655899">
      <w:pPr>
        <w:spacing w:line="260" w:lineRule="exact"/>
        <w:rPr>
          <w:rFonts w:ascii="Franklin Gothic Book" w:hAnsi="Franklin Gothic Book"/>
          <w:sz w:val="22"/>
          <w:szCs w:val="22"/>
        </w:rPr>
      </w:pPr>
    </w:p>
    <w:p w14:paraId="36379DAC" w14:textId="77777777" w:rsidR="00655899" w:rsidRDefault="00655899" w:rsidP="00655899">
      <w:pPr>
        <w:pStyle w:val="Level5Head-COG"/>
        <w:spacing w:line="260" w:lineRule="exact"/>
      </w:pPr>
      <w:r>
        <w:t xml:space="preserve">Methodology </w:t>
      </w:r>
    </w:p>
    <w:p w14:paraId="0EA8A428" w14:textId="2C9FCB78" w:rsidR="00655899" w:rsidRPr="00655899" w:rsidRDefault="00655899" w:rsidP="00655899">
      <w:pPr>
        <w:pStyle w:val="BodyText-COG"/>
        <w:rPr>
          <w:szCs w:val="22"/>
          <w:lang w:val="en"/>
        </w:rPr>
      </w:pPr>
      <w:r w:rsidRPr="00655899">
        <w:rPr>
          <w:szCs w:val="22"/>
          <w:lang w:val="en"/>
        </w:rPr>
        <w:t xml:space="preserve">The Commercial Fuel Oil emission calculations follows the </w:t>
      </w:r>
      <w:r w:rsidR="00641202">
        <w:rPr>
          <w:szCs w:val="22"/>
          <w:lang w:val="en"/>
        </w:rPr>
        <w:t>USCP</w:t>
      </w:r>
      <w:r w:rsidRPr="00655899">
        <w:rPr>
          <w:szCs w:val="22"/>
          <w:lang w:val="en"/>
        </w:rPr>
        <w:t xml:space="preserve"> recommended methodology as outlined in Appendix C, BE.1.3 from Version 1.1 of the Protocol, with one exception. This methodology calculates percent of square footage using fuel oil instead of percent of number of buildings using fuel oil.   </w:t>
      </w:r>
    </w:p>
    <w:p w14:paraId="76AE4FBF" w14:textId="77777777" w:rsidR="00655899" w:rsidRPr="00655899" w:rsidRDefault="00655899" w:rsidP="00655899">
      <w:pPr>
        <w:pStyle w:val="BodyText-COG"/>
        <w:rPr>
          <w:szCs w:val="22"/>
          <w:lang w:val="en"/>
        </w:rPr>
      </w:pPr>
    </w:p>
    <w:p w14:paraId="18363B97" w14:textId="77777777" w:rsidR="00655899" w:rsidRPr="00655899" w:rsidRDefault="00655899" w:rsidP="00655899">
      <w:pPr>
        <w:spacing w:line="260" w:lineRule="exact"/>
        <w:rPr>
          <w:rFonts w:ascii="Franklin Gothic Book" w:hAnsi="Franklin Gothic Book"/>
          <w:sz w:val="22"/>
          <w:szCs w:val="22"/>
        </w:rPr>
      </w:pPr>
      <w:r w:rsidRPr="00655899">
        <w:rPr>
          <w:rFonts w:ascii="Franklin Gothic Book" w:hAnsi="Franklin Gothic Book"/>
          <w:sz w:val="22"/>
          <w:szCs w:val="22"/>
        </w:rPr>
        <w:t xml:space="preserve">Values for commercial building square footage using Fuel Oil were scaled locally by multiplying the local jurisdictional commercial square footage by the percentage of commercial building square footage using Fuel Oil in the broader South Atlantic Region. These values, in turn, were multiplied by the fuel energy intensity in gallons per square foot (gallons/ft.²) to get total Fuel Oil consumption per locality and region. Consumption was converted to emissions in ClearPath.  </w:t>
      </w:r>
    </w:p>
    <w:p w14:paraId="7398C43A" w14:textId="77777777" w:rsidR="00655899" w:rsidRPr="00655899" w:rsidRDefault="00655899" w:rsidP="00655899">
      <w:pPr>
        <w:spacing w:line="260" w:lineRule="exact"/>
        <w:rPr>
          <w:rFonts w:ascii="Franklin Gothic Book" w:hAnsi="Franklin Gothic Book"/>
          <w:sz w:val="22"/>
          <w:szCs w:val="22"/>
        </w:rPr>
      </w:pPr>
    </w:p>
    <w:p w14:paraId="46ACE400" w14:textId="77777777" w:rsidR="00655899" w:rsidRDefault="00655899" w:rsidP="00655899">
      <w:pPr>
        <w:pStyle w:val="Level5Head-COG"/>
        <w:spacing w:line="260" w:lineRule="exact"/>
      </w:pPr>
      <w:r>
        <w:t xml:space="preserve">Data Collection </w:t>
      </w:r>
    </w:p>
    <w:p w14:paraId="71B3A272" w14:textId="77777777" w:rsidR="00655899" w:rsidRPr="00655899" w:rsidRDefault="00655899" w:rsidP="00655899">
      <w:pPr>
        <w:spacing w:line="260" w:lineRule="exact"/>
        <w:rPr>
          <w:rFonts w:ascii="Franklin Gothic Book" w:hAnsi="Franklin Gothic Book"/>
          <w:sz w:val="22"/>
          <w:szCs w:val="22"/>
        </w:rPr>
      </w:pPr>
      <w:r w:rsidRPr="00655899">
        <w:rPr>
          <w:rFonts w:ascii="Franklin Gothic Book" w:hAnsi="Franklin Gothic Book"/>
          <w:sz w:val="22"/>
          <w:szCs w:val="22"/>
        </w:rPr>
        <w:t>The number of commercial buildings and total square footage for each COG member jurisdiction is readily available from the 2015 CoStar Commercial Property Records. There is not data readily available on stationary fuel use for these buildings. The Energy Information Administration (EIA) does have data available for larger regions on total commercial buildings and square footage; number and square footage of buildings using Fuel Oil; and energy intensity. EIA’s South Atlantic Region in the Commercial Building Energy Consumption Survey (CBECS) includes DC, MD, VA, DE, WV, NC, SC, GA, and FL.</w:t>
      </w:r>
      <w:r w:rsidRPr="00655899">
        <w:rPr>
          <w:rFonts w:ascii="Franklin Gothic Book" w:hAnsi="Franklin Gothic Book"/>
          <w:sz w:val="22"/>
          <w:szCs w:val="22"/>
        </w:rPr>
        <w:tab/>
      </w:r>
      <w:r w:rsidRPr="00655899">
        <w:rPr>
          <w:rFonts w:ascii="Franklin Gothic Book" w:hAnsi="Franklin Gothic Book"/>
          <w:sz w:val="22"/>
          <w:szCs w:val="22"/>
        </w:rPr>
        <w:tab/>
      </w:r>
      <w:r w:rsidRPr="00655899">
        <w:rPr>
          <w:rFonts w:ascii="Franklin Gothic Book" w:hAnsi="Franklin Gothic Book"/>
          <w:sz w:val="22"/>
          <w:szCs w:val="22"/>
        </w:rPr>
        <w:tab/>
      </w:r>
      <w:r w:rsidRPr="00655899">
        <w:rPr>
          <w:rFonts w:ascii="Franklin Gothic Book" w:hAnsi="Franklin Gothic Book"/>
          <w:sz w:val="22"/>
          <w:szCs w:val="22"/>
        </w:rPr>
        <w:tab/>
      </w:r>
      <w:r w:rsidRPr="00655899">
        <w:rPr>
          <w:rFonts w:ascii="Franklin Gothic Book" w:hAnsi="Franklin Gothic Book"/>
          <w:sz w:val="22"/>
          <w:szCs w:val="22"/>
        </w:rPr>
        <w:tab/>
      </w:r>
      <w:r w:rsidRPr="00655899">
        <w:rPr>
          <w:rFonts w:ascii="Franklin Gothic Book" w:hAnsi="Franklin Gothic Book"/>
          <w:sz w:val="22"/>
          <w:szCs w:val="22"/>
        </w:rPr>
        <w:tab/>
      </w:r>
    </w:p>
    <w:p w14:paraId="136BF670" w14:textId="0FFFE235" w:rsidR="00655899" w:rsidRDefault="00655899" w:rsidP="00655899">
      <w:pPr>
        <w:spacing w:line="260" w:lineRule="exact"/>
        <w:rPr>
          <w:rFonts w:ascii="Franklin Gothic Book" w:hAnsi="Franklin Gothic Book"/>
          <w:sz w:val="22"/>
          <w:szCs w:val="22"/>
        </w:rPr>
      </w:pPr>
    </w:p>
    <w:p w14:paraId="6695B416" w14:textId="182AAFF9" w:rsidR="002B3D90" w:rsidRDefault="002B3D90" w:rsidP="00655899">
      <w:pPr>
        <w:spacing w:line="260" w:lineRule="exact"/>
        <w:rPr>
          <w:rFonts w:ascii="Franklin Gothic Book" w:hAnsi="Franklin Gothic Book"/>
          <w:sz w:val="22"/>
          <w:szCs w:val="22"/>
        </w:rPr>
      </w:pPr>
    </w:p>
    <w:p w14:paraId="38ADA03A" w14:textId="77E89075" w:rsidR="002B3D90" w:rsidRDefault="002B3D90" w:rsidP="00655899">
      <w:pPr>
        <w:spacing w:line="260" w:lineRule="exact"/>
        <w:rPr>
          <w:rFonts w:ascii="Franklin Gothic Book" w:hAnsi="Franklin Gothic Book"/>
          <w:sz w:val="22"/>
          <w:szCs w:val="22"/>
        </w:rPr>
      </w:pPr>
    </w:p>
    <w:p w14:paraId="2FFACBF8" w14:textId="77777777" w:rsidR="002B3D90" w:rsidRDefault="002B3D90" w:rsidP="00655899">
      <w:pPr>
        <w:spacing w:line="260" w:lineRule="exact"/>
        <w:rPr>
          <w:rFonts w:ascii="Franklin Gothic Book" w:hAnsi="Franklin Gothic Book"/>
          <w:sz w:val="22"/>
          <w:szCs w:val="22"/>
        </w:rPr>
      </w:pPr>
    </w:p>
    <w:p w14:paraId="2FD9E674" w14:textId="77777777" w:rsidR="00655899" w:rsidRPr="00655899" w:rsidRDefault="00655899" w:rsidP="00655899">
      <w:pPr>
        <w:spacing w:line="260" w:lineRule="exact"/>
        <w:rPr>
          <w:rFonts w:ascii="Franklin Gothic Book" w:hAnsi="Franklin Gothic Book"/>
          <w:sz w:val="22"/>
          <w:szCs w:val="22"/>
        </w:rPr>
      </w:pPr>
      <w:r w:rsidRPr="00655899">
        <w:rPr>
          <w:rFonts w:ascii="Franklin Gothic Book" w:hAnsi="Franklin Gothic Book"/>
          <w:sz w:val="22"/>
          <w:szCs w:val="22"/>
        </w:rPr>
        <w:lastRenderedPageBreak/>
        <w:t xml:space="preserve">Data Needs: </w:t>
      </w:r>
    </w:p>
    <w:p w14:paraId="556AB9B8" w14:textId="77777777" w:rsidR="00655899" w:rsidRPr="00655899" w:rsidRDefault="00655899" w:rsidP="00655899">
      <w:pPr>
        <w:numPr>
          <w:ilvl w:val="0"/>
          <w:numId w:val="28"/>
        </w:numPr>
        <w:spacing w:line="260" w:lineRule="exact"/>
        <w:ind w:left="720"/>
        <w:rPr>
          <w:rFonts w:ascii="Franklin Gothic Book" w:hAnsi="Franklin Gothic Book"/>
          <w:sz w:val="22"/>
          <w:szCs w:val="22"/>
        </w:rPr>
      </w:pPr>
      <w:r w:rsidRPr="00655899">
        <w:rPr>
          <w:rFonts w:ascii="Franklin Gothic Book" w:hAnsi="Franklin Gothic Book"/>
          <w:sz w:val="22"/>
          <w:szCs w:val="22"/>
        </w:rPr>
        <w:t xml:space="preserve">Commercial buildings and total square footage: Data for all COG jurisdictions and region are collected from the CoStar Commercial Property Records. This database is available via subscription by COG’s Department of Community Planning and Services Department (CPS). </w:t>
      </w:r>
    </w:p>
    <w:p w14:paraId="7A63AFEA" w14:textId="77777777" w:rsidR="00655899" w:rsidRPr="00655899" w:rsidRDefault="00655899" w:rsidP="00655899">
      <w:pPr>
        <w:numPr>
          <w:ilvl w:val="0"/>
          <w:numId w:val="28"/>
        </w:numPr>
        <w:spacing w:line="260" w:lineRule="exact"/>
        <w:ind w:left="720"/>
        <w:rPr>
          <w:rFonts w:ascii="Franklin Gothic Book" w:hAnsi="Franklin Gothic Book"/>
          <w:sz w:val="22"/>
          <w:szCs w:val="22"/>
        </w:rPr>
      </w:pPr>
      <w:r w:rsidRPr="00655899">
        <w:rPr>
          <w:rFonts w:ascii="Franklin Gothic Book" w:hAnsi="Franklin Gothic Book"/>
          <w:sz w:val="22"/>
          <w:szCs w:val="22"/>
        </w:rPr>
        <w:t>Total Commercial Floorspace and Commercial Square Footage using Fuel Oil: Values for the South Atlantic Region (most specific region) were derived from the EIA CBECS.</w:t>
      </w:r>
    </w:p>
    <w:p w14:paraId="5D60AFAC" w14:textId="77777777" w:rsidR="00655899" w:rsidRPr="00655899" w:rsidRDefault="00655899" w:rsidP="00655899">
      <w:pPr>
        <w:numPr>
          <w:ilvl w:val="0"/>
          <w:numId w:val="28"/>
        </w:numPr>
        <w:spacing w:line="260" w:lineRule="exact"/>
        <w:rPr>
          <w:rFonts w:ascii="Franklin Gothic Book" w:hAnsi="Franklin Gothic Book"/>
          <w:sz w:val="22"/>
          <w:szCs w:val="22"/>
        </w:rPr>
      </w:pPr>
      <w:r w:rsidRPr="00655899">
        <w:rPr>
          <w:rFonts w:ascii="Franklin Gothic Book" w:hAnsi="Franklin Gothic Book"/>
          <w:sz w:val="22"/>
          <w:szCs w:val="22"/>
        </w:rPr>
        <w:t xml:space="preserve">Fuel Oil Energy Intensity: A value for the South Atlantic Region was derived directly from the EIA CBECS. </w:t>
      </w:r>
    </w:p>
    <w:p w14:paraId="1E95B549" w14:textId="00DF963F" w:rsidR="00655899" w:rsidRDefault="00655899" w:rsidP="00655899">
      <w:pPr>
        <w:pStyle w:val="BodyText-COG"/>
      </w:pPr>
    </w:p>
    <w:p w14:paraId="51A9489F" w14:textId="77777777" w:rsidR="00E52995" w:rsidRDefault="00E52995" w:rsidP="00E52995">
      <w:pPr>
        <w:pStyle w:val="Level4Head-COG"/>
      </w:pPr>
      <w:r>
        <w:t xml:space="preserve">Commercial LPG </w:t>
      </w:r>
    </w:p>
    <w:p w14:paraId="6653E58F" w14:textId="77777777" w:rsidR="00E52995" w:rsidRDefault="00E52995" w:rsidP="00E52995">
      <w:pPr>
        <w:pStyle w:val="Level5Head-COG"/>
        <w:spacing w:line="260" w:lineRule="exact"/>
      </w:pPr>
      <w:r>
        <w:t xml:space="preserve">Description </w:t>
      </w:r>
    </w:p>
    <w:p w14:paraId="591D72CC" w14:textId="57F1A8AE" w:rsidR="00E52995" w:rsidRPr="00E52995" w:rsidRDefault="00E52995" w:rsidP="00E52995">
      <w:pPr>
        <w:spacing w:line="260" w:lineRule="exact"/>
        <w:rPr>
          <w:rFonts w:ascii="Franklin Gothic Book" w:hAnsi="Franklin Gothic Book"/>
          <w:sz w:val="22"/>
          <w:szCs w:val="22"/>
          <w:lang w:val="en"/>
        </w:rPr>
      </w:pPr>
      <w:r w:rsidRPr="00E52995">
        <w:rPr>
          <w:rFonts w:ascii="Franklin Gothic Book" w:hAnsi="Franklin Gothic Book"/>
          <w:sz w:val="22"/>
          <w:szCs w:val="22"/>
        </w:rPr>
        <w:t>Liquefied Petroleum Gas (LPG) refers to</w:t>
      </w:r>
      <w:r w:rsidRPr="00E52995">
        <w:rPr>
          <w:rFonts w:ascii="Franklin Gothic Book" w:hAnsi="Franklin Gothic Book"/>
          <w:sz w:val="22"/>
          <w:szCs w:val="22"/>
          <w:lang w:val="en"/>
        </w:rPr>
        <w:t xml:space="preserve"> a group of hydrocarbon gases derived from crude oil refining processing</w:t>
      </w:r>
      <w:r w:rsidRPr="00E52995">
        <w:rPr>
          <w:rFonts w:ascii="Franklin Gothic Book" w:hAnsi="Franklin Gothic Book"/>
          <w:sz w:val="22"/>
          <w:szCs w:val="22"/>
        </w:rPr>
        <w:t xml:space="preserve">. </w:t>
      </w:r>
      <w:r w:rsidRPr="00E52995">
        <w:rPr>
          <w:rFonts w:ascii="Franklin Gothic Book" w:hAnsi="Franklin Gothic Book"/>
          <w:sz w:val="22"/>
          <w:szCs w:val="22"/>
          <w:lang w:val="en"/>
        </w:rPr>
        <w:t>Propane is the most common LPG. In the U.S. and Canada, commercially available propane (LPG) is not totally pure; its typically at least 90</w:t>
      </w:r>
      <w:r w:rsidR="00186366">
        <w:rPr>
          <w:rFonts w:ascii="Franklin Gothic Book" w:hAnsi="Franklin Gothic Book"/>
          <w:sz w:val="22"/>
          <w:szCs w:val="22"/>
          <w:lang w:val="en"/>
        </w:rPr>
        <w:t xml:space="preserve"> percent</w:t>
      </w:r>
      <w:r w:rsidRPr="00E52995">
        <w:rPr>
          <w:rFonts w:ascii="Franklin Gothic Book" w:hAnsi="Franklin Gothic Book"/>
          <w:sz w:val="22"/>
          <w:szCs w:val="22"/>
          <w:lang w:val="en"/>
        </w:rPr>
        <w:t xml:space="preserve"> propane, with the rest being ethane, propylene, butane, and odorants including ethyl mercaptan. </w:t>
      </w:r>
      <w:r w:rsidRPr="00E52995">
        <w:rPr>
          <w:rFonts w:ascii="Franklin Gothic Book" w:hAnsi="Franklin Gothic Book"/>
          <w:sz w:val="22"/>
          <w:szCs w:val="22"/>
        </w:rPr>
        <w:t>According to the USCP, local jurisdictions can often influence energy use through building codes, incentives, and technical assistance.</w:t>
      </w:r>
    </w:p>
    <w:p w14:paraId="59C9D905" w14:textId="77777777" w:rsidR="00E52995" w:rsidRPr="00E52995" w:rsidRDefault="00E52995" w:rsidP="00E52995">
      <w:pPr>
        <w:spacing w:line="260" w:lineRule="exact"/>
        <w:rPr>
          <w:rFonts w:ascii="Franklin Gothic Book" w:hAnsi="Franklin Gothic Book"/>
          <w:sz w:val="22"/>
          <w:szCs w:val="22"/>
        </w:rPr>
      </w:pPr>
    </w:p>
    <w:p w14:paraId="2F9777A6" w14:textId="77777777" w:rsidR="00E52995" w:rsidRDefault="00E52995" w:rsidP="00E52995">
      <w:pPr>
        <w:pStyle w:val="Level5Head-COG"/>
        <w:spacing w:line="260" w:lineRule="exact"/>
      </w:pPr>
      <w:r>
        <w:t>Methodology</w:t>
      </w:r>
    </w:p>
    <w:p w14:paraId="60D5E52F" w14:textId="68512024" w:rsidR="00E52995" w:rsidRPr="00E52995" w:rsidRDefault="00E52995" w:rsidP="00E52995">
      <w:pPr>
        <w:pStyle w:val="BodyText-COG"/>
        <w:rPr>
          <w:szCs w:val="22"/>
          <w:lang w:val="en"/>
        </w:rPr>
      </w:pPr>
      <w:r w:rsidRPr="00E52995">
        <w:rPr>
          <w:szCs w:val="22"/>
          <w:lang w:val="en"/>
        </w:rPr>
        <w:t xml:space="preserve">In this methodology, any LPG reported was assumed to be propane. The Commercial LPG emission calculations follows the </w:t>
      </w:r>
      <w:r w:rsidR="008304B4">
        <w:rPr>
          <w:szCs w:val="22"/>
          <w:lang w:val="en"/>
        </w:rPr>
        <w:t>USCP</w:t>
      </w:r>
      <w:r w:rsidRPr="00E52995">
        <w:rPr>
          <w:szCs w:val="22"/>
          <w:lang w:val="en"/>
        </w:rPr>
        <w:t xml:space="preserve"> recommended methodology as outlined in Appendix C, BE.1.3 from Version 1.1 of the Protocol. This methodology calculates percent of square footage using fuel oil instead of percent of buildings using fuel oil.  </w:t>
      </w:r>
    </w:p>
    <w:p w14:paraId="08C619AA" w14:textId="77777777" w:rsidR="00E52995" w:rsidRPr="00E52995" w:rsidRDefault="00E52995" w:rsidP="00E52995">
      <w:pPr>
        <w:pStyle w:val="BodyText-COG"/>
        <w:rPr>
          <w:szCs w:val="22"/>
          <w:lang w:val="en"/>
        </w:rPr>
      </w:pPr>
    </w:p>
    <w:p w14:paraId="32D33D37" w14:textId="77777777" w:rsidR="00E52995" w:rsidRPr="00E52995" w:rsidRDefault="00E52995" w:rsidP="00E52995">
      <w:pPr>
        <w:spacing w:line="260" w:lineRule="exact"/>
        <w:rPr>
          <w:rFonts w:ascii="Franklin Gothic Book" w:hAnsi="Franklin Gothic Book"/>
          <w:sz w:val="22"/>
          <w:szCs w:val="22"/>
        </w:rPr>
      </w:pPr>
      <w:r w:rsidRPr="00E52995">
        <w:rPr>
          <w:rFonts w:ascii="Franklin Gothic Book" w:hAnsi="Franklin Gothic Book"/>
          <w:sz w:val="22"/>
          <w:szCs w:val="22"/>
        </w:rPr>
        <w:t xml:space="preserve">Values for commercial building square footage using LPG were scaled locally by multiplying the local jurisdictional commercial square footage by the percentage of commercial building square footage using LPG in the broader South Atlantic Region. These values, in turn, were multiplied by the fuel energy intensity in gallons per square foot (gallons/ft.²) to get total LPG consumption per locality and region. Consumption was converted to emissions in ClearPath.  </w:t>
      </w:r>
    </w:p>
    <w:p w14:paraId="6CE03222" w14:textId="77777777" w:rsidR="00E52995" w:rsidRDefault="00E52995" w:rsidP="00E52995">
      <w:pPr>
        <w:spacing w:line="260" w:lineRule="exact"/>
        <w:rPr>
          <w:rFonts w:asciiTheme="minorHAnsi" w:hAnsiTheme="minorHAnsi"/>
          <w:sz w:val="22"/>
          <w:szCs w:val="22"/>
        </w:rPr>
      </w:pPr>
    </w:p>
    <w:p w14:paraId="6FF0234E" w14:textId="77777777" w:rsidR="00E52995" w:rsidRDefault="00E52995" w:rsidP="00E52995">
      <w:pPr>
        <w:pStyle w:val="Level5Head-COG"/>
        <w:spacing w:line="260" w:lineRule="exact"/>
      </w:pPr>
      <w:r>
        <w:t xml:space="preserve">Data Collection </w:t>
      </w:r>
    </w:p>
    <w:p w14:paraId="6A876956" w14:textId="77777777" w:rsidR="00E52995" w:rsidRPr="00E52995" w:rsidRDefault="00E52995" w:rsidP="00E52995">
      <w:pPr>
        <w:spacing w:line="260" w:lineRule="exact"/>
        <w:rPr>
          <w:rFonts w:ascii="Franklin Gothic Book" w:hAnsi="Franklin Gothic Book"/>
          <w:sz w:val="22"/>
          <w:szCs w:val="22"/>
        </w:rPr>
      </w:pPr>
      <w:r w:rsidRPr="00E52995">
        <w:rPr>
          <w:rFonts w:ascii="Franklin Gothic Book" w:hAnsi="Franklin Gothic Book"/>
          <w:sz w:val="22"/>
          <w:szCs w:val="22"/>
        </w:rPr>
        <w:t>The number of commercial buildings and total square footage for each COG member jurisdiction is readily available from the 2015 CoStar Commercial Property Records. There is not data readily available on stationary fuel use for these buildings. The Energy Information Administration (EIA) does have data available on total commercial buildings and square footage or larger regions; number and square footage of buildings using LPG; and energy intensity. EIA’s South Atlantic Region in the Commercial Building Energy Consumption Survey (CBECS) includes DC, MD, VA, DE, WV, NC, SC, GA, and FL.</w:t>
      </w:r>
      <w:r w:rsidRPr="00E52995">
        <w:rPr>
          <w:rFonts w:ascii="Franklin Gothic Book" w:hAnsi="Franklin Gothic Book"/>
          <w:sz w:val="22"/>
          <w:szCs w:val="22"/>
        </w:rPr>
        <w:tab/>
      </w:r>
      <w:r w:rsidRPr="00E52995">
        <w:rPr>
          <w:rFonts w:ascii="Franklin Gothic Book" w:hAnsi="Franklin Gothic Book"/>
          <w:sz w:val="22"/>
          <w:szCs w:val="22"/>
        </w:rPr>
        <w:tab/>
      </w:r>
      <w:r w:rsidRPr="00E52995">
        <w:rPr>
          <w:rFonts w:ascii="Franklin Gothic Book" w:hAnsi="Franklin Gothic Book"/>
          <w:sz w:val="22"/>
          <w:szCs w:val="22"/>
        </w:rPr>
        <w:tab/>
      </w:r>
      <w:r w:rsidRPr="00E52995">
        <w:rPr>
          <w:rFonts w:ascii="Franklin Gothic Book" w:hAnsi="Franklin Gothic Book"/>
          <w:sz w:val="22"/>
          <w:szCs w:val="22"/>
        </w:rPr>
        <w:tab/>
      </w:r>
      <w:r w:rsidRPr="00E52995">
        <w:rPr>
          <w:rFonts w:ascii="Franklin Gothic Book" w:hAnsi="Franklin Gothic Book"/>
          <w:sz w:val="22"/>
          <w:szCs w:val="22"/>
        </w:rPr>
        <w:tab/>
      </w:r>
      <w:r w:rsidRPr="00E52995">
        <w:rPr>
          <w:rFonts w:ascii="Franklin Gothic Book" w:hAnsi="Franklin Gothic Book"/>
          <w:sz w:val="22"/>
          <w:szCs w:val="22"/>
        </w:rPr>
        <w:tab/>
      </w:r>
    </w:p>
    <w:p w14:paraId="67E0E7C6" w14:textId="77777777" w:rsidR="00E52995" w:rsidRPr="00E52995" w:rsidRDefault="00E52995" w:rsidP="00E52995">
      <w:pPr>
        <w:spacing w:line="260" w:lineRule="exact"/>
        <w:rPr>
          <w:rFonts w:ascii="Franklin Gothic Book" w:hAnsi="Franklin Gothic Book"/>
          <w:i/>
          <w:sz w:val="22"/>
          <w:szCs w:val="22"/>
        </w:rPr>
      </w:pPr>
    </w:p>
    <w:p w14:paraId="3A288779" w14:textId="77777777" w:rsidR="00E52995" w:rsidRPr="00E52995" w:rsidRDefault="00E52995" w:rsidP="00E52995">
      <w:pPr>
        <w:spacing w:line="260" w:lineRule="exact"/>
        <w:rPr>
          <w:rFonts w:ascii="Franklin Gothic Book" w:hAnsi="Franklin Gothic Book"/>
          <w:sz w:val="22"/>
          <w:szCs w:val="22"/>
        </w:rPr>
      </w:pPr>
      <w:r w:rsidRPr="00E52995">
        <w:rPr>
          <w:rFonts w:ascii="Franklin Gothic Book" w:hAnsi="Franklin Gothic Book"/>
          <w:sz w:val="22"/>
          <w:szCs w:val="22"/>
        </w:rPr>
        <w:t xml:space="preserve">Data Needs: </w:t>
      </w:r>
    </w:p>
    <w:p w14:paraId="3FE2000E" w14:textId="77777777" w:rsidR="00E52995" w:rsidRPr="00E52995" w:rsidRDefault="00E52995" w:rsidP="00E52995">
      <w:pPr>
        <w:numPr>
          <w:ilvl w:val="0"/>
          <w:numId w:val="28"/>
        </w:numPr>
        <w:spacing w:line="260" w:lineRule="exact"/>
        <w:ind w:left="720"/>
        <w:rPr>
          <w:rFonts w:ascii="Franklin Gothic Book" w:hAnsi="Franklin Gothic Book"/>
          <w:sz w:val="22"/>
          <w:szCs w:val="22"/>
        </w:rPr>
      </w:pPr>
      <w:r w:rsidRPr="00E52995">
        <w:rPr>
          <w:rFonts w:ascii="Franklin Gothic Book" w:hAnsi="Franklin Gothic Book"/>
          <w:sz w:val="22"/>
          <w:szCs w:val="22"/>
        </w:rPr>
        <w:t xml:space="preserve">Commercial buildings and total square footage: Data for all COG jurisdictions and region are collected </w:t>
      </w:r>
      <w:bookmarkStart w:id="412" w:name="_Hlk495684331"/>
      <w:r w:rsidRPr="00E52995">
        <w:rPr>
          <w:rFonts w:ascii="Franklin Gothic Book" w:hAnsi="Franklin Gothic Book"/>
          <w:sz w:val="22"/>
          <w:szCs w:val="22"/>
        </w:rPr>
        <w:t>from the CoStar Commercial Property Records</w:t>
      </w:r>
      <w:bookmarkEnd w:id="412"/>
      <w:r w:rsidRPr="00E52995">
        <w:rPr>
          <w:rFonts w:ascii="Franklin Gothic Book" w:hAnsi="Franklin Gothic Book"/>
          <w:sz w:val="22"/>
          <w:szCs w:val="22"/>
        </w:rPr>
        <w:t xml:space="preserve">. This database is available via subscription by COG’s Department of Community Planning and Services Department (CPS). </w:t>
      </w:r>
    </w:p>
    <w:p w14:paraId="5C28DD6B" w14:textId="77777777" w:rsidR="00E52995" w:rsidRPr="00E52995" w:rsidRDefault="00E52995" w:rsidP="00E52995">
      <w:pPr>
        <w:numPr>
          <w:ilvl w:val="0"/>
          <w:numId w:val="28"/>
        </w:numPr>
        <w:spacing w:line="260" w:lineRule="exact"/>
        <w:ind w:left="720"/>
        <w:rPr>
          <w:rFonts w:ascii="Franklin Gothic Book" w:hAnsi="Franklin Gothic Book"/>
          <w:sz w:val="22"/>
          <w:szCs w:val="22"/>
        </w:rPr>
      </w:pPr>
      <w:r w:rsidRPr="00E52995">
        <w:rPr>
          <w:rFonts w:ascii="Franklin Gothic Book" w:hAnsi="Franklin Gothic Book"/>
          <w:sz w:val="22"/>
          <w:szCs w:val="22"/>
        </w:rPr>
        <w:t xml:space="preserve">Total Commercial Floorspace and Commercial Square Footage using LPG: Values for the South Atlantic Region (most specific region) were derived from the </w:t>
      </w:r>
      <w:bookmarkStart w:id="413" w:name="_Hlk495685303"/>
      <w:r w:rsidRPr="00E52995">
        <w:rPr>
          <w:rFonts w:ascii="Franklin Gothic Book" w:hAnsi="Franklin Gothic Book"/>
          <w:sz w:val="22"/>
          <w:szCs w:val="22"/>
        </w:rPr>
        <w:t>EIA CBECS.</w:t>
      </w:r>
      <w:bookmarkEnd w:id="413"/>
    </w:p>
    <w:p w14:paraId="26C344E3" w14:textId="3DC44A6D" w:rsidR="00E52995" w:rsidRDefault="00E52995" w:rsidP="00E52995">
      <w:pPr>
        <w:numPr>
          <w:ilvl w:val="0"/>
          <w:numId w:val="28"/>
        </w:numPr>
        <w:spacing w:line="260" w:lineRule="exact"/>
        <w:rPr>
          <w:rFonts w:ascii="Franklin Gothic Book" w:hAnsi="Franklin Gothic Book"/>
          <w:sz w:val="22"/>
          <w:szCs w:val="22"/>
        </w:rPr>
      </w:pPr>
      <w:r w:rsidRPr="00E52995">
        <w:rPr>
          <w:rFonts w:ascii="Franklin Gothic Book" w:hAnsi="Franklin Gothic Book"/>
          <w:sz w:val="22"/>
          <w:szCs w:val="22"/>
        </w:rPr>
        <w:t xml:space="preserve">LPG Energy Intensity: A value </w:t>
      </w:r>
      <w:bookmarkStart w:id="414" w:name="_Hlk495685383"/>
      <w:r w:rsidRPr="00E52995">
        <w:rPr>
          <w:rFonts w:ascii="Franklin Gothic Book" w:hAnsi="Franklin Gothic Book"/>
          <w:sz w:val="22"/>
          <w:szCs w:val="22"/>
        </w:rPr>
        <w:t>for the South Atlantic Region was derived directly from the EIA CBECS</w:t>
      </w:r>
      <w:bookmarkEnd w:id="414"/>
      <w:r w:rsidRPr="00E52995">
        <w:rPr>
          <w:rFonts w:ascii="Franklin Gothic Book" w:hAnsi="Franklin Gothic Book"/>
          <w:sz w:val="22"/>
          <w:szCs w:val="22"/>
        </w:rPr>
        <w:t xml:space="preserve">. </w:t>
      </w:r>
    </w:p>
    <w:p w14:paraId="2C368B56" w14:textId="2AA0AD03" w:rsidR="00E52995" w:rsidRDefault="00E52995" w:rsidP="00E52995">
      <w:pPr>
        <w:rPr>
          <w:rFonts w:ascii="Franklin Gothic Book" w:hAnsi="Franklin Gothic Book"/>
          <w:sz w:val="22"/>
          <w:szCs w:val="22"/>
        </w:rPr>
      </w:pPr>
    </w:p>
    <w:p w14:paraId="711A07CE" w14:textId="77777777" w:rsidR="00C744CA" w:rsidRPr="00E52995" w:rsidRDefault="00C744CA" w:rsidP="00E52995">
      <w:pPr>
        <w:rPr>
          <w:rFonts w:ascii="Franklin Gothic Book" w:hAnsi="Franklin Gothic Book"/>
          <w:sz w:val="22"/>
          <w:szCs w:val="22"/>
        </w:rPr>
      </w:pPr>
    </w:p>
    <w:p w14:paraId="51D220F4" w14:textId="77777777" w:rsidR="00D2095D" w:rsidRPr="000C04D8" w:rsidRDefault="00D2095D" w:rsidP="006070F7">
      <w:pPr>
        <w:pStyle w:val="Level1Head-COG"/>
        <w:spacing w:before="0" w:after="0" w:line="240" w:lineRule="auto"/>
        <w:contextualSpacing/>
        <w:rPr>
          <w:rFonts w:ascii="Franklin Gothic Medium" w:hAnsi="Franklin Gothic Medium"/>
          <w:color w:val="auto"/>
        </w:rPr>
      </w:pPr>
      <w:bookmarkStart w:id="415" w:name="_Toc535399920"/>
      <w:bookmarkStart w:id="416" w:name="_Toc50968785"/>
      <w:bookmarkStart w:id="417" w:name="_Toc51077774"/>
      <w:r w:rsidRPr="000C04D8">
        <w:rPr>
          <w:rFonts w:ascii="Franklin Gothic Medium" w:hAnsi="Franklin Gothic Medium"/>
          <w:color w:val="auto"/>
        </w:rPr>
        <w:lastRenderedPageBreak/>
        <w:t>transportation and mobile emissions</w:t>
      </w:r>
      <w:bookmarkEnd w:id="415"/>
      <w:bookmarkEnd w:id="416"/>
      <w:bookmarkEnd w:id="417"/>
    </w:p>
    <w:p w14:paraId="0D3CFC74" w14:textId="77777777" w:rsidR="00824F84" w:rsidRPr="00824F84" w:rsidRDefault="00824F84" w:rsidP="00824F84">
      <w:pPr>
        <w:pStyle w:val="Level2Head-COG"/>
        <w:spacing w:before="0" w:line="240" w:lineRule="auto"/>
        <w:contextualSpacing/>
        <w:rPr>
          <w:sz w:val="22"/>
          <w:szCs w:val="22"/>
        </w:rPr>
      </w:pPr>
      <w:bookmarkStart w:id="418" w:name="_Toc535399921"/>
    </w:p>
    <w:p w14:paraId="194C5B7D" w14:textId="77AD96F9" w:rsidR="00D2095D" w:rsidRPr="000C04D8" w:rsidRDefault="00D2095D" w:rsidP="00960B64">
      <w:pPr>
        <w:pStyle w:val="Level3Head-COG"/>
        <w:spacing w:before="0"/>
        <w:contextualSpacing/>
      </w:pPr>
      <w:bookmarkStart w:id="419" w:name="_Toc535399922"/>
      <w:bookmarkStart w:id="420" w:name="_Toc50968786"/>
      <w:bookmarkStart w:id="421" w:name="_Toc51077775"/>
      <w:bookmarkEnd w:id="418"/>
      <w:r w:rsidRPr="000C04D8">
        <w:t>on road transportation</w:t>
      </w:r>
      <w:bookmarkEnd w:id="419"/>
      <w:bookmarkEnd w:id="420"/>
      <w:bookmarkEnd w:id="421"/>
      <w:r w:rsidRPr="000C04D8">
        <w:t xml:space="preserve">  </w:t>
      </w:r>
    </w:p>
    <w:p w14:paraId="4454B981" w14:textId="77777777" w:rsidR="00D2095D" w:rsidRPr="00A749D5" w:rsidRDefault="00D2095D" w:rsidP="00960B64">
      <w:pPr>
        <w:pStyle w:val="Level4Head-COG"/>
        <w:contextualSpacing/>
        <w:rPr>
          <w:u w:val="single"/>
        </w:rPr>
      </w:pPr>
    </w:p>
    <w:p w14:paraId="015D594B" w14:textId="77777777" w:rsidR="00D2095D" w:rsidRPr="00A749D5" w:rsidRDefault="00D2095D" w:rsidP="00960B64">
      <w:pPr>
        <w:pStyle w:val="Level4Head-COG"/>
        <w:contextualSpacing/>
      </w:pPr>
      <w:r w:rsidRPr="00A749D5">
        <w:t xml:space="preserve">On Road Mobile Emissions  </w:t>
      </w:r>
    </w:p>
    <w:p w14:paraId="75373409" w14:textId="77777777" w:rsidR="00D2095D" w:rsidRPr="00A749D5" w:rsidRDefault="00D2095D" w:rsidP="00960B64">
      <w:pPr>
        <w:pStyle w:val="Level5Head-COG"/>
        <w:spacing w:line="260" w:lineRule="exact"/>
        <w:contextualSpacing/>
      </w:pPr>
      <w:r w:rsidRPr="00A749D5">
        <w:t>Description</w:t>
      </w:r>
    </w:p>
    <w:p w14:paraId="61D43A66" w14:textId="0E552B49" w:rsidR="00D2095D" w:rsidRPr="00A749D5" w:rsidRDefault="00D2095D" w:rsidP="00960B64">
      <w:pPr>
        <w:spacing w:line="260" w:lineRule="exact"/>
        <w:contextualSpacing/>
        <w:rPr>
          <w:rFonts w:ascii="Franklin Gothic Book" w:hAnsi="Franklin Gothic Book"/>
          <w:sz w:val="22"/>
          <w:szCs w:val="22"/>
        </w:rPr>
      </w:pPr>
      <w:r w:rsidRPr="00A749D5">
        <w:rPr>
          <w:rFonts w:ascii="Franklin Gothic Book" w:hAnsi="Franklin Gothic Book"/>
          <w:sz w:val="22"/>
          <w:szCs w:val="22"/>
        </w:rPr>
        <w:t>On Road Mobile Emissions represent exhaust and evaporative emissions of carbon dioxide (CO2), nitrous oxide (N2O), and methane (CH4) from on road passenger and freight motor vehicles. On road mobile emissions account for approximately 1/3</w:t>
      </w:r>
      <w:r w:rsidRPr="00A749D5">
        <w:rPr>
          <w:rFonts w:ascii="Franklin Gothic Book" w:hAnsi="Franklin Gothic Book"/>
          <w:sz w:val="22"/>
          <w:szCs w:val="22"/>
          <w:vertAlign w:val="superscript"/>
        </w:rPr>
        <w:t>rd</w:t>
      </w:r>
      <w:r w:rsidRPr="00A749D5">
        <w:rPr>
          <w:rFonts w:ascii="Franklin Gothic Book" w:hAnsi="Franklin Gothic Book"/>
          <w:sz w:val="22"/>
          <w:szCs w:val="22"/>
        </w:rPr>
        <w:t xml:space="preserve"> of metropolitan Washington </w:t>
      </w:r>
      <w:r w:rsidR="00A749D5" w:rsidRPr="00A749D5">
        <w:rPr>
          <w:rFonts w:ascii="Franklin Gothic Book" w:hAnsi="Franklin Gothic Book"/>
          <w:sz w:val="22"/>
          <w:szCs w:val="22"/>
        </w:rPr>
        <w:t>GHG</w:t>
      </w:r>
      <w:r w:rsidRPr="00A749D5">
        <w:rPr>
          <w:rFonts w:ascii="Franklin Gothic Book" w:hAnsi="Franklin Gothic Book"/>
          <w:sz w:val="22"/>
          <w:szCs w:val="22"/>
        </w:rPr>
        <w:t xml:space="preserve"> emissions. On Road emissions can be influence</w:t>
      </w:r>
      <w:r w:rsidR="00A749D5" w:rsidRPr="00A749D5">
        <w:rPr>
          <w:rFonts w:ascii="Franklin Gothic Book" w:hAnsi="Franklin Gothic Book"/>
          <w:sz w:val="22"/>
          <w:szCs w:val="22"/>
        </w:rPr>
        <w:t>d</w:t>
      </w:r>
      <w:r w:rsidRPr="00A749D5">
        <w:rPr>
          <w:rFonts w:ascii="Franklin Gothic Book" w:hAnsi="Franklin Gothic Book"/>
          <w:sz w:val="22"/>
          <w:szCs w:val="22"/>
        </w:rPr>
        <w:t xml:space="preserve"> by local governments through land use and urban design decisions and transportation infrastructure investments. Advancing electrification of the transportation system, overall improvement of the fuel economy, and increasing alternative trip modes play a particularly important role in reducing on road emissions.  </w:t>
      </w:r>
    </w:p>
    <w:p w14:paraId="25D14D79" w14:textId="77777777" w:rsidR="00D2095D" w:rsidRPr="00A749D5" w:rsidRDefault="00D2095D" w:rsidP="00960B64">
      <w:pPr>
        <w:spacing w:line="260" w:lineRule="exact"/>
        <w:contextualSpacing/>
        <w:rPr>
          <w:rFonts w:ascii="Franklin Gothic Book" w:hAnsi="Franklin Gothic Book"/>
          <w:szCs w:val="19"/>
        </w:rPr>
      </w:pPr>
    </w:p>
    <w:p w14:paraId="6995DC71" w14:textId="77777777" w:rsidR="00D2095D" w:rsidRPr="00A749D5" w:rsidRDefault="00D2095D" w:rsidP="00960B64">
      <w:pPr>
        <w:pStyle w:val="Level5Head-COG"/>
        <w:spacing w:line="260" w:lineRule="exact"/>
        <w:contextualSpacing/>
      </w:pPr>
      <w:r w:rsidRPr="00A749D5">
        <w:t>Methodology</w:t>
      </w:r>
    </w:p>
    <w:p w14:paraId="3536D1D0" w14:textId="4640B2F7" w:rsidR="00D2095D" w:rsidRPr="00D5589C" w:rsidRDefault="00D2095D" w:rsidP="00960B64">
      <w:pPr>
        <w:pStyle w:val="BodyText-COG"/>
        <w:contextualSpacing/>
        <w:rPr>
          <w:szCs w:val="22"/>
          <w:lang w:val="en"/>
        </w:rPr>
      </w:pPr>
      <w:r w:rsidRPr="00D5589C">
        <w:rPr>
          <w:szCs w:val="22"/>
          <w:lang w:val="en"/>
        </w:rPr>
        <w:t xml:space="preserve">The </w:t>
      </w:r>
      <w:proofErr w:type="gramStart"/>
      <w:r w:rsidRPr="00D5589C">
        <w:rPr>
          <w:szCs w:val="22"/>
          <w:lang w:val="en"/>
        </w:rPr>
        <w:t>On</w:t>
      </w:r>
      <w:proofErr w:type="gramEnd"/>
      <w:r w:rsidRPr="00D5589C">
        <w:rPr>
          <w:szCs w:val="22"/>
          <w:lang w:val="en"/>
        </w:rPr>
        <w:t xml:space="preserve"> Road Transportation emission calculations generally follows the </w:t>
      </w:r>
      <w:r w:rsidR="008304B4">
        <w:rPr>
          <w:szCs w:val="22"/>
          <w:lang w:val="en"/>
        </w:rPr>
        <w:t xml:space="preserve">USCP </w:t>
      </w:r>
      <w:r w:rsidRPr="00D5589C">
        <w:rPr>
          <w:szCs w:val="22"/>
          <w:lang w:val="en"/>
        </w:rPr>
        <w:t xml:space="preserve">recommended methodology as outlined in Appendix D, TR.1.A from Version 1.1 of the Protocol. </w:t>
      </w:r>
    </w:p>
    <w:p w14:paraId="131BEE95" w14:textId="77777777" w:rsidR="00D2095D" w:rsidRPr="00A749D5" w:rsidRDefault="00D2095D" w:rsidP="00960B64">
      <w:pPr>
        <w:pStyle w:val="Level5Head-COG"/>
        <w:spacing w:line="260" w:lineRule="exact"/>
        <w:contextualSpacing/>
        <w:rPr>
          <w:rFonts w:ascii="Franklin Gothic Book" w:hAnsi="Franklin Gothic Book" w:cs="Calibri"/>
          <w:sz w:val="22"/>
          <w:szCs w:val="22"/>
          <w:highlight w:val="yellow"/>
        </w:rPr>
      </w:pPr>
    </w:p>
    <w:p w14:paraId="319C91B0" w14:textId="6CCC3FE8" w:rsidR="00D2095D" w:rsidRPr="006A174D" w:rsidRDefault="00D2095D" w:rsidP="00960B64">
      <w:pPr>
        <w:spacing w:line="260" w:lineRule="exact"/>
        <w:contextualSpacing/>
        <w:rPr>
          <w:rFonts w:ascii="Franklin Gothic Book" w:hAnsi="Franklin Gothic Book" w:cs="Calibri"/>
          <w:sz w:val="22"/>
          <w:szCs w:val="22"/>
        </w:rPr>
      </w:pPr>
      <w:r w:rsidRPr="006A174D">
        <w:rPr>
          <w:rFonts w:ascii="Franklin Gothic Book" w:hAnsi="Franklin Gothic Book" w:cs="Calibri"/>
          <w:sz w:val="22"/>
          <w:szCs w:val="22"/>
        </w:rPr>
        <w:t>COG Department of Transportation Planning (DTP) staff prepare estimated GHG</w:t>
      </w:r>
      <w:r w:rsidR="006A174D" w:rsidRPr="006A174D">
        <w:rPr>
          <w:rFonts w:ascii="Franklin Gothic Book" w:hAnsi="Franklin Gothic Book" w:cs="Calibri"/>
          <w:sz w:val="22"/>
          <w:szCs w:val="22"/>
        </w:rPr>
        <w:t xml:space="preserve"> emissions</w:t>
      </w:r>
      <w:r w:rsidRPr="006A174D">
        <w:rPr>
          <w:rFonts w:ascii="Franklin Gothic Book" w:hAnsi="Franklin Gothic Book" w:cs="Calibri"/>
          <w:sz w:val="22"/>
          <w:szCs w:val="22"/>
        </w:rPr>
        <w:t xml:space="preserve"> and modeled vehicle miles traveled (VMT) data based on planning assumptions includ</w:t>
      </w:r>
      <w:r w:rsidR="006A174D" w:rsidRPr="006A174D">
        <w:rPr>
          <w:rFonts w:ascii="Franklin Gothic Book" w:hAnsi="Franklin Gothic Book" w:cs="Calibri"/>
          <w:sz w:val="22"/>
          <w:szCs w:val="22"/>
        </w:rPr>
        <w:t>ed in</w:t>
      </w:r>
      <w:r w:rsidRPr="006A174D">
        <w:rPr>
          <w:rFonts w:ascii="Franklin Gothic Book" w:hAnsi="Franklin Gothic Book" w:cs="Calibri"/>
          <w:sz w:val="22"/>
          <w:szCs w:val="22"/>
        </w:rPr>
        <w:t xml:space="preserve"> the Transportation Planning Board’s (TPB) Constrained Long Range Plan (CLRP), COG Cooperative Forecasts (demographic data), vehicle registration (VIN) data, and modeling tools </w:t>
      </w:r>
      <w:r w:rsidR="006A174D" w:rsidRPr="006A174D">
        <w:rPr>
          <w:rFonts w:ascii="Franklin Gothic Book" w:hAnsi="Franklin Gothic Book" w:cs="Calibri"/>
          <w:sz w:val="22"/>
          <w:szCs w:val="22"/>
        </w:rPr>
        <w:t>such as</w:t>
      </w:r>
      <w:r w:rsidRPr="006A174D">
        <w:rPr>
          <w:rFonts w:ascii="Franklin Gothic Book" w:hAnsi="Franklin Gothic Book" w:cs="Calibri"/>
          <w:sz w:val="22"/>
          <w:szCs w:val="22"/>
        </w:rPr>
        <w:t xml:space="preserve"> the TPB’s travel demand model and the Environmental Protection Agency’s (EPA) mobile emissions model. </w:t>
      </w:r>
    </w:p>
    <w:p w14:paraId="5E8DD252" w14:textId="77777777" w:rsidR="00D2095D" w:rsidRPr="006A174D" w:rsidRDefault="00D2095D" w:rsidP="00960B64">
      <w:pPr>
        <w:spacing w:line="260" w:lineRule="exact"/>
        <w:contextualSpacing/>
        <w:rPr>
          <w:rFonts w:ascii="Franklin Gothic Book" w:hAnsi="Franklin Gothic Book" w:cs="Calibri"/>
          <w:sz w:val="22"/>
          <w:szCs w:val="22"/>
        </w:rPr>
      </w:pPr>
    </w:p>
    <w:p w14:paraId="4CDBDE13" w14:textId="789D227E" w:rsidR="00D2095D" w:rsidRPr="003669A3" w:rsidRDefault="003669A3" w:rsidP="003669A3">
      <w:pPr>
        <w:rPr>
          <w:rFonts w:ascii="Franklin Gothic Book" w:hAnsi="Franklin Gothic Book" w:cs="Calibri"/>
          <w:color w:val="auto"/>
          <w:sz w:val="22"/>
          <w:szCs w:val="22"/>
        </w:rPr>
      </w:pPr>
      <w:r w:rsidRPr="003669A3">
        <w:rPr>
          <w:rFonts w:ascii="Franklin Gothic Book" w:hAnsi="Franklin Gothic Book" w:cs="Calibri"/>
          <w:sz w:val="22"/>
          <w:szCs w:val="22"/>
        </w:rPr>
        <w:t>Data for 2018 was based on the Visualize 2045 Long-Range Transportation Plan (adopted in October 2018 by the Transportation Planning Board), Round 9.1 Cooperative Forecasts, 2016 VIN data, Version 2.3.75 travel demand model, and MOVES2014b mobile emissions model.</w:t>
      </w:r>
      <w:r w:rsidRPr="003669A3">
        <w:rPr>
          <w:rFonts w:ascii="Franklin Gothic Book" w:hAnsi="Franklin Gothic Book" w:cs="Calibri"/>
          <w:color w:val="auto"/>
          <w:sz w:val="22"/>
          <w:szCs w:val="22"/>
        </w:rPr>
        <w:t xml:space="preserve"> </w:t>
      </w:r>
      <w:r w:rsidR="00D2095D" w:rsidRPr="003669A3">
        <w:rPr>
          <w:rFonts w:ascii="Franklin Gothic Book" w:hAnsi="Franklin Gothic Book" w:cs="Calibri"/>
          <w:sz w:val="22"/>
          <w:szCs w:val="22"/>
        </w:rPr>
        <w:t>DTP staff provide GHG emissions estimates from EPA’s mobile emission model</w:t>
      </w:r>
      <w:r w:rsidR="00D2095D" w:rsidRPr="003669A3">
        <w:rPr>
          <w:rFonts w:ascii="Franklin Gothic Book" w:eastAsia="Times New Roman" w:hAnsi="Franklin Gothic Book" w:cs="Calibri"/>
          <w:color w:val="000000"/>
          <w:sz w:val="22"/>
          <w:szCs w:val="22"/>
        </w:rPr>
        <w:t xml:space="preserve"> for the District of Columbia, Maryland counties, Virginia counties, and the City of Alexandria.</w:t>
      </w:r>
    </w:p>
    <w:p w14:paraId="29E353F3" w14:textId="77777777" w:rsidR="00D2095D" w:rsidRPr="003669A3" w:rsidRDefault="00D2095D" w:rsidP="00960B64">
      <w:pPr>
        <w:spacing w:line="260" w:lineRule="exact"/>
        <w:contextualSpacing/>
        <w:rPr>
          <w:rFonts w:ascii="Franklin Gothic Book" w:hAnsi="Franklin Gothic Book"/>
          <w:sz w:val="22"/>
          <w:szCs w:val="22"/>
        </w:rPr>
      </w:pPr>
    </w:p>
    <w:p w14:paraId="11184AFA" w14:textId="77777777" w:rsidR="00D2095D" w:rsidRPr="00D75286" w:rsidRDefault="00D2095D" w:rsidP="00960B64">
      <w:pPr>
        <w:pStyle w:val="Level5Head-COG"/>
        <w:spacing w:line="260" w:lineRule="exact"/>
        <w:contextualSpacing/>
      </w:pPr>
      <w:r w:rsidRPr="00D75286">
        <w:t xml:space="preserve">Data Collection  </w:t>
      </w:r>
    </w:p>
    <w:p w14:paraId="6C01070C" w14:textId="1C19683A" w:rsidR="00D2095D" w:rsidRPr="00D75286" w:rsidRDefault="00D2095D" w:rsidP="00960B64">
      <w:pPr>
        <w:spacing w:line="260" w:lineRule="exact"/>
        <w:contextualSpacing/>
        <w:rPr>
          <w:rFonts w:ascii="Franklin Gothic Book" w:hAnsi="Franklin Gothic Book" w:cs="Calibri"/>
          <w:sz w:val="22"/>
          <w:szCs w:val="22"/>
        </w:rPr>
      </w:pPr>
      <w:r w:rsidRPr="00D75286">
        <w:rPr>
          <w:rFonts w:ascii="Franklin Gothic Book" w:hAnsi="Franklin Gothic Book" w:cs="Calibri"/>
          <w:sz w:val="22"/>
          <w:szCs w:val="22"/>
        </w:rPr>
        <w:t>DTP staff provide GHG emissions estimates by state, jurisdiction, and vehicle type. Emissions are b</w:t>
      </w:r>
      <w:r w:rsidRPr="00D75286">
        <w:rPr>
          <w:rFonts w:ascii="Franklin Gothic Book" w:hAnsi="Franklin Gothic Book" w:cs="Calibri"/>
          <w:color w:val="auto"/>
          <w:sz w:val="22"/>
          <w:szCs w:val="22"/>
        </w:rPr>
        <w:t xml:space="preserve">ased on both travel and non-travel related inputs to the MOVES model. </w:t>
      </w:r>
      <w:r w:rsidR="004B54D6">
        <w:rPr>
          <w:rFonts w:ascii="Franklin Gothic Book" w:hAnsi="Franklin Gothic Book" w:cs="Calibri"/>
          <w:color w:val="auto"/>
          <w:sz w:val="22"/>
          <w:szCs w:val="22"/>
        </w:rPr>
        <w:t xml:space="preserve">Additional details on MOVES model inputs are described in COG </w:t>
      </w:r>
      <w:hyperlink r:id="rId198" w:history="1">
        <w:r w:rsidRPr="004B54D6">
          <w:rPr>
            <w:rStyle w:val="Hyperlink"/>
            <w:rFonts w:ascii="Franklin Gothic Book" w:hAnsi="Franklin Gothic Book" w:cs="Calibri"/>
            <w:sz w:val="22"/>
            <w:szCs w:val="22"/>
          </w:rPr>
          <w:t>Air Quality Conformity Analys</w:t>
        </w:r>
        <w:r w:rsidR="004B54D6" w:rsidRPr="004B54D6">
          <w:rPr>
            <w:rStyle w:val="Hyperlink"/>
            <w:rFonts w:ascii="Franklin Gothic Book" w:hAnsi="Franklin Gothic Book" w:cs="Calibri"/>
            <w:sz w:val="22"/>
            <w:szCs w:val="22"/>
          </w:rPr>
          <w:t>e</w:t>
        </w:r>
        <w:r w:rsidRPr="004B54D6">
          <w:rPr>
            <w:rStyle w:val="Hyperlink"/>
            <w:rFonts w:ascii="Franklin Gothic Book" w:hAnsi="Franklin Gothic Book" w:cs="Calibri"/>
            <w:sz w:val="22"/>
            <w:szCs w:val="22"/>
          </w:rPr>
          <w:t>s</w:t>
        </w:r>
      </w:hyperlink>
      <w:r w:rsidRPr="00D75286">
        <w:rPr>
          <w:rFonts w:ascii="Franklin Gothic Book" w:hAnsi="Franklin Gothic Book" w:cs="Calibri"/>
          <w:sz w:val="22"/>
          <w:szCs w:val="22"/>
        </w:rPr>
        <w:t xml:space="preserve">. Vehicle types </w:t>
      </w:r>
      <w:r w:rsidR="00D75286" w:rsidRPr="00D75286">
        <w:rPr>
          <w:rFonts w:ascii="Franklin Gothic Book" w:hAnsi="Franklin Gothic Book" w:cs="Calibri"/>
          <w:sz w:val="22"/>
          <w:szCs w:val="22"/>
        </w:rPr>
        <w:t>include</w:t>
      </w:r>
      <w:r w:rsidRPr="00D75286">
        <w:rPr>
          <w:rFonts w:ascii="Franklin Gothic Book" w:hAnsi="Franklin Gothic Book" w:cs="Calibri"/>
          <w:sz w:val="22"/>
          <w:szCs w:val="22"/>
        </w:rPr>
        <w:t xml:space="preserve"> passenger cars, passenger trucks, motorcycles, school buses, transit buses, intercity buses, refuse trucks, light commercial trucks, motor homes, single unit short-haul trucks, single-unit long-haul truck, combination short-haul trucks, and combination long-haul trucks.  </w:t>
      </w:r>
    </w:p>
    <w:p w14:paraId="7E785A55" w14:textId="77777777" w:rsidR="00D2095D" w:rsidRPr="00D62B98" w:rsidRDefault="00D2095D" w:rsidP="00960B64">
      <w:pPr>
        <w:spacing w:line="260" w:lineRule="exact"/>
        <w:contextualSpacing/>
        <w:rPr>
          <w:rFonts w:ascii="Franklin Gothic Book" w:hAnsi="Franklin Gothic Book" w:cs="Calibri"/>
          <w:sz w:val="22"/>
          <w:szCs w:val="22"/>
        </w:rPr>
      </w:pPr>
    </w:p>
    <w:p w14:paraId="6A2E5C32" w14:textId="77777777" w:rsidR="00D2095D" w:rsidRPr="00D62B98" w:rsidRDefault="00D2095D" w:rsidP="00960B64">
      <w:pPr>
        <w:spacing w:line="260" w:lineRule="exact"/>
        <w:contextualSpacing/>
        <w:rPr>
          <w:rFonts w:ascii="Franklin Gothic Book" w:hAnsi="Franklin Gothic Book" w:cs="Calibri"/>
          <w:sz w:val="22"/>
          <w:szCs w:val="22"/>
        </w:rPr>
      </w:pPr>
      <w:r w:rsidRPr="00D62B98">
        <w:rPr>
          <w:rFonts w:ascii="Franklin Gothic Book" w:hAnsi="Franklin Gothic Book" w:cs="Calibri"/>
          <w:sz w:val="22"/>
          <w:szCs w:val="22"/>
        </w:rPr>
        <w:t>It is important to note that the modeled jurisdiction-level vehicle VMT input to the model is based on the travel occurring on the roadways in each jurisdiction, regardless of where the trips originate and terminate.</w:t>
      </w:r>
    </w:p>
    <w:p w14:paraId="0F93EAF8" w14:textId="77777777" w:rsidR="00D2095D" w:rsidRPr="00D62B98" w:rsidRDefault="00D2095D" w:rsidP="00960B64">
      <w:pPr>
        <w:pStyle w:val="Default"/>
        <w:spacing w:line="260" w:lineRule="exact"/>
        <w:contextualSpacing/>
        <w:rPr>
          <w:rFonts w:ascii="Franklin Gothic Book" w:hAnsi="Franklin Gothic Book" w:cs="Calibri"/>
          <w:sz w:val="22"/>
          <w:szCs w:val="22"/>
        </w:rPr>
      </w:pPr>
    </w:p>
    <w:p w14:paraId="38A9E8C9" w14:textId="77777777" w:rsidR="00D2095D" w:rsidRPr="00A224C1" w:rsidRDefault="00D2095D" w:rsidP="00960B64">
      <w:pPr>
        <w:pStyle w:val="Default"/>
        <w:spacing w:line="260" w:lineRule="exact"/>
        <w:contextualSpacing/>
        <w:rPr>
          <w:rFonts w:ascii="Franklin Gothic Book" w:hAnsi="Franklin Gothic Book"/>
          <w:sz w:val="22"/>
          <w:szCs w:val="22"/>
        </w:rPr>
      </w:pPr>
      <w:r w:rsidRPr="00A224C1">
        <w:rPr>
          <w:rFonts w:ascii="Franklin Gothic Book" w:hAnsi="Franklin Gothic Book"/>
          <w:sz w:val="22"/>
          <w:szCs w:val="22"/>
        </w:rPr>
        <w:t xml:space="preserve">Data is provided by DTP staff for the TPB’s Planning Area (excluding the Fauquier County urbanized area): City of Alexandria, Arlington County, Fairfax County (including Fairfax City and City of Falls Church), Loudoun County, Prince William County (including Manassas and Manassas Park), Charles County, District of Columbia, Frederick County, Montgomery County, and Prince George’s County. </w:t>
      </w:r>
    </w:p>
    <w:p w14:paraId="695445CD" w14:textId="436FBF7C" w:rsidR="00D2095D" w:rsidRDefault="00D2095D" w:rsidP="00960B64">
      <w:pPr>
        <w:spacing w:line="260" w:lineRule="exact"/>
        <w:contextualSpacing/>
        <w:rPr>
          <w:rFonts w:ascii="Franklin Gothic Book" w:hAnsi="Franklin Gothic Book"/>
          <w:sz w:val="22"/>
          <w:szCs w:val="22"/>
        </w:rPr>
      </w:pPr>
    </w:p>
    <w:p w14:paraId="3111E272" w14:textId="1629068F" w:rsidR="002B3D90" w:rsidRDefault="002B3D90" w:rsidP="00960B64">
      <w:pPr>
        <w:spacing w:line="260" w:lineRule="exact"/>
        <w:contextualSpacing/>
        <w:rPr>
          <w:rFonts w:ascii="Franklin Gothic Book" w:hAnsi="Franklin Gothic Book"/>
          <w:sz w:val="22"/>
          <w:szCs w:val="22"/>
        </w:rPr>
      </w:pPr>
    </w:p>
    <w:p w14:paraId="3EED58F1" w14:textId="77777777" w:rsidR="002B3D90" w:rsidRPr="00AC1CE0" w:rsidRDefault="002B3D90" w:rsidP="00960B64">
      <w:pPr>
        <w:spacing w:line="260" w:lineRule="exact"/>
        <w:contextualSpacing/>
        <w:rPr>
          <w:rFonts w:ascii="Franklin Gothic Book" w:hAnsi="Franklin Gothic Book"/>
          <w:sz w:val="22"/>
          <w:szCs w:val="22"/>
        </w:rPr>
      </w:pPr>
    </w:p>
    <w:p w14:paraId="6106C10E" w14:textId="77777777" w:rsidR="00D2095D" w:rsidRPr="00AC1CE0" w:rsidRDefault="00D2095D" w:rsidP="00960B64">
      <w:pPr>
        <w:spacing w:line="260" w:lineRule="exact"/>
        <w:contextualSpacing/>
        <w:rPr>
          <w:rFonts w:ascii="Franklin Gothic Book" w:hAnsi="Franklin Gothic Book"/>
          <w:sz w:val="22"/>
          <w:szCs w:val="22"/>
        </w:rPr>
      </w:pPr>
      <w:r w:rsidRPr="00AC1CE0">
        <w:rPr>
          <w:rFonts w:ascii="Franklin Gothic Book" w:hAnsi="Franklin Gothic Book"/>
          <w:sz w:val="22"/>
          <w:szCs w:val="22"/>
        </w:rPr>
        <w:lastRenderedPageBreak/>
        <w:t>Data Needs:</w:t>
      </w:r>
    </w:p>
    <w:p w14:paraId="5B293264" w14:textId="68E3A33A" w:rsidR="00D2095D" w:rsidRPr="00AC1CE0" w:rsidRDefault="00D2095D" w:rsidP="00960B64">
      <w:pPr>
        <w:pStyle w:val="BodyText-COG"/>
        <w:numPr>
          <w:ilvl w:val="0"/>
          <w:numId w:val="33"/>
        </w:numPr>
        <w:contextualSpacing/>
      </w:pPr>
      <w:r w:rsidRPr="00AC1CE0">
        <w:t>Population: Population data for all COG jurisdictions and</w:t>
      </w:r>
      <w:r w:rsidR="00AC1CE0" w:rsidRPr="00AC1CE0">
        <w:t xml:space="preserve"> the</w:t>
      </w:r>
      <w:r w:rsidRPr="00AC1CE0">
        <w:t xml:space="preserve"> region</w:t>
      </w:r>
      <w:r w:rsidR="00AC1CE0" w:rsidRPr="00AC1CE0">
        <w:t xml:space="preserve"> </w:t>
      </w:r>
      <w:r w:rsidRPr="00AC1CE0">
        <w:t xml:space="preserve">are collected from COG’s Cooperative Forecasts and the </w:t>
      </w:r>
      <w:r w:rsidR="00FA5C2C">
        <w:t>ACS</w:t>
      </w:r>
      <w:r w:rsidRPr="00AC1CE0">
        <w:t>.</w:t>
      </w:r>
    </w:p>
    <w:p w14:paraId="567F0D47" w14:textId="64D73E1E" w:rsidR="00D2095D" w:rsidRPr="00AC1CE0" w:rsidRDefault="00D2095D" w:rsidP="00960B64">
      <w:pPr>
        <w:numPr>
          <w:ilvl w:val="0"/>
          <w:numId w:val="33"/>
        </w:numPr>
        <w:spacing w:line="260" w:lineRule="exact"/>
        <w:ind w:left="720"/>
        <w:contextualSpacing/>
        <w:rPr>
          <w:rFonts w:ascii="Franklin Gothic Book" w:hAnsi="Franklin Gothic Book" w:cs="Calibri"/>
          <w:sz w:val="22"/>
          <w:szCs w:val="22"/>
        </w:rPr>
      </w:pPr>
      <w:r w:rsidRPr="00AC1CE0">
        <w:rPr>
          <w:rFonts w:ascii="Franklin Gothic Book" w:hAnsi="Franklin Gothic Book" w:cs="Calibri"/>
          <w:sz w:val="22"/>
          <w:szCs w:val="22"/>
        </w:rPr>
        <w:t>Emissions: Emissions of Atmospheric Carbon Dioxide (CO</w:t>
      </w:r>
      <w:r w:rsidRPr="00AC1CE0">
        <w:rPr>
          <w:rFonts w:ascii="Franklin Gothic Book" w:hAnsi="Franklin Gothic Book" w:cs="Calibri"/>
          <w:sz w:val="22"/>
          <w:szCs w:val="22"/>
          <w:vertAlign w:val="subscript"/>
        </w:rPr>
        <w:t>2</w:t>
      </w:r>
      <w:r w:rsidRPr="00AC1CE0">
        <w:rPr>
          <w:rFonts w:ascii="Franklin Gothic Book" w:hAnsi="Franklin Gothic Book" w:cs="Calibri"/>
          <w:sz w:val="22"/>
          <w:szCs w:val="22"/>
        </w:rPr>
        <w:t>), Methane (CH</w:t>
      </w:r>
      <w:r w:rsidRPr="00AC1CE0">
        <w:rPr>
          <w:rFonts w:ascii="Franklin Gothic Book" w:hAnsi="Franklin Gothic Book" w:cs="Calibri"/>
          <w:sz w:val="22"/>
          <w:szCs w:val="22"/>
          <w:vertAlign w:val="subscript"/>
        </w:rPr>
        <w:t>4</w:t>
      </w:r>
      <w:r w:rsidRPr="00AC1CE0">
        <w:rPr>
          <w:rFonts w:ascii="Franklin Gothic Book" w:hAnsi="Franklin Gothic Book" w:cs="Calibri"/>
          <w:sz w:val="22"/>
          <w:szCs w:val="22"/>
        </w:rPr>
        <w:t>), and Nitrous Oxide (N</w:t>
      </w:r>
      <w:r w:rsidRPr="00AC1CE0">
        <w:rPr>
          <w:rFonts w:ascii="Franklin Gothic Book" w:hAnsi="Franklin Gothic Book" w:cs="Calibri"/>
          <w:sz w:val="22"/>
          <w:szCs w:val="22"/>
          <w:vertAlign w:val="subscript"/>
        </w:rPr>
        <w:t>2</w:t>
      </w:r>
      <w:r w:rsidRPr="00AC1CE0">
        <w:rPr>
          <w:rFonts w:ascii="Franklin Gothic Book" w:hAnsi="Franklin Gothic Book" w:cs="Calibri"/>
          <w:sz w:val="22"/>
          <w:szCs w:val="22"/>
        </w:rPr>
        <w:t>O) from the EPA mobile emissions model is obtained from DTP staff.</w:t>
      </w:r>
    </w:p>
    <w:p w14:paraId="632D4CA9" w14:textId="3076DFA3" w:rsidR="00D2095D" w:rsidRPr="00AC1CE0" w:rsidRDefault="00D2095D" w:rsidP="00960B64">
      <w:pPr>
        <w:numPr>
          <w:ilvl w:val="0"/>
          <w:numId w:val="33"/>
        </w:numPr>
        <w:spacing w:line="260" w:lineRule="exact"/>
        <w:contextualSpacing/>
        <w:rPr>
          <w:rFonts w:ascii="Franklin Gothic Book" w:hAnsi="Franklin Gothic Book"/>
          <w:sz w:val="22"/>
          <w:szCs w:val="22"/>
        </w:rPr>
      </w:pPr>
      <w:r w:rsidRPr="00AC1CE0">
        <w:rPr>
          <w:rFonts w:ascii="Franklin Gothic Book" w:hAnsi="Franklin Gothic Book"/>
          <w:sz w:val="22"/>
          <w:szCs w:val="22"/>
        </w:rPr>
        <w:t xml:space="preserve">Vehicle Miles Travelled: Modeled VMT data by jurisdiction is obtained from DTP staff. This is not used to further calculate emissions; however, it is used as an indicator to support local jurisdictions in their understanding of resultant emissions.     </w:t>
      </w:r>
    </w:p>
    <w:p w14:paraId="5BE2D080" w14:textId="77777777" w:rsidR="00D2095D" w:rsidRPr="00AC1CE0" w:rsidRDefault="00D2095D" w:rsidP="00960B64">
      <w:pPr>
        <w:spacing w:line="260" w:lineRule="exact"/>
        <w:contextualSpacing/>
        <w:rPr>
          <w:rFonts w:ascii="Franklin Gothic Book" w:hAnsi="Franklin Gothic Book"/>
          <w:sz w:val="22"/>
          <w:szCs w:val="22"/>
        </w:rPr>
      </w:pPr>
    </w:p>
    <w:p w14:paraId="447DB076" w14:textId="77777777" w:rsidR="00D2095D" w:rsidRPr="00622152" w:rsidRDefault="00D2095D" w:rsidP="00960B64">
      <w:pPr>
        <w:pStyle w:val="Level3Head-COG"/>
        <w:spacing w:before="0"/>
        <w:contextualSpacing/>
      </w:pPr>
      <w:bookmarkStart w:id="422" w:name="_Toc535399923"/>
      <w:bookmarkStart w:id="423" w:name="_Toc50968787"/>
      <w:bookmarkStart w:id="424" w:name="_Toc51077776"/>
      <w:r w:rsidRPr="00622152">
        <w:t>aviation travel</w:t>
      </w:r>
      <w:bookmarkEnd w:id="422"/>
      <w:bookmarkEnd w:id="423"/>
      <w:bookmarkEnd w:id="424"/>
      <w:r w:rsidRPr="00622152">
        <w:t xml:space="preserve">  </w:t>
      </w:r>
    </w:p>
    <w:p w14:paraId="5EE36B5D" w14:textId="77777777" w:rsidR="00D2095D" w:rsidRPr="00622152" w:rsidRDefault="00D2095D" w:rsidP="00960B64">
      <w:pPr>
        <w:pStyle w:val="BodyText-COG"/>
        <w:contextualSpacing/>
      </w:pPr>
    </w:p>
    <w:p w14:paraId="559ABFA0" w14:textId="77777777" w:rsidR="00D2095D" w:rsidRPr="00622152" w:rsidRDefault="00D2095D" w:rsidP="00960B64">
      <w:pPr>
        <w:pStyle w:val="Level4Head-COG"/>
        <w:contextualSpacing/>
      </w:pPr>
      <w:r w:rsidRPr="00622152">
        <w:t xml:space="preserve">Passenger Air Travel </w:t>
      </w:r>
    </w:p>
    <w:p w14:paraId="2CB64C18" w14:textId="77777777" w:rsidR="00D2095D" w:rsidRPr="00622152" w:rsidRDefault="00D2095D" w:rsidP="00960B64">
      <w:pPr>
        <w:pStyle w:val="Level5Head-COG"/>
        <w:spacing w:line="260" w:lineRule="exact"/>
        <w:contextualSpacing/>
      </w:pPr>
      <w:r w:rsidRPr="00622152">
        <w:t>Description</w:t>
      </w:r>
    </w:p>
    <w:p w14:paraId="68920EEE" w14:textId="1CE7C1DA" w:rsidR="00D2095D" w:rsidRPr="00622152" w:rsidRDefault="00D2095D" w:rsidP="00960B64">
      <w:pPr>
        <w:pStyle w:val="Level4Head-COG"/>
        <w:contextualSpacing/>
        <w:rPr>
          <w:rFonts w:ascii="Franklin Gothic Book" w:hAnsi="Franklin Gothic Book"/>
          <w:sz w:val="22"/>
          <w:szCs w:val="22"/>
        </w:rPr>
      </w:pPr>
      <w:r w:rsidRPr="00622152">
        <w:rPr>
          <w:rFonts w:ascii="Franklin Gothic Book" w:hAnsi="Franklin Gothic Book"/>
          <w:sz w:val="22"/>
        </w:rPr>
        <w:t xml:space="preserve">Passenger air travel emissions accounts for commercial aircraft emissions from major commercial airports serving the region and allocates those emissions to local communities based on users of the airport. </w:t>
      </w:r>
      <w:r w:rsidRPr="00622152">
        <w:rPr>
          <w:rFonts w:ascii="Franklin Gothic Book" w:hAnsi="Franklin Gothic Book"/>
          <w:sz w:val="22"/>
          <w:szCs w:val="22"/>
          <w:lang w:val="en"/>
        </w:rPr>
        <w:t>The USCP states that aircraft emissions often represent more than 90</w:t>
      </w:r>
      <w:r w:rsidR="00622152" w:rsidRPr="00622152">
        <w:rPr>
          <w:rFonts w:ascii="Franklin Gothic Book" w:hAnsi="Franklin Gothic Book"/>
          <w:sz w:val="22"/>
          <w:szCs w:val="22"/>
          <w:lang w:val="en"/>
        </w:rPr>
        <w:t xml:space="preserve"> percent</w:t>
      </w:r>
      <w:r w:rsidRPr="00622152">
        <w:rPr>
          <w:rFonts w:ascii="Franklin Gothic Book" w:hAnsi="Franklin Gothic Book"/>
          <w:sz w:val="22"/>
          <w:szCs w:val="22"/>
          <w:lang w:val="en"/>
        </w:rPr>
        <w:t xml:space="preserve"> of airport related emissions.  </w:t>
      </w:r>
    </w:p>
    <w:p w14:paraId="4653B4F9" w14:textId="77777777" w:rsidR="00D2095D" w:rsidRPr="00622152" w:rsidRDefault="00D2095D" w:rsidP="00960B64">
      <w:pPr>
        <w:pStyle w:val="BodyText-COG"/>
        <w:contextualSpacing/>
        <w:rPr>
          <w:highlight w:val="yellow"/>
        </w:rPr>
      </w:pPr>
    </w:p>
    <w:p w14:paraId="14529F9C" w14:textId="77777777" w:rsidR="00D2095D" w:rsidRPr="008A3C8A" w:rsidRDefault="00D2095D" w:rsidP="00960B64">
      <w:pPr>
        <w:pStyle w:val="Level5Head-COG"/>
        <w:spacing w:line="260" w:lineRule="exact"/>
        <w:contextualSpacing/>
      </w:pPr>
      <w:r w:rsidRPr="008A3C8A">
        <w:t xml:space="preserve">Methodology </w:t>
      </w:r>
    </w:p>
    <w:p w14:paraId="0D75C1ED" w14:textId="30611DF7" w:rsidR="00D2095D" w:rsidRPr="008A3C8A" w:rsidRDefault="00D2095D" w:rsidP="008A3C8A">
      <w:pPr>
        <w:pStyle w:val="Default"/>
        <w:spacing w:line="260" w:lineRule="exact"/>
        <w:contextualSpacing/>
        <w:rPr>
          <w:rFonts w:ascii="Franklin Gothic Book" w:hAnsi="Franklin Gothic Book"/>
          <w:sz w:val="22"/>
          <w:szCs w:val="22"/>
          <w:lang w:val="en"/>
        </w:rPr>
      </w:pPr>
      <w:r w:rsidRPr="008A3C8A">
        <w:rPr>
          <w:rFonts w:ascii="Franklin Gothic Book" w:hAnsi="Franklin Gothic Book"/>
          <w:sz w:val="22"/>
          <w:szCs w:val="22"/>
          <w:lang w:val="en"/>
        </w:rPr>
        <w:t xml:space="preserve">The Passenger Air Travel emission calculations generally follows the USCP recommended methodology as outlined in Appendix D, TR.6.D from Version 1.1 of the Protocol. COG’s approach uses the best available data to estimate air travel passenger emissions by airport and </w:t>
      </w:r>
      <w:r w:rsidR="008A3C8A" w:rsidRPr="008A3C8A">
        <w:rPr>
          <w:rFonts w:ascii="Franklin Gothic Book" w:hAnsi="Franklin Gothic Book"/>
          <w:sz w:val="22"/>
          <w:szCs w:val="22"/>
          <w:lang w:val="en"/>
        </w:rPr>
        <w:t xml:space="preserve">allocates emissions by the percent of passengers traveling from a COG member jurisdiction to the airport. </w:t>
      </w:r>
      <w:r w:rsidRPr="008A3C8A">
        <w:rPr>
          <w:rFonts w:ascii="Franklin Gothic Book" w:hAnsi="Franklin Gothic Book"/>
          <w:sz w:val="22"/>
          <w:szCs w:val="22"/>
        </w:rPr>
        <w:t xml:space="preserve">This includes all air passengers leaving a COG member jurisdiction </w:t>
      </w:r>
      <w:r w:rsidR="008A3C8A" w:rsidRPr="008A3C8A">
        <w:rPr>
          <w:rFonts w:ascii="Franklin Gothic Book" w:hAnsi="Franklin Gothic Book"/>
          <w:sz w:val="22"/>
          <w:szCs w:val="22"/>
        </w:rPr>
        <w:t>to</w:t>
      </w:r>
      <w:r w:rsidRPr="008A3C8A">
        <w:rPr>
          <w:rFonts w:ascii="Franklin Gothic Book" w:hAnsi="Franklin Gothic Book"/>
          <w:sz w:val="22"/>
          <w:szCs w:val="22"/>
        </w:rPr>
        <w:t xml:space="preserve"> fly out of Baltimore-Washington International Thurgood Marshall Airport (BWI), Ronald Reagan Washington National Airport (DCA), and Washington Dulles International Airport (IAD). This includes personal travel and business travel by people who live, work, or were visiting a COG member jurisdiction.  </w:t>
      </w:r>
    </w:p>
    <w:p w14:paraId="799D64FB" w14:textId="77777777" w:rsidR="00D2095D" w:rsidRPr="008A3C8A" w:rsidRDefault="00D2095D" w:rsidP="00960B64">
      <w:pPr>
        <w:pStyle w:val="BodyText-COG"/>
        <w:contextualSpacing/>
        <w:rPr>
          <w:highlight w:val="yellow"/>
        </w:rPr>
      </w:pPr>
    </w:p>
    <w:p w14:paraId="2637E0C1" w14:textId="386C2382" w:rsidR="00D2095D" w:rsidRPr="0045767E" w:rsidRDefault="00D2095D" w:rsidP="00960B64">
      <w:pPr>
        <w:pStyle w:val="BodyText-COG"/>
        <w:contextualSpacing/>
      </w:pPr>
      <w:r w:rsidRPr="0045767E">
        <w:t xml:space="preserve">To estimate emissions per airport, national aircraft emissions are downscaled based on the local to national ratio of revenue passenger miles for BWI, DCA, and IAD. Emissions are applied locally based on </w:t>
      </w:r>
      <w:r w:rsidR="0045767E" w:rsidRPr="0045767E">
        <w:t>a community’s</w:t>
      </w:r>
      <w:r w:rsidRPr="0045767E">
        <w:t xml:space="preserve"> contribution to each airport’s originating passengers. This approach does not account for aircraft emissions and air passengers that are, for instance, flying into IAD and taking a connecting flight elsewhere.</w:t>
      </w:r>
    </w:p>
    <w:p w14:paraId="48B6116C" w14:textId="77777777" w:rsidR="00D2095D" w:rsidRPr="00D2095D" w:rsidRDefault="00D2095D" w:rsidP="00960B64">
      <w:pPr>
        <w:pStyle w:val="BodyText-COG"/>
        <w:contextualSpacing/>
        <w:rPr>
          <w:highlight w:val="yellow"/>
        </w:rPr>
      </w:pPr>
    </w:p>
    <w:p w14:paraId="3FD0C1CF" w14:textId="77777777" w:rsidR="00D2095D" w:rsidRPr="0045767E" w:rsidRDefault="00D2095D" w:rsidP="00960B64">
      <w:pPr>
        <w:pStyle w:val="Level5Head-COG"/>
        <w:spacing w:line="260" w:lineRule="exact"/>
        <w:contextualSpacing/>
      </w:pPr>
      <w:r w:rsidRPr="0045767E">
        <w:t>Data Collection</w:t>
      </w:r>
    </w:p>
    <w:p w14:paraId="0C8E268A" w14:textId="26BCD7D5" w:rsidR="00D2095D" w:rsidRPr="0045767E" w:rsidRDefault="00D2095D" w:rsidP="00960B64">
      <w:pPr>
        <w:pStyle w:val="BodyText-COG"/>
        <w:contextualSpacing/>
        <w:rPr>
          <w:rFonts w:eastAsia="Times New Roman" w:cs="Calibri"/>
          <w:color w:val="000000"/>
          <w:szCs w:val="22"/>
        </w:rPr>
      </w:pPr>
      <w:r w:rsidRPr="0045767E">
        <w:rPr>
          <w:rFonts w:eastAsia="Times New Roman" w:cs="Calibri"/>
          <w:color w:val="000000"/>
          <w:szCs w:val="22"/>
        </w:rPr>
        <w:t xml:space="preserve">For all originating air passengers departing from the region’s three commercial airports – BWI, DCA, IAD – the biennial Washington-Baltimore Regional Air Passenger Survey provides readily available origin-destination data by mode of access, trip origination (home, non-home), resident status (resident, non-resident), and trip purpose (work, non-work), for base and forecast years. There is also readily available data on commercial aircraft emissions and passenger miles travelled for the airports serving the region through EPA and the Bureau of Transportation Statistics, respectively. </w:t>
      </w:r>
    </w:p>
    <w:p w14:paraId="446921E6" w14:textId="77777777" w:rsidR="00D2095D" w:rsidRPr="0045767E" w:rsidRDefault="00D2095D" w:rsidP="00960B64">
      <w:pPr>
        <w:pStyle w:val="BodyText-COG"/>
        <w:contextualSpacing/>
        <w:rPr>
          <w:rFonts w:asciiTheme="minorHAnsi" w:hAnsiTheme="minorHAnsi"/>
          <w:i/>
        </w:rPr>
      </w:pPr>
    </w:p>
    <w:p w14:paraId="10463D03" w14:textId="77777777" w:rsidR="00D2095D" w:rsidRPr="0045767E" w:rsidRDefault="00D2095D" w:rsidP="00960B64">
      <w:pPr>
        <w:pStyle w:val="BodyText-COG"/>
        <w:contextualSpacing/>
      </w:pPr>
      <w:r w:rsidRPr="0045767E">
        <w:t>Data Needs:</w:t>
      </w:r>
    </w:p>
    <w:p w14:paraId="719F685D" w14:textId="77777777" w:rsidR="00D2095D" w:rsidRPr="0045767E" w:rsidRDefault="00D2095D" w:rsidP="00960B64">
      <w:pPr>
        <w:pStyle w:val="BodyText-COG"/>
        <w:numPr>
          <w:ilvl w:val="0"/>
          <w:numId w:val="30"/>
        </w:numPr>
        <w:contextualSpacing/>
      </w:pPr>
      <w:r w:rsidRPr="0045767E">
        <w:t>Number of Originating Air Passengers: Data for number of originating air passengers to each airport for each COG jurisdiction is collected from the Washington-Baltimore Regional Air Passenger Survey Geographic Findings Report. Data is pulled by “Jurisdiction” for the counties, District of Columbia, and the City of Alexandria. Data for the rest of the cities is pulled by “Airport Analysis Zone.”</w:t>
      </w:r>
    </w:p>
    <w:p w14:paraId="0B73B48B" w14:textId="35B0C94A" w:rsidR="00D2095D" w:rsidRPr="0045767E" w:rsidRDefault="00D2095D" w:rsidP="00960B64">
      <w:pPr>
        <w:pStyle w:val="BodyText-COG"/>
        <w:numPr>
          <w:ilvl w:val="0"/>
          <w:numId w:val="30"/>
        </w:numPr>
        <w:contextualSpacing/>
      </w:pPr>
      <w:r w:rsidRPr="0045767E">
        <w:lastRenderedPageBreak/>
        <w:t xml:space="preserve">Total Revenue Passenger Miles: Data for each airport and U.S. totals are from the Bureau of Transportation Statistics. </w:t>
      </w:r>
    </w:p>
    <w:p w14:paraId="70E1FC9A" w14:textId="16B07582" w:rsidR="00D2095D" w:rsidRPr="0045767E" w:rsidRDefault="00D2095D" w:rsidP="00960B64">
      <w:pPr>
        <w:pStyle w:val="BodyText-COG"/>
        <w:numPr>
          <w:ilvl w:val="0"/>
          <w:numId w:val="30"/>
        </w:numPr>
        <w:contextualSpacing/>
      </w:pPr>
      <w:r w:rsidRPr="0045767E">
        <w:t>U.S. Total Commercial Aircraft Emissions: Value in MMTCO</w:t>
      </w:r>
      <w:r w:rsidRPr="0045767E">
        <w:rPr>
          <w:vertAlign w:val="subscript"/>
        </w:rPr>
        <w:t>2</w:t>
      </w:r>
      <w:r w:rsidRPr="0045767E">
        <w:t xml:space="preserve">e </w:t>
      </w:r>
      <w:r w:rsidR="0045767E" w:rsidRPr="0045767E">
        <w:t>are</w:t>
      </w:r>
      <w:r w:rsidRPr="0045767E">
        <w:t xml:space="preserve"> from: U.S. Environmental Protection Agency Inventory of U.S. GHG Emissions and Sinks. </w:t>
      </w:r>
    </w:p>
    <w:p w14:paraId="28A4A46C" w14:textId="2D512CA6" w:rsidR="00D2095D" w:rsidRPr="0045767E" w:rsidRDefault="00D2095D" w:rsidP="00960B64">
      <w:pPr>
        <w:pStyle w:val="BodyText-COG"/>
        <w:numPr>
          <w:ilvl w:val="0"/>
          <w:numId w:val="30"/>
        </w:numPr>
        <w:ind w:left="720"/>
        <w:contextualSpacing/>
      </w:pPr>
      <w:r w:rsidRPr="0045767E">
        <w:t xml:space="preserve">Total Enplanements: Volume for BWI, DCA, and IAD are from the COG Washington-Baltimore Regional Air Passenger Survey Geographic Findings Report. </w:t>
      </w:r>
    </w:p>
    <w:p w14:paraId="4F447C1B" w14:textId="77777777" w:rsidR="00D2095D" w:rsidRPr="0045767E" w:rsidRDefault="00D2095D" w:rsidP="00960B64">
      <w:pPr>
        <w:pStyle w:val="BodyText-COG"/>
        <w:ind w:left="720"/>
        <w:contextualSpacing/>
      </w:pPr>
    </w:p>
    <w:p w14:paraId="0FA6190C" w14:textId="77777777" w:rsidR="00D2095D" w:rsidRPr="003C20D3" w:rsidRDefault="00D2095D" w:rsidP="00960B64">
      <w:pPr>
        <w:pStyle w:val="Level3Head-COG"/>
        <w:spacing w:before="0"/>
        <w:contextualSpacing/>
      </w:pPr>
      <w:bookmarkStart w:id="425" w:name="_Toc535399924"/>
      <w:bookmarkStart w:id="426" w:name="_Toc50968788"/>
      <w:bookmarkStart w:id="427" w:name="_Toc51077777"/>
      <w:r w:rsidRPr="003C20D3">
        <w:t>rail transportation</w:t>
      </w:r>
      <w:bookmarkEnd w:id="425"/>
      <w:bookmarkEnd w:id="426"/>
      <w:bookmarkEnd w:id="427"/>
      <w:r w:rsidRPr="003C20D3">
        <w:t xml:space="preserve"> </w:t>
      </w:r>
    </w:p>
    <w:p w14:paraId="25F05583" w14:textId="77777777" w:rsidR="00D2095D" w:rsidRPr="003C20D3" w:rsidRDefault="00D2095D" w:rsidP="00960B64">
      <w:pPr>
        <w:pStyle w:val="Level4Head-COG"/>
        <w:contextualSpacing/>
        <w:rPr>
          <w:u w:val="single"/>
        </w:rPr>
      </w:pPr>
    </w:p>
    <w:p w14:paraId="100D50E5" w14:textId="77777777" w:rsidR="00D2095D" w:rsidRPr="003C20D3" w:rsidRDefault="00D2095D" w:rsidP="00960B64">
      <w:pPr>
        <w:pStyle w:val="Level4Head-COG"/>
        <w:contextualSpacing/>
      </w:pPr>
      <w:r w:rsidRPr="003C20D3">
        <w:t xml:space="preserve">Rail Transportation </w:t>
      </w:r>
    </w:p>
    <w:p w14:paraId="69E50D8C" w14:textId="77777777" w:rsidR="00D2095D" w:rsidRPr="003C20D3" w:rsidRDefault="00D2095D" w:rsidP="00960B64">
      <w:pPr>
        <w:pStyle w:val="Level5Head-COG"/>
        <w:spacing w:line="260" w:lineRule="exact"/>
        <w:contextualSpacing/>
      </w:pPr>
      <w:r w:rsidRPr="003C20D3">
        <w:t xml:space="preserve">Description </w:t>
      </w:r>
    </w:p>
    <w:p w14:paraId="1345A215" w14:textId="77777777" w:rsidR="00D2095D" w:rsidRPr="003C20D3" w:rsidRDefault="00D2095D" w:rsidP="00960B64">
      <w:pPr>
        <w:spacing w:line="260" w:lineRule="exact"/>
        <w:contextualSpacing/>
        <w:rPr>
          <w:rFonts w:ascii="Franklin Gothic Book" w:hAnsi="Franklin Gothic Book"/>
          <w:caps/>
          <w:sz w:val="20"/>
          <w:szCs w:val="20"/>
        </w:rPr>
      </w:pPr>
      <w:r w:rsidRPr="003C20D3">
        <w:rPr>
          <w:rFonts w:ascii="Franklin Gothic Book" w:hAnsi="Franklin Gothic Book"/>
          <w:sz w:val="22"/>
          <w:szCs w:val="22"/>
        </w:rPr>
        <w:t xml:space="preserve">Rail Transportation calculates emissions resulting from MARC and Virginia Railway Express (VRE) trains carrying commuters from Maryland and Virginia. </w:t>
      </w:r>
      <w:r w:rsidRPr="003C20D3">
        <w:rPr>
          <w:rFonts w:ascii="Franklin Gothic Book" w:hAnsi="Franklin Gothic Book" w:cs="Arial"/>
          <w:color w:val="000000"/>
          <w:sz w:val="22"/>
          <w:szCs w:val="22"/>
        </w:rPr>
        <w:t xml:space="preserve">Combined average weekday ridership is approximately 60,000 passengers. These commuter rail services serve an important role in providing for a balanced intermodal transit for metropolitan Washington. Local jurisdictions may have influence on service levels in its community via supportive land use policies, infrastructure investments, and connecting transit services. </w:t>
      </w:r>
    </w:p>
    <w:p w14:paraId="7167BA85" w14:textId="77777777" w:rsidR="00D2095D" w:rsidRPr="003C20D3" w:rsidRDefault="00D2095D" w:rsidP="00960B64">
      <w:pPr>
        <w:spacing w:line="260" w:lineRule="exact"/>
        <w:contextualSpacing/>
        <w:rPr>
          <w:rFonts w:ascii="Franklin Gothic Book" w:hAnsi="Franklin Gothic Book"/>
          <w:caps/>
          <w:sz w:val="20"/>
          <w:szCs w:val="20"/>
        </w:rPr>
      </w:pPr>
    </w:p>
    <w:p w14:paraId="336B77AE" w14:textId="77777777" w:rsidR="00D2095D" w:rsidRPr="001F4481" w:rsidRDefault="00D2095D" w:rsidP="00960B64">
      <w:pPr>
        <w:pStyle w:val="Level5Head-COG"/>
        <w:spacing w:line="260" w:lineRule="exact"/>
        <w:contextualSpacing/>
      </w:pPr>
      <w:r w:rsidRPr="001F4481">
        <w:t>Methodology</w:t>
      </w:r>
    </w:p>
    <w:p w14:paraId="3CDB0F53" w14:textId="02048C02" w:rsidR="00D2095D" w:rsidRPr="001F4481" w:rsidRDefault="00D2095D" w:rsidP="00960B64">
      <w:pPr>
        <w:pStyle w:val="BodyText-COG"/>
        <w:contextualSpacing/>
        <w:rPr>
          <w:szCs w:val="22"/>
          <w:lang w:val="en"/>
        </w:rPr>
      </w:pPr>
      <w:r w:rsidRPr="001F4481">
        <w:rPr>
          <w:szCs w:val="22"/>
          <w:lang w:val="en"/>
        </w:rPr>
        <w:t xml:space="preserve">The Commuter Rail Transportation emission calculations generally follow the USCP recommended methodology as outlined in Appendix D, TR.4 from Version 1.1 of the Protocol. In this approach, emissions are calculated from annual diesel consumption of commuter rail operators. </w:t>
      </w:r>
    </w:p>
    <w:p w14:paraId="3AE7B713" w14:textId="77777777" w:rsidR="00D2095D" w:rsidRPr="001F4481" w:rsidRDefault="00D2095D" w:rsidP="00960B64">
      <w:pPr>
        <w:pStyle w:val="BodyText-COG"/>
        <w:contextualSpacing/>
        <w:rPr>
          <w:szCs w:val="22"/>
          <w:lang w:val="en"/>
        </w:rPr>
      </w:pPr>
    </w:p>
    <w:p w14:paraId="66671829" w14:textId="24B43B76" w:rsidR="00D2095D" w:rsidRPr="001F4481" w:rsidRDefault="00D2095D" w:rsidP="00960B64">
      <w:pPr>
        <w:pStyle w:val="BodyText-COG"/>
        <w:contextualSpacing/>
      </w:pPr>
      <w:r w:rsidRPr="001F4481">
        <w:rPr>
          <w:szCs w:val="22"/>
        </w:rPr>
        <w:t xml:space="preserve">Maryland Transit Administration (MTA) and VRE reports diesel consumption for their full commuter rail operations, some of which occurs outside of metropolitan Washington. </w:t>
      </w:r>
      <w:r w:rsidRPr="001F4481">
        <w:t>MTA and VRE annual diesel consumption are attributed to the region by the percent of stations located in the region – 59</w:t>
      </w:r>
      <w:r w:rsidR="00186366">
        <w:t xml:space="preserve"> percent</w:t>
      </w:r>
      <w:r w:rsidRPr="001F4481">
        <w:t xml:space="preserve"> of MTA’s MARC stations and 75</w:t>
      </w:r>
      <w:r w:rsidR="00186366">
        <w:t xml:space="preserve"> percent</w:t>
      </w:r>
      <w:r w:rsidRPr="001F4481">
        <w:t xml:space="preserve"> of VRE stations </w:t>
      </w:r>
      <w:proofErr w:type="gramStart"/>
      <w:r w:rsidRPr="001F4481">
        <w:t>are located in</w:t>
      </w:r>
      <w:proofErr w:type="gramEnd"/>
      <w:r w:rsidRPr="001F4481">
        <w:t xml:space="preserve"> the region. </w:t>
      </w:r>
    </w:p>
    <w:p w14:paraId="1C16C8F2" w14:textId="77777777" w:rsidR="00D2095D" w:rsidRPr="001F4481" w:rsidRDefault="00D2095D" w:rsidP="00960B64">
      <w:pPr>
        <w:pStyle w:val="BodyText-COG"/>
        <w:contextualSpacing/>
        <w:rPr>
          <w:szCs w:val="22"/>
          <w:lang w:val="en"/>
        </w:rPr>
      </w:pPr>
    </w:p>
    <w:p w14:paraId="31279C8B" w14:textId="77777777" w:rsidR="00D2095D" w:rsidRPr="00C83513" w:rsidRDefault="00D2095D" w:rsidP="00960B64">
      <w:pPr>
        <w:pStyle w:val="Level5Head-COG"/>
        <w:spacing w:line="260" w:lineRule="exact"/>
        <w:contextualSpacing/>
      </w:pPr>
      <w:r w:rsidRPr="00C83513">
        <w:t xml:space="preserve">Data Collection </w:t>
      </w:r>
    </w:p>
    <w:p w14:paraId="57AD55EA" w14:textId="087120EA" w:rsidR="00D2095D" w:rsidRPr="00C83513" w:rsidRDefault="00D2095D" w:rsidP="00960B64">
      <w:pPr>
        <w:spacing w:line="260" w:lineRule="exact"/>
        <w:contextualSpacing/>
        <w:rPr>
          <w:rFonts w:ascii="Franklin Gothic Book" w:hAnsi="Franklin Gothic Book"/>
          <w:sz w:val="22"/>
          <w:szCs w:val="22"/>
        </w:rPr>
      </w:pPr>
      <w:r w:rsidRPr="00C83513">
        <w:rPr>
          <w:rFonts w:ascii="Franklin Gothic Book" w:hAnsi="Franklin Gothic Book"/>
          <w:sz w:val="22"/>
          <w:szCs w:val="22"/>
        </w:rPr>
        <w:t xml:space="preserve">Diesel consumption of commuter rail systems (code CR) is readily available via the Federal Transit Administration’s (FTA) National Transit Database. Data is downscaled by station locations and population because there is no </w:t>
      </w:r>
      <w:r w:rsidR="00C83513" w:rsidRPr="00C83513">
        <w:rPr>
          <w:rFonts w:ascii="Franklin Gothic Book" w:hAnsi="Franklin Gothic Book"/>
          <w:sz w:val="22"/>
          <w:szCs w:val="22"/>
        </w:rPr>
        <w:t xml:space="preserve">public </w:t>
      </w:r>
      <w:r w:rsidRPr="00C83513">
        <w:rPr>
          <w:rFonts w:ascii="Franklin Gothic Book" w:hAnsi="Franklin Gothic Book"/>
          <w:sz w:val="22"/>
          <w:szCs w:val="22"/>
        </w:rPr>
        <w:t xml:space="preserve">readily available, consistent data for both MTA and VRE commuter rail passenger travel activity.   </w:t>
      </w:r>
    </w:p>
    <w:p w14:paraId="2FC5CE8C" w14:textId="77777777" w:rsidR="00D2095D" w:rsidRPr="00C83513" w:rsidRDefault="00D2095D" w:rsidP="00960B64">
      <w:pPr>
        <w:spacing w:line="260" w:lineRule="exact"/>
        <w:contextualSpacing/>
        <w:rPr>
          <w:rFonts w:ascii="Franklin Gothic Book" w:hAnsi="Franklin Gothic Book"/>
          <w:i/>
          <w:sz w:val="22"/>
          <w:szCs w:val="22"/>
        </w:rPr>
      </w:pPr>
    </w:p>
    <w:p w14:paraId="529190D9" w14:textId="77777777" w:rsidR="00D2095D" w:rsidRPr="00C83513" w:rsidRDefault="00D2095D" w:rsidP="00960B64">
      <w:pPr>
        <w:spacing w:line="260" w:lineRule="exact"/>
        <w:contextualSpacing/>
        <w:rPr>
          <w:rFonts w:ascii="Franklin Gothic Book" w:hAnsi="Franklin Gothic Book"/>
          <w:sz w:val="22"/>
          <w:szCs w:val="22"/>
        </w:rPr>
      </w:pPr>
      <w:r w:rsidRPr="00C83513">
        <w:rPr>
          <w:rFonts w:ascii="Franklin Gothic Book" w:hAnsi="Franklin Gothic Book"/>
          <w:sz w:val="22"/>
          <w:szCs w:val="22"/>
        </w:rPr>
        <w:t xml:space="preserve">Data Needs: </w:t>
      </w:r>
    </w:p>
    <w:p w14:paraId="356EB351" w14:textId="45BA95D0" w:rsidR="00D2095D" w:rsidRPr="00C83513" w:rsidRDefault="00D2095D" w:rsidP="00960B64">
      <w:pPr>
        <w:pStyle w:val="BodyText-COG"/>
        <w:numPr>
          <w:ilvl w:val="0"/>
          <w:numId w:val="28"/>
        </w:numPr>
        <w:contextualSpacing/>
      </w:pPr>
      <w:r w:rsidRPr="00C83513">
        <w:t xml:space="preserve">Population: Population data for all COG jurisdictions and regions, as well as U.S. totals, are collected from the </w:t>
      </w:r>
      <w:r w:rsidR="00FA5C2C">
        <w:t>ACS</w:t>
      </w:r>
      <w:r w:rsidRPr="00C83513">
        <w:t>.</w:t>
      </w:r>
    </w:p>
    <w:p w14:paraId="72E20623" w14:textId="1F096765" w:rsidR="00D2095D" w:rsidRPr="00C83513" w:rsidRDefault="00D2095D" w:rsidP="00960B64">
      <w:pPr>
        <w:numPr>
          <w:ilvl w:val="0"/>
          <w:numId w:val="28"/>
        </w:numPr>
        <w:spacing w:line="260" w:lineRule="exact"/>
        <w:contextualSpacing/>
        <w:rPr>
          <w:rFonts w:ascii="Franklin Gothic Book" w:hAnsi="Franklin Gothic Book"/>
          <w:sz w:val="22"/>
          <w:szCs w:val="22"/>
        </w:rPr>
      </w:pPr>
      <w:r w:rsidRPr="00C83513">
        <w:rPr>
          <w:rFonts w:ascii="Franklin Gothic Book" w:hAnsi="Franklin Gothic Book"/>
          <w:sz w:val="22"/>
          <w:szCs w:val="22"/>
        </w:rPr>
        <w:t xml:space="preserve">Diesel Consumption: Annual diesel consumption in gallons for the MTA and VRE as reported to the FTA National Transit Database. </w:t>
      </w:r>
    </w:p>
    <w:p w14:paraId="46D05061" w14:textId="77777777" w:rsidR="00D2095D" w:rsidRPr="00C83513" w:rsidRDefault="00D2095D" w:rsidP="00960B64">
      <w:pPr>
        <w:spacing w:line="260" w:lineRule="exact"/>
        <w:ind w:left="719"/>
        <w:contextualSpacing/>
        <w:rPr>
          <w:rFonts w:ascii="Franklin Gothic Book" w:hAnsi="Franklin Gothic Book"/>
          <w:sz w:val="22"/>
          <w:szCs w:val="22"/>
        </w:rPr>
      </w:pPr>
    </w:p>
    <w:p w14:paraId="7C88031B" w14:textId="77777777" w:rsidR="00D2095D" w:rsidRPr="00CE59F9" w:rsidRDefault="00D2095D" w:rsidP="00960B64">
      <w:pPr>
        <w:pStyle w:val="Level3Head-COG"/>
        <w:spacing w:before="0"/>
        <w:contextualSpacing/>
      </w:pPr>
      <w:bookmarkStart w:id="428" w:name="_Toc535399925"/>
      <w:bookmarkStart w:id="429" w:name="_Toc50968789"/>
      <w:bookmarkStart w:id="430" w:name="_Toc51077778"/>
      <w:r w:rsidRPr="00CE59F9">
        <w:t>Emissions from off road vehicles</w:t>
      </w:r>
      <w:bookmarkEnd w:id="428"/>
      <w:bookmarkEnd w:id="429"/>
      <w:bookmarkEnd w:id="430"/>
      <w:r w:rsidRPr="00CE59F9">
        <w:t xml:space="preserve"> </w:t>
      </w:r>
    </w:p>
    <w:p w14:paraId="6760EC51" w14:textId="77777777" w:rsidR="00D2095D" w:rsidRPr="00CE59F9" w:rsidRDefault="00D2095D" w:rsidP="00960B64">
      <w:pPr>
        <w:pStyle w:val="Level4Head-COG"/>
        <w:contextualSpacing/>
        <w:rPr>
          <w:u w:val="single"/>
        </w:rPr>
      </w:pPr>
    </w:p>
    <w:p w14:paraId="0C56C3FC" w14:textId="77777777" w:rsidR="00D2095D" w:rsidRPr="00CE59F9" w:rsidRDefault="00D2095D" w:rsidP="00960B64">
      <w:pPr>
        <w:pStyle w:val="Level4Head-COG"/>
        <w:contextualSpacing/>
      </w:pPr>
      <w:r w:rsidRPr="00CE59F9">
        <w:t xml:space="preserve">Off Road Mobile Emissions  </w:t>
      </w:r>
    </w:p>
    <w:p w14:paraId="77A944E1" w14:textId="77777777" w:rsidR="00D2095D" w:rsidRPr="00CE59F9" w:rsidRDefault="00D2095D" w:rsidP="00960B64">
      <w:pPr>
        <w:pStyle w:val="Level5Head-COG"/>
        <w:spacing w:line="260" w:lineRule="exact"/>
        <w:contextualSpacing/>
      </w:pPr>
      <w:r w:rsidRPr="00CE59F9">
        <w:t>Description</w:t>
      </w:r>
    </w:p>
    <w:p w14:paraId="33C45DA1" w14:textId="409B20D4" w:rsidR="00D2095D" w:rsidRPr="00CE59F9" w:rsidRDefault="00D2095D" w:rsidP="00960B64">
      <w:pPr>
        <w:spacing w:line="260" w:lineRule="exact"/>
        <w:contextualSpacing/>
        <w:rPr>
          <w:rFonts w:ascii="Franklin Gothic Book" w:hAnsi="Franklin Gothic Book" w:cs="Times New Roman"/>
          <w:sz w:val="22"/>
          <w:szCs w:val="22"/>
        </w:rPr>
      </w:pPr>
      <w:r w:rsidRPr="00CE59F9">
        <w:rPr>
          <w:rFonts w:ascii="Franklin Gothic Book" w:hAnsi="Franklin Gothic Book"/>
          <w:sz w:val="22"/>
          <w:szCs w:val="22"/>
        </w:rPr>
        <w:t xml:space="preserve">Off Road Mobile Emissions account for nonroad equipment using </w:t>
      </w:r>
      <w:r w:rsidRPr="00CE59F9">
        <w:rPr>
          <w:rFonts w:ascii="Franklin Gothic Book" w:hAnsi="Franklin Gothic Book" w:cs="Times New Roman"/>
          <w:color w:val="211D1E"/>
          <w:sz w:val="22"/>
          <w:szCs w:val="22"/>
        </w:rPr>
        <w:t xml:space="preserve">gasoline, diesel, compressed natural gas and liquified petroleum gas. </w:t>
      </w:r>
      <w:r w:rsidRPr="00CE59F9">
        <w:rPr>
          <w:rFonts w:ascii="Franklin Gothic Book" w:hAnsi="Franklin Gothic Book" w:cs="Times New Roman"/>
          <w:sz w:val="22"/>
          <w:szCs w:val="22"/>
        </w:rPr>
        <w:t>Nonroad mobile sources are broken up into the following categories:</w:t>
      </w:r>
    </w:p>
    <w:p w14:paraId="1A4737AA" w14:textId="77777777" w:rsidR="00CE59F9" w:rsidRPr="00CE59F9" w:rsidRDefault="00CE59F9" w:rsidP="00960B64">
      <w:pPr>
        <w:spacing w:line="260" w:lineRule="exact"/>
        <w:contextualSpacing/>
        <w:rPr>
          <w:rFonts w:ascii="Franklin Gothic Book" w:hAnsi="Franklin Gothic Book" w:cs="Times New Roman"/>
          <w:color w:val="auto"/>
          <w:sz w:val="22"/>
          <w:szCs w:val="22"/>
        </w:rPr>
      </w:pPr>
    </w:p>
    <w:p w14:paraId="0F48C6ED"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cs="Times New Roman"/>
        </w:rPr>
      </w:pPr>
      <w:r w:rsidRPr="00CE59F9">
        <w:rPr>
          <w:rFonts w:ascii="Franklin Gothic Book" w:hAnsi="Franklin Gothic Book"/>
        </w:rPr>
        <w:t>Lawn and garden</w:t>
      </w:r>
      <w:r w:rsidRPr="00CE59F9">
        <w:rPr>
          <w:rFonts w:ascii="Franklin Gothic Book" w:hAnsi="Franklin Gothic Book"/>
          <w:spacing w:val="4"/>
        </w:rPr>
        <w:t xml:space="preserve"> </w:t>
      </w:r>
      <w:r w:rsidRPr="00CE59F9">
        <w:rPr>
          <w:rFonts w:ascii="Franklin Gothic Book" w:hAnsi="Franklin Gothic Book"/>
        </w:rPr>
        <w:t>equipment</w:t>
      </w:r>
    </w:p>
    <w:p w14:paraId="760438FA"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lastRenderedPageBreak/>
        <w:t>Airport service</w:t>
      </w:r>
      <w:r w:rsidRPr="00CE59F9">
        <w:rPr>
          <w:rFonts w:ascii="Franklin Gothic Book" w:hAnsi="Franklin Gothic Book"/>
          <w:spacing w:val="-1"/>
        </w:rPr>
        <w:t xml:space="preserve"> and ground </w:t>
      </w:r>
      <w:r w:rsidRPr="00CE59F9">
        <w:rPr>
          <w:rFonts w:ascii="Franklin Gothic Book" w:hAnsi="Franklin Gothic Book"/>
        </w:rPr>
        <w:t>equipment</w:t>
      </w:r>
    </w:p>
    <w:p w14:paraId="1B0AC895"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t>Logging</w:t>
      </w:r>
      <w:r w:rsidRPr="00CE59F9">
        <w:rPr>
          <w:rFonts w:ascii="Franklin Gothic Book" w:hAnsi="Franklin Gothic Book"/>
          <w:spacing w:val="-3"/>
        </w:rPr>
        <w:t xml:space="preserve"> </w:t>
      </w:r>
      <w:r w:rsidRPr="00CE59F9">
        <w:rPr>
          <w:rFonts w:ascii="Franklin Gothic Book" w:hAnsi="Franklin Gothic Book"/>
        </w:rPr>
        <w:t>equipment</w:t>
      </w:r>
    </w:p>
    <w:p w14:paraId="07BDB60D"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t>Recreational marine</w:t>
      </w:r>
      <w:r w:rsidRPr="00CE59F9">
        <w:rPr>
          <w:rFonts w:ascii="Franklin Gothic Book" w:hAnsi="Franklin Gothic Book"/>
          <w:spacing w:val="-1"/>
        </w:rPr>
        <w:t xml:space="preserve"> </w:t>
      </w:r>
      <w:r w:rsidRPr="00CE59F9">
        <w:rPr>
          <w:rFonts w:ascii="Franklin Gothic Book" w:hAnsi="Franklin Gothic Book"/>
        </w:rPr>
        <w:t>equipment</w:t>
      </w:r>
    </w:p>
    <w:p w14:paraId="13FDD3DD"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t>Light commercial equipment</w:t>
      </w:r>
    </w:p>
    <w:p w14:paraId="0BB56F2C"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t>Industrial</w:t>
      </w:r>
      <w:r w:rsidRPr="00CE59F9">
        <w:rPr>
          <w:rFonts w:ascii="Franklin Gothic Book" w:hAnsi="Franklin Gothic Book"/>
          <w:spacing w:val="2"/>
        </w:rPr>
        <w:t xml:space="preserve"> </w:t>
      </w:r>
      <w:r w:rsidRPr="00CE59F9">
        <w:rPr>
          <w:rFonts w:ascii="Franklin Gothic Book" w:hAnsi="Franklin Gothic Book"/>
        </w:rPr>
        <w:t>equipment</w:t>
      </w:r>
    </w:p>
    <w:p w14:paraId="4A76B311" w14:textId="78F09543"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t>Construction equipment</w:t>
      </w:r>
    </w:p>
    <w:p w14:paraId="46C062F9"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t>Agricultural or farm</w:t>
      </w:r>
      <w:r w:rsidRPr="00CE59F9">
        <w:rPr>
          <w:rFonts w:ascii="Franklin Gothic Book" w:hAnsi="Franklin Gothic Book"/>
          <w:spacing w:val="-1"/>
        </w:rPr>
        <w:t xml:space="preserve"> </w:t>
      </w:r>
      <w:r w:rsidRPr="00CE59F9">
        <w:rPr>
          <w:rFonts w:ascii="Franklin Gothic Book" w:hAnsi="Franklin Gothic Book"/>
        </w:rPr>
        <w:t>equipment</w:t>
      </w:r>
    </w:p>
    <w:p w14:paraId="5DA1D574"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t>Recreational land vehicles or</w:t>
      </w:r>
      <w:r w:rsidRPr="00CE59F9">
        <w:rPr>
          <w:rFonts w:ascii="Franklin Gothic Book" w:hAnsi="Franklin Gothic Book"/>
          <w:spacing w:val="-1"/>
        </w:rPr>
        <w:t xml:space="preserve"> </w:t>
      </w:r>
      <w:r w:rsidRPr="00CE59F9">
        <w:rPr>
          <w:rFonts w:ascii="Franklin Gothic Book" w:hAnsi="Franklin Gothic Book"/>
        </w:rPr>
        <w:t>equipment</w:t>
      </w:r>
    </w:p>
    <w:p w14:paraId="2486ABAB" w14:textId="77777777" w:rsidR="00D2095D" w:rsidRPr="00CE59F9" w:rsidRDefault="00D2095D" w:rsidP="00CE59F9">
      <w:pPr>
        <w:pStyle w:val="ListParagraph"/>
        <w:numPr>
          <w:ilvl w:val="0"/>
          <w:numId w:val="34"/>
        </w:numPr>
        <w:overflowPunct w:val="0"/>
        <w:autoSpaceDE w:val="0"/>
        <w:autoSpaceDN w:val="0"/>
        <w:spacing w:after="0" w:line="260" w:lineRule="exact"/>
        <w:ind w:left="720"/>
        <w:rPr>
          <w:rFonts w:ascii="Franklin Gothic Book" w:hAnsi="Franklin Gothic Book"/>
        </w:rPr>
      </w:pPr>
      <w:r w:rsidRPr="00CE59F9">
        <w:rPr>
          <w:rFonts w:ascii="Franklin Gothic Book" w:hAnsi="Franklin Gothic Book"/>
        </w:rPr>
        <w:t>Railroad maintenance equipment</w:t>
      </w:r>
    </w:p>
    <w:p w14:paraId="64C0CC3E" w14:textId="77777777" w:rsidR="00D2095D" w:rsidRPr="00CE59F9" w:rsidRDefault="00D2095D" w:rsidP="00960B64">
      <w:pPr>
        <w:pStyle w:val="BodyText-COG"/>
        <w:contextualSpacing/>
        <w:rPr>
          <w:sz w:val="32"/>
          <w:szCs w:val="22"/>
          <w:highlight w:val="yellow"/>
          <w:lang w:val="en"/>
        </w:rPr>
      </w:pPr>
    </w:p>
    <w:p w14:paraId="536858F0" w14:textId="77777777" w:rsidR="00D2095D" w:rsidRPr="00EF6A89" w:rsidRDefault="00D2095D" w:rsidP="00960B64">
      <w:pPr>
        <w:pStyle w:val="Level5Head-COG"/>
        <w:spacing w:line="260" w:lineRule="exact"/>
        <w:contextualSpacing/>
      </w:pPr>
      <w:r w:rsidRPr="00EF6A89">
        <w:t xml:space="preserve">methodology </w:t>
      </w:r>
    </w:p>
    <w:p w14:paraId="0BECE7ED" w14:textId="18F8D817" w:rsidR="00D2095D" w:rsidRPr="009A3DB2" w:rsidRDefault="00D2095D" w:rsidP="00960B64">
      <w:pPr>
        <w:pStyle w:val="BodyText-COG"/>
        <w:contextualSpacing/>
        <w:rPr>
          <w:szCs w:val="22"/>
          <w:lang w:val="en"/>
        </w:rPr>
      </w:pPr>
      <w:r w:rsidRPr="009A3DB2">
        <w:rPr>
          <w:szCs w:val="22"/>
          <w:lang w:val="en"/>
        </w:rPr>
        <w:t xml:space="preserve">The </w:t>
      </w:r>
      <w:proofErr w:type="gramStart"/>
      <w:r w:rsidRPr="009A3DB2">
        <w:rPr>
          <w:szCs w:val="22"/>
          <w:lang w:val="en"/>
        </w:rPr>
        <w:t>Off Road</w:t>
      </w:r>
      <w:proofErr w:type="gramEnd"/>
      <w:r w:rsidRPr="009A3DB2">
        <w:rPr>
          <w:szCs w:val="22"/>
          <w:lang w:val="en"/>
        </w:rPr>
        <w:t xml:space="preserve"> Transportation emission calculations generally follow the </w:t>
      </w:r>
      <w:r w:rsidR="008304B4">
        <w:rPr>
          <w:szCs w:val="22"/>
          <w:lang w:val="en"/>
        </w:rPr>
        <w:t>USCP</w:t>
      </w:r>
      <w:r w:rsidRPr="009A3DB2">
        <w:rPr>
          <w:szCs w:val="22"/>
          <w:lang w:val="en"/>
        </w:rPr>
        <w:t xml:space="preserve"> recommended methodology as outlined in Appendix D, TR.1.8 from Version 1.1 of the Protocol.</w:t>
      </w:r>
      <w:r w:rsidR="009A3DB2" w:rsidRPr="009A3DB2">
        <w:rPr>
          <w:szCs w:val="22"/>
          <w:lang w:val="en"/>
        </w:rPr>
        <w:t xml:space="preserve"> </w:t>
      </w:r>
      <w:r w:rsidRPr="009A3DB2">
        <w:rPr>
          <w:szCs w:val="22"/>
          <w:lang w:val="en"/>
        </w:rPr>
        <w:t>EPA’s Motor Vehicle Emissions Simulator</w:t>
      </w:r>
      <w:r w:rsidR="00EF6A89" w:rsidRPr="009A3DB2">
        <w:rPr>
          <w:szCs w:val="22"/>
          <w:lang w:val="en"/>
        </w:rPr>
        <w:t xml:space="preserve">, version </w:t>
      </w:r>
      <w:r w:rsidRPr="009A3DB2">
        <w:rPr>
          <w:szCs w:val="22"/>
          <w:lang w:val="en"/>
        </w:rPr>
        <w:t>MOVES2014</w:t>
      </w:r>
      <w:r w:rsidR="00EF6A89" w:rsidRPr="009A3DB2">
        <w:rPr>
          <w:szCs w:val="22"/>
          <w:lang w:val="en"/>
        </w:rPr>
        <w:t>b</w:t>
      </w:r>
      <w:r w:rsidRPr="009A3DB2">
        <w:rPr>
          <w:szCs w:val="22"/>
          <w:lang w:val="en"/>
        </w:rPr>
        <w:t>,</w:t>
      </w:r>
      <w:r w:rsidR="00EF6A89" w:rsidRPr="009A3DB2">
        <w:rPr>
          <w:szCs w:val="22"/>
          <w:lang w:val="en"/>
        </w:rPr>
        <w:t xml:space="preserve"> </w:t>
      </w:r>
      <w:r w:rsidRPr="009A3DB2">
        <w:rPr>
          <w:rFonts w:cs="Times New Roman"/>
          <w:color w:val="211D1E"/>
          <w:szCs w:val="22"/>
        </w:rPr>
        <w:t xml:space="preserve">calculates past, present, and future emission inventories (i.e., tons of pollutant) for nonroad equipment. </w:t>
      </w:r>
      <w:r w:rsidRPr="009A3DB2">
        <w:rPr>
          <w:szCs w:val="22"/>
          <w:lang w:val="en"/>
        </w:rPr>
        <w:t xml:space="preserve">Off Road emissions data for </w:t>
      </w:r>
      <w:r w:rsidRPr="009A3DB2">
        <w:rPr>
          <w:szCs w:val="22"/>
        </w:rPr>
        <w:t>Atmospheric Carbon Dioxide (CO</w:t>
      </w:r>
      <w:r w:rsidRPr="009A3DB2">
        <w:rPr>
          <w:szCs w:val="22"/>
          <w:vertAlign w:val="subscript"/>
        </w:rPr>
        <w:t>2</w:t>
      </w:r>
      <w:r w:rsidRPr="009A3DB2">
        <w:rPr>
          <w:szCs w:val="22"/>
        </w:rPr>
        <w:t>) and Methane (CH</w:t>
      </w:r>
      <w:r w:rsidRPr="009A3DB2">
        <w:rPr>
          <w:szCs w:val="22"/>
          <w:vertAlign w:val="subscript"/>
        </w:rPr>
        <w:t>4</w:t>
      </w:r>
      <w:r w:rsidRPr="009A3DB2">
        <w:rPr>
          <w:szCs w:val="22"/>
        </w:rPr>
        <w:t xml:space="preserve">) are pulled from the model for the inventory year. </w:t>
      </w:r>
    </w:p>
    <w:p w14:paraId="1A8A36A8" w14:textId="77777777" w:rsidR="00D2095D" w:rsidRPr="009A3DB2" w:rsidRDefault="00D2095D" w:rsidP="00960B64">
      <w:pPr>
        <w:pStyle w:val="BodyText-COG"/>
        <w:contextualSpacing/>
        <w:rPr>
          <w:szCs w:val="22"/>
        </w:rPr>
      </w:pPr>
    </w:p>
    <w:p w14:paraId="435F906A" w14:textId="78FC7D84" w:rsidR="00D2095D" w:rsidRPr="009A3DB2" w:rsidRDefault="00D2095D" w:rsidP="00960B64">
      <w:pPr>
        <w:spacing w:line="260" w:lineRule="exact"/>
        <w:contextualSpacing/>
        <w:rPr>
          <w:rFonts w:ascii="Franklin Gothic Book" w:hAnsi="Franklin Gothic Book" w:cs="Goudy Oldstyle Std"/>
          <w:color w:val="211D1E"/>
          <w:sz w:val="22"/>
          <w:szCs w:val="22"/>
        </w:rPr>
      </w:pPr>
      <w:bookmarkStart w:id="431" w:name="bookmark2"/>
      <w:bookmarkStart w:id="432" w:name="bookmark0"/>
      <w:bookmarkStart w:id="433" w:name="5.1_Introduction_NONROAD_VEHICLES/ENGINE"/>
      <w:bookmarkStart w:id="434" w:name="bookmark1"/>
      <w:bookmarkEnd w:id="431"/>
      <w:bookmarkEnd w:id="432"/>
      <w:bookmarkEnd w:id="433"/>
      <w:bookmarkEnd w:id="434"/>
      <w:r w:rsidRPr="009A3DB2">
        <w:rPr>
          <w:rFonts w:ascii="Franklin Gothic Book" w:hAnsi="Franklin Gothic Book" w:cs="Goudy Oldstyle Std"/>
          <w:color w:val="211D1E"/>
          <w:sz w:val="22"/>
          <w:szCs w:val="22"/>
        </w:rPr>
        <w:t xml:space="preserve">Off Road categories excluded from the MOVES2014a/NONROAD2008 model include large commercial marine, passenger and freight locomotives, and aircraft. Metropolitan Washington does not have a large marine port, so excluding large commercial marine vessels is not a concern for the purposes of COG’s GHG inventory work. Emissions from locomotives and aircraft are however included in separate calculations. </w:t>
      </w:r>
    </w:p>
    <w:p w14:paraId="443413FD" w14:textId="77777777" w:rsidR="00D2095D" w:rsidRPr="009A3DB2" w:rsidRDefault="00D2095D" w:rsidP="00960B64">
      <w:pPr>
        <w:spacing w:line="260" w:lineRule="exact"/>
        <w:contextualSpacing/>
        <w:rPr>
          <w:rFonts w:ascii="Franklin Gothic Book" w:eastAsia="Times New Roman" w:hAnsi="Franklin Gothic Book" w:cs="Calibri"/>
          <w:color w:val="000000"/>
          <w:sz w:val="22"/>
          <w:szCs w:val="22"/>
          <w:vertAlign w:val="superscript"/>
        </w:rPr>
      </w:pPr>
    </w:p>
    <w:p w14:paraId="1CEFB6D1" w14:textId="77777777" w:rsidR="00D2095D" w:rsidRPr="0058514B" w:rsidRDefault="00D2095D" w:rsidP="00960B64">
      <w:pPr>
        <w:pStyle w:val="Level5Head-COG"/>
        <w:spacing w:line="260" w:lineRule="exact"/>
        <w:contextualSpacing/>
      </w:pPr>
      <w:r w:rsidRPr="0058514B">
        <w:t>Data Collection</w:t>
      </w:r>
    </w:p>
    <w:p w14:paraId="3345249A" w14:textId="3A75EEA0" w:rsidR="00D2095D" w:rsidRPr="0058514B" w:rsidRDefault="00D2095D" w:rsidP="00960B64">
      <w:pPr>
        <w:spacing w:line="260" w:lineRule="exact"/>
        <w:contextualSpacing/>
        <w:rPr>
          <w:rFonts w:ascii="Franklin Gothic Book" w:hAnsi="Franklin Gothic Book"/>
          <w:sz w:val="20"/>
          <w:szCs w:val="19"/>
        </w:rPr>
      </w:pPr>
      <w:r w:rsidRPr="0058514B">
        <w:rPr>
          <w:rFonts w:ascii="Franklin Gothic Book" w:eastAsia="Times New Roman" w:hAnsi="Franklin Gothic Book" w:cs="Calibri"/>
          <w:color w:val="000000"/>
          <w:sz w:val="22"/>
          <w:szCs w:val="22"/>
        </w:rPr>
        <w:t>The MOVES 2014</w:t>
      </w:r>
      <w:r w:rsidR="0058514B" w:rsidRPr="0058514B">
        <w:rPr>
          <w:rFonts w:ascii="Franklin Gothic Book" w:eastAsia="Times New Roman" w:hAnsi="Franklin Gothic Book" w:cs="Calibri"/>
          <w:color w:val="000000"/>
          <w:sz w:val="22"/>
          <w:szCs w:val="22"/>
        </w:rPr>
        <w:t>b</w:t>
      </w:r>
      <w:r w:rsidRPr="0058514B">
        <w:rPr>
          <w:rFonts w:ascii="Franklin Gothic Book" w:eastAsia="Times New Roman" w:hAnsi="Franklin Gothic Book" w:cs="Calibri"/>
          <w:color w:val="000000"/>
          <w:sz w:val="22"/>
          <w:szCs w:val="22"/>
        </w:rPr>
        <w:t xml:space="preserve"> model data outputs are available for the District of Columbia, Maryland counties, and Virginia counties and independent cities. </w:t>
      </w:r>
    </w:p>
    <w:p w14:paraId="7E99F604" w14:textId="77777777" w:rsidR="00D2095D" w:rsidRPr="0058514B" w:rsidRDefault="00D2095D" w:rsidP="00960B64">
      <w:pPr>
        <w:spacing w:line="260" w:lineRule="exact"/>
        <w:ind w:left="2160"/>
        <w:contextualSpacing/>
        <w:rPr>
          <w:rFonts w:ascii="Franklin Gothic Book" w:hAnsi="Franklin Gothic Book"/>
          <w:sz w:val="20"/>
          <w:szCs w:val="19"/>
        </w:rPr>
      </w:pPr>
    </w:p>
    <w:p w14:paraId="738001FE" w14:textId="77777777" w:rsidR="00D2095D" w:rsidRPr="0058514B" w:rsidRDefault="00D2095D" w:rsidP="00960B64">
      <w:pPr>
        <w:spacing w:line="260" w:lineRule="exact"/>
        <w:contextualSpacing/>
        <w:rPr>
          <w:rFonts w:ascii="Franklin Gothic Book" w:hAnsi="Franklin Gothic Book"/>
          <w:sz w:val="18"/>
          <w:szCs w:val="19"/>
        </w:rPr>
      </w:pPr>
      <w:r w:rsidRPr="0058514B">
        <w:rPr>
          <w:rFonts w:ascii="Franklin Gothic Book" w:hAnsi="Franklin Gothic Book"/>
          <w:sz w:val="22"/>
          <w:szCs w:val="19"/>
        </w:rPr>
        <w:t xml:space="preserve">Data Needs: </w:t>
      </w:r>
    </w:p>
    <w:p w14:paraId="10D967EF" w14:textId="4013B4CA" w:rsidR="00D2095D" w:rsidRPr="0058514B" w:rsidRDefault="00D2095D" w:rsidP="00960B64">
      <w:pPr>
        <w:pStyle w:val="BodyText-COG"/>
        <w:numPr>
          <w:ilvl w:val="0"/>
          <w:numId w:val="35"/>
        </w:numPr>
        <w:contextualSpacing/>
      </w:pPr>
      <w:r w:rsidRPr="0058514B">
        <w:t xml:space="preserve">Population: Population data for all COG jurisdictions and </w:t>
      </w:r>
      <w:r w:rsidR="00FA5C2C">
        <w:t xml:space="preserve">the </w:t>
      </w:r>
      <w:r w:rsidRPr="0058514B">
        <w:t>regions</w:t>
      </w:r>
      <w:r w:rsidR="00FA5C2C">
        <w:t xml:space="preserve"> </w:t>
      </w:r>
      <w:r w:rsidRPr="0058514B">
        <w:t xml:space="preserve">are collected from COG Cooperative Forecasts and the </w:t>
      </w:r>
      <w:r w:rsidR="00FA5C2C">
        <w:t>ACS</w:t>
      </w:r>
      <w:r w:rsidRPr="0058514B">
        <w:t>.</w:t>
      </w:r>
    </w:p>
    <w:p w14:paraId="7F74FCA2" w14:textId="233D6455" w:rsidR="00D2095D" w:rsidRPr="0058514B" w:rsidRDefault="00D2095D" w:rsidP="00960B64">
      <w:pPr>
        <w:numPr>
          <w:ilvl w:val="0"/>
          <w:numId w:val="35"/>
        </w:numPr>
        <w:spacing w:line="260" w:lineRule="exact"/>
        <w:contextualSpacing/>
        <w:rPr>
          <w:rFonts w:ascii="Franklin Gothic Book" w:hAnsi="Franklin Gothic Book"/>
          <w:sz w:val="22"/>
          <w:szCs w:val="22"/>
        </w:rPr>
      </w:pPr>
      <w:r w:rsidRPr="0058514B">
        <w:rPr>
          <w:rFonts w:ascii="Franklin Gothic Book" w:hAnsi="Franklin Gothic Book"/>
          <w:sz w:val="22"/>
          <w:szCs w:val="22"/>
        </w:rPr>
        <w:t>Emissions: Emissions in short tons of Atmospheric Carbon Dioxide (CO</w:t>
      </w:r>
      <w:r w:rsidRPr="0058514B">
        <w:rPr>
          <w:rFonts w:ascii="Franklin Gothic Book" w:hAnsi="Franklin Gothic Book"/>
          <w:sz w:val="22"/>
          <w:szCs w:val="22"/>
          <w:vertAlign w:val="subscript"/>
        </w:rPr>
        <w:t>2</w:t>
      </w:r>
      <w:r w:rsidRPr="0058514B">
        <w:rPr>
          <w:rFonts w:ascii="Franklin Gothic Book" w:hAnsi="Franklin Gothic Book"/>
          <w:sz w:val="22"/>
          <w:szCs w:val="22"/>
        </w:rPr>
        <w:t>) and Methane (CH</w:t>
      </w:r>
      <w:r w:rsidRPr="0058514B">
        <w:rPr>
          <w:rFonts w:ascii="Franklin Gothic Book" w:hAnsi="Franklin Gothic Book"/>
          <w:sz w:val="22"/>
          <w:szCs w:val="22"/>
          <w:vertAlign w:val="subscript"/>
        </w:rPr>
        <w:t>4</w:t>
      </w:r>
      <w:r w:rsidRPr="0058514B">
        <w:rPr>
          <w:rFonts w:ascii="Franklin Gothic Book" w:hAnsi="Franklin Gothic Book"/>
          <w:sz w:val="22"/>
          <w:szCs w:val="22"/>
        </w:rPr>
        <w:t>) from the EPA MOVES 2014</w:t>
      </w:r>
      <w:r w:rsidR="0058514B" w:rsidRPr="0058514B">
        <w:rPr>
          <w:rFonts w:ascii="Franklin Gothic Book" w:hAnsi="Franklin Gothic Book"/>
          <w:sz w:val="22"/>
          <w:szCs w:val="22"/>
        </w:rPr>
        <w:t>b</w:t>
      </w:r>
      <w:r w:rsidRPr="0058514B">
        <w:rPr>
          <w:rFonts w:ascii="Franklin Gothic Book" w:hAnsi="Franklin Gothic Book"/>
          <w:sz w:val="22"/>
          <w:szCs w:val="22"/>
        </w:rPr>
        <w:t xml:space="preserve"> is obtained from COG Department of Environment’s Air Quality Program.  </w:t>
      </w:r>
    </w:p>
    <w:p w14:paraId="460CD7A0" w14:textId="1AD9343D" w:rsidR="00D2095D" w:rsidRDefault="00D2095D" w:rsidP="00960B64">
      <w:pPr>
        <w:spacing w:line="260" w:lineRule="exact"/>
        <w:ind w:left="1440"/>
        <w:contextualSpacing/>
        <w:rPr>
          <w:rFonts w:ascii="Franklin Gothic Book" w:hAnsi="Franklin Gothic Book"/>
          <w:szCs w:val="19"/>
          <w:highlight w:val="yellow"/>
        </w:rPr>
      </w:pPr>
    </w:p>
    <w:p w14:paraId="19B5C514" w14:textId="77777777" w:rsidR="00DC58DF" w:rsidRPr="001C3EFC" w:rsidRDefault="00DC58DF" w:rsidP="00960B64">
      <w:pPr>
        <w:spacing w:line="260" w:lineRule="exact"/>
        <w:ind w:left="1440"/>
        <w:contextualSpacing/>
        <w:rPr>
          <w:rFonts w:ascii="Franklin Gothic Book" w:hAnsi="Franklin Gothic Book"/>
          <w:szCs w:val="19"/>
          <w:highlight w:val="yellow"/>
        </w:rPr>
      </w:pPr>
    </w:p>
    <w:p w14:paraId="19A29EF5" w14:textId="77777777" w:rsidR="001C3EFC" w:rsidRPr="00DC58DF" w:rsidRDefault="001C3EFC" w:rsidP="00DC58DF">
      <w:pPr>
        <w:pStyle w:val="Level1Head-COG"/>
        <w:spacing w:before="0" w:after="0" w:line="240" w:lineRule="auto"/>
        <w:contextualSpacing/>
        <w:rPr>
          <w:rFonts w:ascii="Franklin Gothic Medium" w:hAnsi="Franklin Gothic Medium"/>
          <w:color w:val="auto"/>
        </w:rPr>
      </w:pPr>
      <w:bookmarkStart w:id="435" w:name="_Toc535399926"/>
      <w:bookmarkStart w:id="436" w:name="_Toc50968790"/>
      <w:bookmarkStart w:id="437" w:name="_Toc51077779"/>
      <w:r w:rsidRPr="00DC58DF">
        <w:rPr>
          <w:rFonts w:ascii="Franklin Gothic Medium" w:hAnsi="Franklin Gothic Medium"/>
          <w:color w:val="auto"/>
        </w:rPr>
        <w:t>wastewater treatment</w:t>
      </w:r>
      <w:bookmarkEnd w:id="435"/>
      <w:bookmarkEnd w:id="436"/>
      <w:bookmarkEnd w:id="437"/>
      <w:r w:rsidRPr="00DC58DF">
        <w:rPr>
          <w:rFonts w:ascii="Franklin Gothic Medium" w:hAnsi="Franklin Gothic Medium"/>
          <w:color w:val="auto"/>
        </w:rPr>
        <w:t xml:space="preserve"> </w:t>
      </w:r>
    </w:p>
    <w:p w14:paraId="0EB8EFBA" w14:textId="77777777" w:rsidR="001C3EFC" w:rsidRPr="00DC58DF" w:rsidRDefault="001C3EFC" w:rsidP="00960B64">
      <w:pPr>
        <w:pStyle w:val="BodyText-COG"/>
        <w:contextualSpacing/>
      </w:pPr>
    </w:p>
    <w:p w14:paraId="7B590A8E" w14:textId="77777777" w:rsidR="001C3EFC" w:rsidRPr="00DC58DF" w:rsidRDefault="001C3EFC" w:rsidP="00960B64">
      <w:pPr>
        <w:pStyle w:val="Level3Head-COG"/>
        <w:spacing w:before="0"/>
        <w:contextualSpacing/>
      </w:pPr>
      <w:bookmarkStart w:id="438" w:name="_Toc535399928"/>
      <w:bookmarkStart w:id="439" w:name="_Toc50968791"/>
      <w:bookmarkStart w:id="440" w:name="_Toc51077780"/>
      <w:r w:rsidRPr="00DC58DF">
        <w:t>fugitive emissions from Septic systems</w:t>
      </w:r>
      <w:bookmarkEnd w:id="438"/>
      <w:bookmarkEnd w:id="439"/>
      <w:bookmarkEnd w:id="440"/>
      <w:r w:rsidRPr="00DC58DF">
        <w:t xml:space="preserve"> </w:t>
      </w:r>
    </w:p>
    <w:p w14:paraId="14BC46DD" w14:textId="77777777" w:rsidR="001C3EFC" w:rsidRPr="00DC58DF" w:rsidRDefault="001C3EFC" w:rsidP="00960B64">
      <w:pPr>
        <w:pStyle w:val="Level4Head-COG"/>
        <w:contextualSpacing/>
        <w:rPr>
          <w:u w:val="single"/>
        </w:rPr>
      </w:pPr>
    </w:p>
    <w:p w14:paraId="15F754AB" w14:textId="77777777" w:rsidR="001C3EFC" w:rsidRPr="00DC58DF" w:rsidRDefault="001C3EFC" w:rsidP="00960B64">
      <w:pPr>
        <w:pStyle w:val="Level4Head-COG"/>
        <w:contextualSpacing/>
      </w:pPr>
      <w:r w:rsidRPr="00DC58DF">
        <w:t xml:space="preserve">Septic System Emissions </w:t>
      </w:r>
    </w:p>
    <w:p w14:paraId="4C77E96E" w14:textId="77777777" w:rsidR="001C3EFC" w:rsidRPr="00DC58DF" w:rsidRDefault="001C3EFC" w:rsidP="00960B64">
      <w:pPr>
        <w:pStyle w:val="Level5Head-COG"/>
        <w:spacing w:line="260" w:lineRule="exact"/>
        <w:contextualSpacing/>
      </w:pPr>
      <w:r w:rsidRPr="00DC58DF">
        <w:t>Description</w:t>
      </w:r>
    </w:p>
    <w:p w14:paraId="2F42FB7A" w14:textId="67CF4F0C" w:rsidR="001C3EFC" w:rsidRPr="00DC58DF" w:rsidRDefault="001C3EFC" w:rsidP="00960B64">
      <w:pPr>
        <w:spacing w:line="260" w:lineRule="exact"/>
        <w:contextualSpacing/>
        <w:rPr>
          <w:rFonts w:ascii="Franklin Gothic Book" w:hAnsi="Franklin Gothic Book"/>
          <w:sz w:val="22"/>
          <w:szCs w:val="22"/>
        </w:rPr>
      </w:pPr>
      <w:r w:rsidRPr="00DC58DF">
        <w:rPr>
          <w:rFonts w:ascii="Franklin Gothic Book" w:hAnsi="Franklin Gothic Book"/>
          <w:sz w:val="22"/>
          <w:szCs w:val="22"/>
        </w:rPr>
        <w:t>Septic Systems Emissions account for the fugitive emissions resulting from the physical settling and biologic activity during the treatment process in septic tanks. In 2015, approximately 6.5</w:t>
      </w:r>
      <w:r w:rsidR="00186366">
        <w:rPr>
          <w:rFonts w:ascii="Franklin Gothic Book" w:hAnsi="Franklin Gothic Book"/>
          <w:sz w:val="22"/>
          <w:szCs w:val="22"/>
        </w:rPr>
        <w:t xml:space="preserve"> percent</w:t>
      </w:r>
      <w:r w:rsidRPr="00DC58DF">
        <w:rPr>
          <w:rFonts w:ascii="Franklin Gothic Book" w:hAnsi="Franklin Gothic Book"/>
          <w:sz w:val="22"/>
          <w:szCs w:val="22"/>
        </w:rPr>
        <w:t xml:space="preserve"> of the population in the region was served by septic. According to the USCP, local governments can influence community septic through local building codes, providing and promoting incentives, etc.</w:t>
      </w:r>
    </w:p>
    <w:p w14:paraId="37B63AFB" w14:textId="3279E9D9" w:rsidR="001C3EFC" w:rsidRDefault="001C3EFC" w:rsidP="00960B64">
      <w:pPr>
        <w:spacing w:line="260" w:lineRule="exact"/>
        <w:ind w:left="1440"/>
        <w:contextualSpacing/>
        <w:rPr>
          <w:rFonts w:ascii="Franklin Gothic Book" w:hAnsi="Franklin Gothic Book"/>
          <w:szCs w:val="19"/>
        </w:rPr>
      </w:pPr>
    </w:p>
    <w:p w14:paraId="0A0CEA93" w14:textId="2C8FBA7B" w:rsidR="002B3D90" w:rsidRDefault="002B3D90" w:rsidP="00960B64">
      <w:pPr>
        <w:spacing w:line="260" w:lineRule="exact"/>
        <w:ind w:left="1440"/>
        <w:contextualSpacing/>
        <w:rPr>
          <w:rFonts w:ascii="Franklin Gothic Book" w:hAnsi="Franklin Gothic Book"/>
          <w:szCs w:val="19"/>
        </w:rPr>
      </w:pPr>
    </w:p>
    <w:p w14:paraId="20F1D98D" w14:textId="7933BA08" w:rsidR="002B3D90" w:rsidRDefault="002B3D90" w:rsidP="00960B64">
      <w:pPr>
        <w:spacing w:line="260" w:lineRule="exact"/>
        <w:ind w:left="1440"/>
        <w:contextualSpacing/>
        <w:rPr>
          <w:rFonts w:ascii="Franklin Gothic Book" w:hAnsi="Franklin Gothic Book"/>
          <w:szCs w:val="19"/>
        </w:rPr>
      </w:pPr>
    </w:p>
    <w:p w14:paraId="5074AD81" w14:textId="77777777" w:rsidR="002B3D90" w:rsidRPr="00DC58DF" w:rsidRDefault="002B3D90" w:rsidP="00960B64">
      <w:pPr>
        <w:spacing w:line="260" w:lineRule="exact"/>
        <w:ind w:left="1440"/>
        <w:contextualSpacing/>
        <w:rPr>
          <w:rFonts w:ascii="Franklin Gothic Book" w:hAnsi="Franklin Gothic Book"/>
          <w:szCs w:val="19"/>
        </w:rPr>
      </w:pPr>
    </w:p>
    <w:p w14:paraId="650189D8" w14:textId="77777777" w:rsidR="001C3EFC" w:rsidRPr="00DC58DF" w:rsidRDefault="001C3EFC" w:rsidP="00960B64">
      <w:pPr>
        <w:pStyle w:val="Level5Head-COG"/>
        <w:spacing w:line="260" w:lineRule="exact"/>
        <w:contextualSpacing/>
      </w:pPr>
      <w:r w:rsidRPr="00DC58DF">
        <w:lastRenderedPageBreak/>
        <w:t xml:space="preserve">methodology </w:t>
      </w:r>
    </w:p>
    <w:p w14:paraId="07121B6F" w14:textId="7864DCBB" w:rsidR="001C3EFC" w:rsidRPr="00DC58DF" w:rsidRDefault="001C3EFC" w:rsidP="00960B64">
      <w:pPr>
        <w:pStyle w:val="BodyText-COG"/>
        <w:contextualSpacing/>
        <w:rPr>
          <w:szCs w:val="22"/>
          <w:lang w:val="en"/>
        </w:rPr>
      </w:pPr>
      <w:r w:rsidRPr="00DC58DF">
        <w:rPr>
          <w:szCs w:val="22"/>
          <w:lang w:val="en"/>
        </w:rPr>
        <w:t xml:space="preserve">The Fugitive Emissions from Septic Systems calculations follow the </w:t>
      </w:r>
      <w:r w:rsidR="008304B4">
        <w:rPr>
          <w:szCs w:val="22"/>
          <w:lang w:val="en"/>
        </w:rPr>
        <w:t xml:space="preserve">USCP </w:t>
      </w:r>
      <w:r w:rsidRPr="00DC58DF">
        <w:rPr>
          <w:szCs w:val="22"/>
          <w:lang w:val="en"/>
        </w:rPr>
        <w:t xml:space="preserve">recommended methodology as outlined in Appendix F.WW.11 from Version 1.1 of the Protocol. The methodology estimates GHG emissions based on the population served by septic. </w:t>
      </w:r>
    </w:p>
    <w:p w14:paraId="5CB31D61" w14:textId="77777777" w:rsidR="001C3EFC" w:rsidRPr="00DC58DF" w:rsidRDefault="001C3EFC" w:rsidP="00960B64">
      <w:pPr>
        <w:pStyle w:val="BodyText-COG"/>
        <w:contextualSpacing/>
        <w:rPr>
          <w:szCs w:val="22"/>
          <w:lang w:val="en"/>
        </w:rPr>
      </w:pPr>
    </w:p>
    <w:p w14:paraId="5E7B0AF2" w14:textId="77777777" w:rsidR="001C3EFC" w:rsidRPr="00DC58DF" w:rsidRDefault="001C3EFC" w:rsidP="00960B64">
      <w:pPr>
        <w:pStyle w:val="BodyText-COG"/>
        <w:contextualSpacing/>
        <w:rPr>
          <w:szCs w:val="22"/>
          <w:lang w:val="en"/>
        </w:rPr>
      </w:pPr>
      <w:r w:rsidRPr="00DC58DF">
        <w:rPr>
          <w:szCs w:val="22"/>
          <w:lang w:val="en"/>
        </w:rPr>
        <w:t xml:space="preserve">The Regional Wastewater Flow Forecast Model (RWFFM) and COG Cooperative Forecasts are leveraged to estimate population served by sewer. Total population subtracted from the population served by sewer provides a population served by septic estimate. </w:t>
      </w:r>
    </w:p>
    <w:p w14:paraId="0A508B89" w14:textId="77777777" w:rsidR="001C3EFC" w:rsidRPr="00DC58DF" w:rsidRDefault="001C3EFC" w:rsidP="00960B64">
      <w:pPr>
        <w:pStyle w:val="BodyText-COG"/>
        <w:contextualSpacing/>
      </w:pPr>
    </w:p>
    <w:p w14:paraId="4F05B30D" w14:textId="77777777" w:rsidR="001C3EFC" w:rsidRPr="009E2052" w:rsidRDefault="001C3EFC" w:rsidP="00960B64">
      <w:pPr>
        <w:pStyle w:val="Level5Head-COG"/>
        <w:spacing w:line="260" w:lineRule="exact"/>
        <w:contextualSpacing/>
      </w:pPr>
      <w:r w:rsidRPr="009E2052">
        <w:t>Data Collection</w:t>
      </w:r>
    </w:p>
    <w:p w14:paraId="28B2E0FA" w14:textId="48EF1082" w:rsidR="001C3EFC" w:rsidRPr="009E2052" w:rsidRDefault="001C3EFC" w:rsidP="00960B64">
      <w:pPr>
        <w:pStyle w:val="BodyText-COG"/>
        <w:contextualSpacing/>
      </w:pPr>
      <w:r w:rsidRPr="009E2052">
        <w:t xml:space="preserve">The RWFFM provides data that is available to use for the purposes of the GHG inventories. COG Cooperative Forecasts are used for population estimates. </w:t>
      </w:r>
    </w:p>
    <w:p w14:paraId="716D95D5" w14:textId="77777777" w:rsidR="001C3EFC" w:rsidRPr="009E2052" w:rsidRDefault="001C3EFC" w:rsidP="00960B64">
      <w:pPr>
        <w:spacing w:line="260" w:lineRule="exact"/>
        <w:ind w:left="2160"/>
        <w:contextualSpacing/>
        <w:rPr>
          <w:rFonts w:ascii="Franklin Gothic Book" w:hAnsi="Franklin Gothic Book"/>
          <w:sz w:val="22"/>
          <w:szCs w:val="19"/>
        </w:rPr>
      </w:pPr>
    </w:p>
    <w:p w14:paraId="141A035E" w14:textId="77777777" w:rsidR="001C3EFC" w:rsidRPr="009E2052" w:rsidRDefault="001C3EFC" w:rsidP="00960B64">
      <w:pPr>
        <w:spacing w:line="260" w:lineRule="exact"/>
        <w:contextualSpacing/>
        <w:rPr>
          <w:rFonts w:ascii="Franklin Gothic Book" w:hAnsi="Franklin Gothic Book"/>
          <w:sz w:val="22"/>
          <w:szCs w:val="19"/>
        </w:rPr>
      </w:pPr>
      <w:r w:rsidRPr="009E2052">
        <w:rPr>
          <w:rFonts w:ascii="Franklin Gothic Book" w:hAnsi="Franklin Gothic Book"/>
          <w:sz w:val="22"/>
          <w:szCs w:val="19"/>
        </w:rPr>
        <w:t xml:space="preserve">Data Needs: </w:t>
      </w:r>
    </w:p>
    <w:p w14:paraId="14F2FD60" w14:textId="1CC846CB" w:rsidR="009E2052" w:rsidRPr="009E2052" w:rsidRDefault="001C3EFC" w:rsidP="00960B64">
      <w:pPr>
        <w:pStyle w:val="ListParagraph"/>
        <w:numPr>
          <w:ilvl w:val="0"/>
          <w:numId w:val="36"/>
        </w:numPr>
        <w:spacing w:after="0" w:line="260" w:lineRule="exact"/>
        <w:rPr>
          <w:rFonts w:ascii="Franklin Gothic Book" w:hAnsi="Franklin Gothic Book"/>
          <w:szCs w:val="19"/>
        </w:rPr>
      </w:pPr>
      <w:r w:rsidRPr="009E2052">
        <w:rPr>
          <w:rFonts w:ascii="Franklin Gothic Book" w:hAnsi="Franklin Gothic Book"/>
          <w:szCs w:val="19"/>
        </w:rPr>
        <w:t xml:space="preserve">Population served by septic </w:t>
      </w:r>
    </w:p>
    <w:p w14:paraId="44FFF1B5" w14:textId="15D484AF" w:rsidR="001C3EFC" w:rsidRPr="009E2052" w:rsidRDefault="001C3EFC" w:rsidP="009E2052">
      <w:pPr>
        <w:pStyle w:val="ListParagraph"/>
        <w:spacing w:after="0" w:line="260" w:lineRule="exact"/>
        <w:ind w:left="719"/>
        <w:rPr>
          <w:rFonts w:ascii="Franklin Gothic Book" w:hAnsi="Franklin Gothic Book"/>
          <w:szCs w:val="19"/>
        </w:rPr>
      </w:pPr>
      <w:r w:rsidRPr="009E2052">
        <w:rPr>
          <w:rFonts w:ascii="Franklin Gothic Book" w:hAnsi="Franklin Gothic Book"/>
          <w:szCs w:val="19"/>
        </w:rPr>
        <w:t xml:space="preserve"> </w:t>
      </w:r>
    </w:p>
    <w:p w14:paraId="259DDF73" w14:textId="77777777" w:rsidR="001C3EFC" w:rsidRPr="00FB7CF8" w:rsidRDefault="001C3EFC" w:rsidP="00960B64">
      <w:pPr>
        <w:pStyle w:val="Level3Head-COG"/>
        <w:spacing w:before="0"/>
        <w:contextualSpacing/>
      </w:pPr>
      <w:bookmarkStart w:id="441" w:name="_Toc535399929"/>
      <w:bookmarkStart w:id="442" w:name="_Toc50968792"/>
      <w:bookmarkStart w:id="443" w:name="_Toc51077781"/>
      <w:r w:rsidRPr="00FB7CF8">
        <w:t>nitrification/denitrification Process n</w:t>
      </w:r>
      <w:r w:rsidRPr="00FB7CF8">
        <w:rPr>
          <w:vertAlign w:val="subscript"/>
        </w:rPr>
        <w:t>2</w:t>
      </w:r>
      <w:r w:rsidRPr="00FB7CF8">
        <w:t>0 emissions from wastewater</w:t>
      </w:r>
      <w:bookmarkEnd w:id="441"/>
      <w:bookmarkEnd w:id="442"/>
      <w:bookmarkEnd w:id="443"/>
      <w:r w:rsidRPr="00FB7CF8">
        <w:t xml:space="preserve">   </w:t>
      </w:r>
    </w:p>
    <w:p w14:paraId="5F6BE93F" w14:textId="77777777" w:rsidR="001C3EFC" w:rsidRPr="00FB7CF8" w:rsidRDefault="001C3EFC" w:rsidP="00960B64">
      <w:pPr>
        <w:pStyle w:val="Level4Head-COG"/>
        <w:contextualSpacing/>
        <w:rPr>
          <w:u w:val="single"/>
        </w:rPr>
      </w:pPr>
    </w:p>
    <w:p w14:paraId="49E0095A" w14:textId="77777777" w:rsidR="001C3EFC" w:rsidRPr="00FB7CF8" w:rsidRDefault="001C3EFC" w:rsidP="00960B64">
      <w:pPr>
        <w:pStyle w:val="Level4Head-COG"/>
        <w:contextualSpacing/>
      </w:pPr>
      <w:r w:rsidRPr="00FB7CF8">
        <w:t xml:space="preserve">Sewer System Emissions </w:t>
      </w:r>
    </w:p>
    <w:p w14:paraId="32D39804" w14:textId="77777777" w:rsidR="001C3EFC" w:rsidRPr="00FB7CF8" w:rsidRDefault="001C3EFC" w:rsidP="00960B64">
      <w:pPr>
        <w:pStyle w:val="Level5Head-COG"/>
        <w:spacing w:line="260" w:lineRule="exact"/>
        <w:contextualSpacing/>
      </w:pPr>
      <w:r w:rsidRPr="00FB7CF8">
        <w:t>Description</w:t>
      </w:r>
    </w:p>
    <w:p w14:paraId="7A7B8E84" w14:textId="792531B7" w:rsidR="001C3EFC" w:rsidRPr="00F13354" w:rsidRDefault="001C3EFC" w:rsidP="00960B64">
      <w:pPr>
        <w:spacing w:line="260" w:lineRule="exact"/>
        <w:contextualSpacing/>
        <w:rPr>
          <w:rFonts w:ascii="Franklin Gothic Book" w:hAnsi="Franklin Gothic Book"/>
          <w:color w:val="auto"/>
          <w:sz w:val="22"/>
          <w:szCs w:val="22"/>
        </w:rPr>
      </w:pPr>
      <w:r w:rsidRPr="00F13354">
        <w:rPr>
          <w:rFonts w:ascii="Franklin Gothic Book" w:hAnsi="Franklin Gothic Book"/>
          <w:sz w:val="22"/>
          <w:szCs w:val="22"/>
        </w:rPr>
        <w:t>This calculation of Sewer System Emissions accounts for N</w:t>
      </w:r>
      <w:r w:rsidRPr="00F13354">
        <w:rPr>
          <w:rFonts w:ascii="Franklin Gothic Book" w:hAnsi="Franklin Gothic Book"/>
          <w:sz w:val="22"/>
          <w:szCs w:val="22"/>
          <w:vertAlign w:val="subscript"/>
        </w:rPr>
        <w:t>2</w:t>
      </w:r>
      <w:r w:rsidRPr="00F13354">
        <w:rPr>
          <w:rFonts w:ascii="Franklin Gothic Book" w:hAnsi="Franklin Gothic Book"/>
          <w:sz w:val="22"/>
          <w:szCs w:val="22"/>
        </w:rPr>
        <w:t xml:space="preserve">O emissions during the treatment process at wastewater treatment plants (WWTPs). All WWTPs in the region operate with nitrification (converting ammonia to nitrate) and denitrification (converting nitrate into nitrogen gas) processes to remove nutrients from wastewater. This process protects the water quality of local waterways. </w:t>
      </w:r>
      <w:r w:rsidR="00F13354" w:rsidRPr="00F13354">
        <w:rPr>
          <w:rFonts w:ascii="Franklin Gothic Book" w:hAnsi="Franklin Gothic Book"/>
          <w:sz w:val="22"/>
          <w:szCs w:val="22"/>
        </w:rPr>
        <w:t>M</w:t>
      </w:r>
      <w:r w:rsidRPr="00F13354">
        <w:rPr>
          <w:rFonts w:ascii="Franklin Gothic Book" w:hAnsi="Franklin Gothic Book"/>
          <w:sz w:val="22"/>
          <w:szCs w:val="22"/>
        </w:rPr>
        <w:t>ore than 90</w:t>
      </w:r>
      <w:r w:rsidR="00F13354" w:rsidRPr="00F13354">
        <w:rPr>
          <w:rFonts w:ascii="Franklin Gothic Book" w:hAnsi="Franklin Gothic Book"/>
          <w:sz w:val="22"/>
          <w:szCs w:val="22"/>
        </w:rPr>
        <w:t xml:space="preserve"> percent</w:t>
      </w:r>
      <w:r w:rsidRPr="00F13354">
        <w:rPr>
          <w:rFonts w:ascii="Franklin Gothic Book" w:hAnsi="Franklin Gothic Book"/>
          <w:sz w:val="22"/>
          <w:szCs w:val="22"/>
        </w:rPr>
        <w:t xml:space="preserve"> of the population in the region </w:t>
      </w:r>
      <w:r w:rsidR="00F13354" w:rsidRPr="00F13354">
        <w:rPr>
          <w:rFonts w:ascii="Franklin Gothic Book" w:hAnsi="Franklin Gothic Book"/>
          <w:sz w:val="22"/>
          <w:szCs w:val="22"/>
        </w:rPr>
        <w:t>is</w:t>
      </w:r>
      <w:r w:rsidRPr="00F13354">
        <w:rPr>
          <w:rFonts w:ascii="Franklin Gothic Book" w:hAnsi="Franklin Gothic Book"/>
          <w:sz w:val="22"/>
          <w:szCs w:val="22"/>
        </w:rPr>
        <w:t xml:space="preserve"> served by a WWTP. </w:t>
      </w:r>
    </w:p>
    <w:p w14:paraId="71175F94" w14:textId="77777777" w:rsidR="001C3EFC" w:rsidRPr="00F13354" w:rsidRDefault="001C3EFC" w:rsidP="00960B64">
      <w:pPr>
        <w:spacing w:line="260" w:lineRule="exact"/>
        <w:contextualSpacing/>
        <w:rPr>
          <w:rFonts w:ascii="Franklin Gothic Book" w:hAnsi="Franklin Gothic Book"/>
          <w:sz w:val="22"/>
          <w:szCs w:val="22"/>
        </w:rPr>
      </w:pPr>
      <w:r w:rsidRPr="00F13354">
        <w:rPr>
          <w:rFonts w:ascii="Franklin Gothic Book" w:hAnsi="Franklin Gothic Book"/>
          <w:sz w:val="22"/>
          <w:szCs w:val="22"/>
        </w:rPr>
        <w:t xml:space="preserve"> </w:t>
      </w:r>
    </w:p>
    <w:p w14:paraId="28BA93E6" w14:textId="31DE9603" w:rsidR="001C3EFC" w:rsidRPr="00F13354" w:rsidRDefault="001C3EFC" w:rsidP="00960B64">
      <w:pPr>
        <w:spacing w:line="260" w:lineRule="exact"/>
        <w:contextualSpacing/>
        <w:rPr>
          <w:rFonts w:ascii="Franklin Gothic Book" w:hAnsi="Franklin Gothic Book"/>
          <w:sz w:val="22"/>
          <w:szCs w:val="22"/>
        </w:rPr>
      </w:pPr>
      <w:r w:rsidRPr="00F13354">
        <w:rPr>
          <w:rFonts w:ascii="Franklin Gothic Book" w:hAnsi="Franklin Gothic Book"/>
          <w:sz w:val="22"/>
          <w:szCs w:val="22"/>
        </w:rPr>
        <w:t xml:space="preserve">According to the USCP, wastewater utilities can potentially offset GHG emissions through renewable energy generation from biogas and/or biosolids, using reclaimed water to displace imported water, or producing biosolids as fertilizer for use. </w:t>
      </w:r>
    </w:p>
    <w:p w14:paraId="18C89E06" w14:textId="77777777" w:rsidR="001C3EFC" w:rsidRPr="00F13354" w:rsidRDefault="001C3EFC" w:rsidP="00960B64">
      <w:pPr>
        <w:spacing w:line="260" w:lineRule="exact"/>
        <w:ind w:left="1440"/>
        <w:contextualSpacing/>
        <w:rPr>
          <w:rFonts w:ascii="Franklin Gothic Book" w:hAnsi="Franklin Gothic Book"/>
          <w:szCs w:val="19"/>
        </w:rPr>
      </w:pPr>
    </w:p>
    <w:p w14:paraId="6362F9E2" w14:textId="77777777" w:rsidR="001C3EFC" w:rsidRPr="00E70BF7" w:rsidRDefault="001C3EFC" w:rsidP="00960B64">
      <w:pPr>
        <w:pStyle w:val="Level5Head-COG"/>
        <w:spacing w:line="260" w:lineRule="exact"/>
        <w:contextualSpacing/>
      </w:pPr>
      <w:r w:rsidRPr="00E70BF7">
        <w:t xml:space="preserve">methodology </w:t>
      </w:r>
    </w:p>
    <w:p w14:paraId="385B5A45" w14:textId="20CCE8E2" w:rsidR="001C3EFC" w:rsidRPr="00E70BF7" w:rsidRDefault="001C3EFC" w:rsidP="00960B64">
      <w:pPr>
        <w:pStyle w:val="BodyText-COG"/>
        <w:contextualSpacing/>
        <w:rPr>
          <w:szCs w:val="22"/>
          <w:lang w:val="en"/>
        </w:rPr>
      </w:pPr>
      <w:r w:rsidRPr="00E70BF7">
        <w:rPr>
          <w:szCs w:val="22"/>
          <w:lang w:val="en"/>
        </w:rPr>
        <w:t>The Nitrification/Denitrification Process N</w:t>
      </w:r>
      <w:r w:rsidRPr="00E70BF7">
        <w:rPr>
          <w:szCs w:val="22"/>
          <w:vertAlign w:val="subscript"/>
          <w:lang w:val="en"/>
        </w:rPr>
        <w:t>2</w:t>
      </w:r>
      <w:r w:rsidRPr="00E70BF7">
        <w:rPr>
          <w:szCs w:val="22"/>
          <w:lang w:val="en"/>
        </w:rPr>
        <w:t xml:space="preserve">O Emissions from Wastewater Treatment calculations follow the </w:t>
      </w:r>
      <w:r w:rsidR="008304B4">
        <w:rPr>
          <w:szCs w:val="22"/>
          <w:lang w:val="en"/>
        </w:rPr>
        <w:t>USCP</w:t>
      </w:r>
      <w:r w:rsidRPr="00E70BF7">
        <w:rPr>
          <w:szCs w:val="22"/>
          <w:lang w:val="en"/>
        </w:rPr>
        <w:t xml:space="preserve"> recommended methodology as outlined in Appendix F.WW.7 from Version 1.1 of the Protocol. The methodology estimates GHG emissions based on the population served by sewer. The Regional Wastewater Flow Forecast Model (RWFFM) and COG Cooperative Forecasts are leveraged to estimate population served by sewer. </w:t>
      </w:r>
    </w:p>
    <w:p w14:paraId="23A2D772" w14:textId="77777777" w:rsidR="001C3EFC" w:rsidRPr="00E70BF7" w:rsidRDefault="001C3EFC" w:rsidP="00960B64">
      <w:pPr>
        <w:pStyle w:val="BodyText-COG"/>
        <w:contextualSpacing/>
      </w:pPr>
    </w:p>
    <w:p w14:paraId="392FE3BE" w14:textId="77777777" w:rsidR="001C3EFC" w:rsidRPr="00E70BF7" w:rsidRDefault="001C3EFC" w:rsidP="00960B64">
      <w:pPr>
        <w:pStyle w:val="Level5Head-COG"/>
        <w:spacing w:line="260" w:lineRule="exact"/>
        <w:contextualSpacing/>
      </w:pPr>
      <w:r w:rsidRPr="00E70BF7">
        <w:t>Data Collection</w:t>
      </w:r>
    </w:p>
    <w:p w14:paraId="7D40B3C1" w14:textId="63E2480C" w:rsidR="001C3EFC" w:rsidRPr="00FC0D0C" w:rsidRDefault="001C3EFC" w:rsidP="00960B64">
      <w:pPr>
        <w:pStyle w:val="BodyText-COG"/>
        <w:contextualSpacing/>
      </w:pPr>
      <w:r w:rsidRPr="00FC0D0C">
        <w:t xml:space="preserve">The RWFFM is processed annual by COG staff and outputs data that is available to use for the purposes of the GHG inventories. COG Cooperative Forecasts are used for population estimates. </w:t>
      </w:r>
    </w:p>
    <w:p w14:paraId="363CFB1C" w14:textId="77777777" w:rsidR="001C3EFC" w:rsidRPr="00FC0D0C" w:rsidRDefault="001C3EFC" w:rsidP="00960B64">
      <w:pPr>
        <w:spacing w:line="260" w:lineRule="exact"/>
        <w:ind w:left="2160"/>
        <w:contextualSpacing/>
        <w:rPr>
          <w:rFonts w:ascii="Franklin Gothic Book" w:hAnsi="Franklin Gothic Book"/>
          <w:sz w:val="22"/>
          <w:szCs w:val="19"/>
        </w:rPr>
      </w:pPr>
    </w:p>
    <w:p w14:paraId="5C7A2EB9" w14:textId="77777777" w:rsidR="001C3EFC" w:rsidRPr="00FC0D0C" w:rsidRDefault="001C3EFC" w:rsidP="00960B64">
      <w:pPr>
        <w:spacing w:line="260" w:lineRule="exact"/>
        <w:contextualSpacing/>
        <w:rPr>
          <w:rFonts w:ascii="Franklin Gothic Book" w:hAnsi="Franklin Gothic Book"/>
          <w:sz w:val="22"/>
          <w:szCs w:val="19"/>
        </w:rPr>
      </w:pPr>
      <w:r w:rsidRPr="00FC0D0C">
        <w:rPr>
          <w:rFonts w:ascii="Franklin Gothic Book" w:hAnsi="Franklin Gothic Book"/>
          <w:sz w:val="22"/>
          <w:szCs w:val="19"/>
        </w:rPr>
        <w:t xml:space="preserve">Data Needs: </w:t>
      </w:r>
    </w:p>
    <w:p w14:paraId="565F48F8" w14:textId="6EEB677D" w:rsidR="001C3EFC" w:rsidRPr="00FC0D0C" w:rsidRDefault="001C3EFC" w:rsidP="00960B64">
      <w:pPr>
        <w:pStyle w:val="ListParagraph"/>
        <w:numPr>
          <w:ilvl w:val="0"/>
          <w:numId w:val="36"/>
        </w:numPr>
        <w:spacing w:after="0" w:line="260" w:lineRule="exact"/>
        <w:rPr>
          <w:rFonts w:ascii="Franklin Gothic Book" w:hAnsi="Franklin Gothic Book"/>
          <w:szCs w:val="19"/>
        </w:rPr>
      </w:pPr>
      <w:r w:rsidRPr="00FC0D0C">
        <w:rPr>
          <w:rFonts w:ascii="Franklin Gothic Book" w:hAnsi="Franklin Gothic Book"/>
          <w:szCs w:val="19"/>
        </w:rPr>
        <w:t xml:space="preserve">Population served by sewer </w:t>
      </w:r>
    </w:p>
    <w:p w14:paraId="1C939CD2" w14:textId="7E3C3277" w:rsidR="00E52995" w:rsidRPr="00FC0D0C" w:rsidRDefault="00E52995" w:rsidP="00960B64">
      <w:pPr>
        <w:pStyle w:val="BodyText-COG"/>
        <w:contextualSpacing/>
      </w:pPr>
    </w:p>
    <w:p w14:paraId="2248B04D" w14:textId="77777777" w:rsidR="002B3D90" w:rsidRDefault="002B3D90" w:rsidP="00960B64">
      <w:pPr>
        <w:pStyle w:val="Level3Head-COG"/>
        <w:spacing w:before="0"/>
        <w:contextualSpacing/>
      </w:pPr>
      <w:bookmarkStart w:id="444" w:name="_Toc535399930"/>
    </w:p>
    <w:p w14:paraId="748E7D52" w14:textId="77777777" w:rsidR="002B3D90" w:rsidRDefault="002B3D90" w:rsidP="00960B64">
      <w:pPr>
        <w:pStyle w:val="Level3Head-COG"/>
        <w:spacing w:before="0"/>
        <w:contextualSpacing/>
      </w:pPr>
    </w:p>
    <w:p w14:paraId="2C649767" w14:textId="77777777" w:rsidR="002B3D90" w:rsidRDefault="002B3D90" w:rsidP="00960B64">
      <w:pPr>
        <w:pStyle w:val="Level3Head-COG"/>
        <w:spacing w:before="0"/>
        <w:contextualSpacing/>
      </w:pPr>
    </w:p>
    <w:p w14:paraId="6C7E029B" w14:textId="77777777" w:rsidR="002B3D90" w:rsidRDefault="002B3D90" w:rsidP="00960B64">
      <w:pPr>
        <w:pStyle w:val="Level3Head-COG"/>
        <w:spacing w:before="0"/>
        <w:contextualSpacing/>
      </w:pPr>
    </w:p>
    <w:p w14:paraId="720310BF" w14:textId="2A1115CC" w:rsidR="00F80EA2" w:rsidRPr="005023E9" w:rsidRDefault="00F80EA2" w:rsidP="00960B64">
      <w:pPr>
        <w:pStyle w:val="Level3Head-COG"/>
        <w:spacing w:before="0"/>
        <w:contextualSpacing/>
      </w:pPr>
      <w:bookmarkStart w:id="445" w:name="_Toc50968793"/>
      <w:bookmarkStart w:id="446" w:name="_Toc51077782"/>
      <w:r w:rsidRPr="005023E9">
        <w:lastRenderedPageBreak/>
        <w:t>Process n</w:t>
      </w:r>
      <w:r w:rsidRPr="005023E9">
        <w:rPr>
          <w:vertAlign w:val="subscript"/>
        </w:rPr>
        <w:t>2</w:t>
      </w:r>
      <w:r w:rsidRPr="005023E9">
        <w:t>0 from effluent discharge to rivers and estuaries</w:t>
      </w:r>
      <w:bookmarkEnd w:id="444"/>
      <w:bookmarkEnd w:id="445"/>
      <w:bookmarkEnd w:id="446"/>
      <w:r w:rsidRPr="005023E9">
        <w:t xml:space="preserve"> </w:t>
      </w:r>
    </w:p>
    <w:p w14:paraId="5A5690BE" w14:textId="77777777" w:rsidR="00F80EA2" w:rsidRPr="005023E9" w:rsidRDefault="00F80EA2" w:rsidP="00960B64">
      <w:pPr>
        <w:pStyle w:val="BodyText-COG"/>
        <w:contextualSpacing/>
      </w:pPr>
    </w:p>
    <w:p w14:paraId="45FBA7A8" w14:textId="77777777" w:rsidR="00F80EA2" w:rsidRPr="005023E9" w:rsidRDefault="00F80EA2" w:rsidP="00960B64">
      <w:pPr>
        <w:pStyle w:val="Level4Head-COG"/>
        <w:contextualSpacing/>
      </w:pPr>
      <w:r w:rsidRPr="005023E9">
        <w:t xml:space="preserve">N2O Effluent Discharge Emissions </w:t>
      </w:r>
    </w:p>
    <w:p w14:paraId="625BC1AE" w14:textId="77777777" w:rsidR="00F80EA2" w:rsidRPr="005023E9" w:rsidRDefault="00F80EA2" w:rsidP="00960B64">
      <w:pPr>
        <w:pStyle w:val="Level5Head-COG"/>
        <w:spacing w:line="260" w:lineRule="exact"/>
        <w:contextualSpacing/>
      </w:pPr>
      <w:r w:rsidRPr="005023E9">
        <w:t>Description</w:t>
      </w:r>
    </w:p>
    <w:p w14:paraId="75220E65" w14:textId="77777777" w:rsidR="00F80EA2" w:rsidRPr="00834F46" w:rsidRDefault="00F80EA2" w:rsidP="00960B64">
      <w:pPr>
        <w:spacing w:line="260" w:lineRule="exact"/>
        <w:contextualSpacing/>
        <w:rPr>
          <w:rFonts w:ascii="Franklin Gothic Book" w:hAnsi="Franklin Gothic Book"/>
          <w:sz w:val="22"/>
          <w:szCs w:val="22"/>
        </w:rPr>
      </w:pPr>
      <w:r w:rsidRPr="00834F46">
        <w:rPr>
          <w:rFonts w:ascii="Franklin Gothic Book" w:hAnsi="Franklin Gothic Book"/>
          <w:sz w:val="22"/>
          <w:szCs w:val="22"/>
        </w:rPr>
        <w:t>N</w:t>
      </w:r>
      <w:r w:rsidRPr="00834F46">
        <w:rPr>
          <w:rFonts w:ascii="Franklin Gothic Book" w:hAnsi="Franklin Gothic Book"/>
          <w:sz w:val="22"/>
          <w:szCs w:val="22"/>
          <w:vertAlign w:val="subscript"/>
        </w:rPr>
        <w:t>2</w:t>
      </w:r>
      <w:r w:rsidRPr="00834F46">
        <w:rPr>
          <w:rFonts w:ascii="Franklin Gothic Book" w:hAnsi="Franklin Gothic Book"/>
          <w:sz w:val="22"/>
          <w:szCs w:val="22"/>
        </w:rPr>
        <w:t>O Effluent Discharge Emissions account for the emissions resulting from treated wastewater that flows out of a treatment facility and discharged into waterways. Most of the nitrogen content is removed in the treatment process; however, when effluent containing nitrogen reaches the natural watershed a reaction occurs that releases N</w:t>
      </w:r>
      <w:r w:rsidRPr="00834F46">
        <w:rPr>
          <w:rFonts w:ascii="Franklin Gothic Book" w:hAnsi="Franklin Gothic Book"/>
          <w:sz w:val="22"/>
          <w:szCs w:val="22"/>
          <w:vertAlign w:val="subscript"/>
        </w:rPr>
        <w:t>2</w:t>
      </w:r>
      <w:r w:rsidRPr="00834F46">
        <w:rPr>
          <w:rFonts w:ascii="Franklin Gothic Book" w:hAnsi="Franklin Gothic Book"/>
          <w:sz w:val="22"/>
          <w:szCs w:val="22"/>
        </w:rPr>
        <w:t>O emissions. This reaction makes up the vast majority of N</w:t>
      </w:r>
      <w:r w:rsidRPr="00834F46">
        <w:rPr>
          <w:rFonts w:ascii="Franklin Gothic Book" w:hAnsi="Franklin Gothic Book"/>
          <w:sz w:val="22"/>
          <w:szCs w:val="22"/>
          <w:vertAlign w:val="subscript"/>
        </w:rPr>
        <w:t>2</w:t>
      </w:r>
      <w:r w:rsidRPr="00834F46">
        <w:rPr>
          <w:rFonts w:ascii="Franklin Gothic Book" w:hAnsi="Franklin Gothic Book"/>
          <w:sz w:val="22"/>
          <w:szCs w:val="22"/>
        </w:rPr>
        <w:t xml:space="preserve">O generated from a wastewater treatment plan (WWTP). </w:t>
      </w:r>
    </w:p>
    <w:p w14:paraId="368F1EE5" w14:textId="77777777" w:rsidR="00F80EA2" w:rsidRPr="00F80EA2" w:rsidRDefault="00F80EA2" w:rsidP="00960B64">
      <w:pPr>
        <w:spacing w:line="260" w:lineRule="exact"/>
        <w:ind w:left="1440"/>
        <w:contextualSpacing/>
        <w:rPr>
          <w:rFonts w:ascii="Franklin Gothic Book" w:hAnsi="Franklin Gothic Book"/>
          <w:szCs w:val="19"/>
          <w:highlight w:val="yellow"/>
        </w:rPr>
      </w:pPr>
    </w:p>
    <w:p w14:paraId="2BA107BE" w14:textId="77777777" w:rsidR="00F80EA2" w:rsidRPr="006F5CAE" w:rsidRDefault="00F80EA2" w:rsidP="00960B64">
      <w:pPr>
        <w:pStyle w:val="Level5Head-COG"/>
        <w:spacing w:line="260" w:lineRule="exact"/>
        <w:contextualSpacing/>
      </w:pPr>
      <w:r w:rsidRPr="006F5CAE">
        <w:t xml:space="preserve">methodology </w:t>
      </w:r>
    </w:p>
    <w:p w14:paraId="5BB2C19D" w14:textId="6E851D40" w:rsidR="00F80EA2" w:rsidRPr="00D87DBB" w:rsidRDefault="00F80EA2" w:rsidP="00960B64">
      <w:pPr>
        <w:pStyle w:val="BodyText-COG"/>
        <w:contextualSpacing/>
        <w:rPr>
          <w:szCs w:val="22"/>
          <w:lang w:val="en"/>
        </w:rPr>
      </w:pPr>
      <w:r w:rsidRPr="00D87DBB">
        <w:rPr>
          <w:szCs w:val="22"/>
          <w:lang w:val="en"/>
        </w:rPr>
        <w:t>The Process N</w:t>
      </w:r>
      <w:r w:rsidRPr="00D87DBB">
        <w:rPr>
          <w:szCs w:val="22"/>
          <w:vertAlign w:val="subscript"/>
          <w:lang w:val="en"/>
        </w:rPr>
        <w:t>2</w:t>
      </w:r>
      <w:r w:rsidRPr="00D87DBB">
        <w:rPr>
          <w:szCs w:val="22"/>
          <w:lang w:val="en"/>
        </w:rPr>
        <w:t xml:space="preserve">O from Effluent Discharge to Rivers and Estuaries calculations follow the </w:t>
      </w:r>
      <w:r w:rsidR="00C57209">
        <w:rPr>
          <w:szCs w:val="22"/>
          <w:lang w:val="en"/>
        </w:rPr>
        <w:t xml:space="preserve">USCP </w:t>
      </w:r>
      <w:r w:rsidRPr="00D87DBB">
        <w:rPr>
          <w:szCs w:val="22"/>
          <w:lang w:val="en"/>
        </w:rPr>
        <w:t xml:space="preserve">recommended methodology as outlined in Appendix F.WW.12 from Version 1.1 of the Protocol. The methodology estimates GHG emissions based on the population served by sewer and daily Nitrogen loads. </w:t>
      </w:r>
    </w:p>
    <w:p w14:paraId="73BA89B6" w14:textId="77777777" w:rsidR="00F80EA2" w:rsidRPr="00F80EA2" w:rsidRDefault="00F80EA2" w:rsidP="00960B64">
      <w:pPr>
        <w:pStyle w:val="BodyText-COG"/>
        <w:contextualSpacing/>
        <w:rPr>
          <w:rFonts w:asciiTheme="minorHAnsi" w:hAnsiTheme="minorHAnsi"/>
          <w:szCs w:val="22"/>
          <w:highlight w:val="yellow"/>
          <w:lang w:val="en"/>
        </w:rPr>
      </w:pPr>
    </w:p>
    <w:p w14:paraId="5641F79D" w14:textId="3444ECD1" w:rsidR="00F80EA2" w:rsidRPr="006F5CAE" w:rsidRDefault="00F80EA2" w:rsidP="00960B64">
      <w:pPr>
        <w:spacing w:line="260" w:lineRule="exact"/>
        <w:contextualSpacing/>
        <w:rPr>
          <w:rFonts w:ascii="Franklin Gothic Book" w:hAnsi="Franklin Gothic Book"/>
          <w:color w:val="auto"/>
          <w:sz w:val="22"/>
          <w:szCs w:val="22"/>
        </w:rPr>
      </w:pPr>
      <w:r w:rsidRPr="006F5CAE">
        <w:rPr>
          <w:rFonts w:ascii="Franklin Gothic Book" w:hAnsi="Franklin Gothic Book"/>
          <w:sz w:val="22"/>
          <w:szCs w:val="22"/>
          <w:lang w:val="en"/>
        </w:rPr>
        <w:t xml:space="preserve">The Regional Wastewater Flow Forecast Model (RWFFM) and COG Cooperative Forecasts are leveraged to estimate population served by sewer. Data inputs on Nitrogen loads are </w:t>
      </w:r>
      <w:r w:rsidRPr="006F5CAE">
        <w:rPr>
          <w:rFonts w:ascii="Franklin Gothic Book" w:hAnsi="Franklin Gothic Book"/>
          <w:sz w:val="22"/>
          <w:szCs w:val="22"/>
        </w:rPr>
        <w:t xml:space="preserve">downloaded from CAST </w:t>
      </w:r>
      <w:r w:rsidR="006F5CAE" w:rsidRPr="006F5CAE">
        <w:rPr>
          <w:rFonts w:ascii="Franklin Gothic Book" w:hAnsi="Franklin Gothic Book"/>
          <w:sz w:val="22"/>
          <w:szCs w:val="22"/>
        </w:rPr>
        <w:t xml:space="preserve">for the 2018 inventory </w:t>
      </w:r>
      <w:r w:rsidRPr="006F5CAE">
        <w:rPr>
          <w:rFonts w:ascii="Franklin Gothic Book" w:hAnsi="Franklin Gothic Book"/>
          <w:sz w:val="22"/>
          <w:szCs w:val="22"/>
        </w:rPr>
        <w:t>(</w:t>
      </w:r>
      <w:r w:rsidR="006F5CAE" w:rsidRPr="006F5CAE">
        <w:rPr>
          <w:rFonts w:ascii="Franklin Gothic Book" w:hAnsi="Franklin Gothic Book"/>
          <w:sz w:val="22"/>
          <w:szCs w:val="22"/>
        </w:rPr>
        <w:t xml:space="preserve">for </w:t>
      </w:r>
      <w:r w:rsidRPr="006F5CAE">
        <w:rPr>
          <w:rFonts w:ascii="Franklin Gothic Book" w:hAnsi="Franklin Gothic Book"/>
          <w:sz w:val="22"/>
          <w:szCs w:val="22"/>
        </w:rPr>
        <w:t>previous</w:t>
      </w:r>
      <w:r w:rsidR="006F5CAE" w:rsidRPr="006F5CAE">
        <w:rPr>
          <w:rFonts w:ascii="Franklin Gothic Book" w:hAnsi="Franklin Gothic Book"/>
          <w:sz w:val="22"/>
          <w:szCs w:val="22"/>
        </w:rPr>
        <w:t xml:space="preserve"> inventories </w:t>
      </w:r>
      <w:r w:rsidRPr="006F5CAE">
        <w:rPr>
          <w:rFonts w:ascii="Franklin Gothic Book" w:hAnsi="Franklin Gothic Book"/>
          <w:sz w:val="22"/>
          <w:szCs w:val="22"/>
        </w:rPr>
        <w:t>they were provided via personal communication from Chesapeake Bay Program staff) and converted from pounds/year to kg/day. They represent a simple average of the annual loads recorded by the Bay Program.</w:t>
      </w:r>
    </w:p>
    <w:p w14:paraId="3BC51C79" w14:textId="77777777" w:rsidR="00F80EA2" w:rsidRPr="006F5CAE" w:rsidRDefault="00F80EA2" w:rsidP="00960B64">
      <w:pPr>
        <w:pStyle w:val="BodyText-COG"/>
        <w:contextualSpacing/>
        <w:rPr>
          <w:szCs w:val="22"/>
          <w:lang w:val="en"/>
        </w:rPr>
      </w:pPr>
    </w:p>
    <w:p w14:paraId="13E23104" w14:textId="77777777" w:rsidR="00F80EA2" w:rsidRPr="0072612F" w:rsidRDefault="00F80EA2" w:rsidP="00960B64">
      <w:pPr>
        <w:pStyle w:val="Level5Head-COG"/>
        <w:spacing w:line="260" w:lineRule="exact"/>
        <w:contextualSpacing/>
      </w:pPr>
      <w:r w:rsidRPr="0072612F">
        <w:t>Data Collection</w:t>
      </w:r>
    </w:p>
    <w:p w14:paraId="677F1EDF" w14:textId="0898F136" w:rsidR="00F80EA2" w:rsidRPr="0072612F" w:rsidRDefault="00F80EA2" w:rsidP="00960B64">
      <w:pPr>
        <w:pStyle w:val="BodyText-COG"/>
        <w:contextualSpacing/>
      </w:pPr>
      <w:r w:rsidRPr="0072612F">
        <w:t xml:space="preserve">The RWFFM is processed by COG staff and outputs data that is available to use for the purposes of the GHG inventories. COG Cooperative Forecasts are used for population estimates. </w:t>
      </w:r>
    </w:p>
    <w:p w14:paraId="12D0489A" w14:textId="77777777" w:rsidR="00F80EA2" w:rsidRPr="0072612F" w:rsidRDefault="00F80EA2" w:rsidP="00960B64">
      <w:pPr>
        <w:pStyle w:val="BodyText-COG"/>
        <w:contextualSpacing/>
        <w:rPr>
          <w:szCs w:val="22"/>
          <w:lang w:val="en"/>
        </w:rPr>
      </w:pPr>
    </w:p>
    <w:p w14:paraId="5B7DEB86" w14:textId="77777777" w:rsidR="00F80EA2" w:rsidRPr="0072612F" w:rsidRDefault="00F80EA2" w:rsidP="00960B64">
      <w:pPr>
        <w:spacing w:line="260" w:lineRule="exact"/>
        <w:contextualSpacing/>
        <w:rPr>
          <w:rFonts w:ascii="Franklin Gothic Book" w:hAnsi="Franklin Gothic Book"/>
          <w:sz w:val="22"/>
          <w:szCs w:val="19"/>
        </w:rPr>
      </w:pPr>
      <w:r w:rsidRPr="0072612F">
        <w:rPr>
          <w:rFonts w:ascii="Franklin Gothic Book" w:hAnsi="Franklin Gothic Book"/>
          <w:sz w:val="22"/>
          <w:szCs w:val="19"/>
        </w:rPr>
        <w:t xml:space="preserve">Data Needs: </w:t>
      </w:r>
    </w:p>
    <w:p w14:paraId="08C15AA3" w14:textId="6E6A5D56" w:rsidR="00F80EA2" w:rsidRPr="0072612F" w:rsidRDefault="00F80EA2" w:rsidP="00960B64">
      <w:pPr>
        <w:pStyle w:val="ListParagraph"/>
        <w:numPr>
          <w:ilvl w:val="0"/>
          <w:numId w:val="36"/>
        </w:numPr>
        <w:spacing w:after="0" w:line="260" w:lineRule="exact"/>
        <w:ind w:left="720"/>
        <w:rPr>
          <w:rFonts w:ascii="Franklin Gothic Book" w:hAnsi="Franklin Gothic Book"/>
          <w:szCs w:val="19"/>
        </w:rPr>
      </w:pPr>
      <w:r w:rsidRPr="0072612F">
        <w:rPr>
          <w:rFonts w:ascii="Franklin Gothic Book" w:hAnsi="Franklin Gothic Book"/>
          <w:szCs w:val="19"/>
        </w:rPr>
        <w:t xml:space="preserve">Population served by sewer </w:t>
      </w:r>
    </w:p>
    <w:p w14:paraId="7CBEC25A" w14:textId="77777777" w:rsidR="00F80EA2" w:rsidRPr="0072612F" w:rsidRDefault="00F80EA2" w:rsidP="00960B64">
      <w:pPr>
        <w:pStyle w:val="ListParagraph"/>
        <w:numPr>
          <w:ilvl w:val="0"/>
          <w:numId w:val="36"/>
        </w:numPr>
        <w:spacing w:after="0" w:line="260" w:lineRule="exact"/>
        <w:ind w:left="720"/>
        <w:rPr>
          <w:rFonts w:ascii="Franklin Gothic Book" w:hAnsi="Franklin Gothic Book"/>
          <w:szCs w:val="19"/>
        </w:rPr>
      </w:pPr>
      <w:r w:rsidRPr="0072612F">
        <w:rPr>
          <w:rFonts w:ascii="Franklin Gothic Book" w:hAnsi="Franklin Gothic Book"/>
          <w:szCs w:val="19"/>
        </w:rPr>
        <w:t xml:space="preserve">Daily Nitrogen Load: Values in kg N/day are retrieved from COG Department of Environmental Programs Wastewater Modeler.  </w:t>
      </w:r>
    </w:p>
    <w:p w14:paraId="6668EF2C" w14:textId="64F0A594" w:rsidR="00F80EA2" w:rsidRPr="0072612F" w:rsidRDefault="00F80EA2" w:rsidP="00960B64">
      <w:pPr>
        <w:pStyle w:val="BodyText-COG"/>
        <w:contextualSpacing/>
      </w:pPr>
    </w:p>
    <w:p w14:paraId="7F0D063D" w14:textId="77777777" w:rsidR="00780C2E" w:rsidRPr="0072612F" w:rsidRDefault="00780C2E" w:rsidP="00960B64">
      <w:pPr>
        <w:pStyle w:val="BodyText-COG"/>
        <w:contextualSpacing/>
      </w:pPr>
    </w:p>
    <w:p w14:paraId="2F9C096F" w14:textId="77777777" w:rsidR="00F717F1" w:rsidRPr="00780C2E" w:rsidRDefault="00F717F1" w:rsidP="00780C2E">
      <w:pPr>
        <w:pStyle w:val="Level1Head-COG"/>
        <w:spacing w:before="0" w:after="0" w:line="240" w:lineRule="auto"/>
        <w:contextualSpacing/>
        <w:rPr>
          <w:rFonts w:ascii="Franklin Gothic Medium" w:hAnsi="Franklin Gothic Medium"/>
          <w:color w:val="auto"/>
        </w:rPr>
      </w:pPr>
      <w:bookmarkStart w:id="447" w:name="_Toc535399931"/>
      <w:bookmarkStart w:id="448" w:name="_Toc50968794"/>
      <w:bookmarkStart w:id="449" w:name="_Toc51077783"/>
      <w:r w:rsidRPr="00780C2E">
        <w:rPr>
          <w:rFonts w:ascii="Franklin Gothic Medium" w:hAnsi="Franklin Gothic Medium"/>
          <w:color w:val="auto"/>
        </w:rPr>
        <w:t>agriculture</w:t>
      </w:r>
      <w:bookmarkEnd w:id="447"/>
      <w:bookmarkEnd w:id="448"/>
      <w:bookmarkEnd w:id="449"/>
      <w:r w:rsidRPr="00780C2E">
        <w:rPr>
          <w:rFonts w:ascii="Franklin Gothic Medium" w:hAnsi="Franklin Gothic Medium"/>
          <w:color w:val="auto"/>
        </w:rPr>
        <w:t xml:space="preserve"> </w:t>
      </w:r>
    </w:p>
    <w:p w14:paraId="1022A538" w14:textId="77777777" w:rsidR="00F717F1" w:rsidRPr="00F717F1" w:rsidRDefault="00F717F1" w:rsidP="00960B64">
      <w:pPr>
        <w:pStyle w:val="BodyText-COG"/>
        <w:contextualSpacing/>
        <w:rPr>
          <w:highlight w:val="yellow"/>
        </w:rPr>
      </w:pPr>
    </w:p>
    <w:p w14:paraId="2D30F5CA" w14:textId="77777777" w:rsidR="00F717F1" w:rsidRPr="00B5416D" w:rsidRDefault="00F717F1" w:rsidP="00B5416D">
      <w:pPr>
        <w:pStyle w:val="Level3Head-COG"/>
        <w:spacing w:before="0" w:line="240" w:lineRule="auto"/>
        <w:contextualSpacing/>
      </w:pPr>
      <w:bookmarkStart w:id="450" w:name="_Toc535399933"/>
      <w:bookmarkStart w:id="451" w:name="_Toc50968795"/>
      <w:bookmarkStart w:id="452" w:name="_Toc51077784"/>
      <w:r w:rsidRPr="00B5416D">
        <w:t>emissions from agricultural activities</w:t>
      </w:r>
      <w:bookmarkEnd w:id="450"/>
      <w:bookmarkEnd w:id="451"/>
      <w:bookmarkEnd w:id="452"/>
      <w:r w:rsidRPr="00B5416D">
        <w:t xml:space="preserve"> </w:t>
      </w:r>
    </w:p>
    <w:p w14:paraId="4AF304A8" w14:textId="77777777" w:rsidR="00F717F1" w:rsidRPr="00B5416D" w:rsidRDefault="00F717F1" w:rsidP="00B5416D">
      <w:pPr>
        <w:pStyle w:val="Level4Head-COG"/>
        <w:spacing w:line="240" w:lineRule="auto"/>
        <w:contextualSpacing/>
        <w:rPr>
          <w:u w:val="single"/>
        </w:rPr>
      </w:pPr>
    </w:p>
    <w:p w14:paraId="680675A0" w14:textId="77777777" w:rsidR="00F717F1" w:rsidRPr="00B5416D" w:rsidRDefault="00F717F1" w:rsidP="00960B64">
      <w:pPr>
        <w:pStyle w:val="Level4Head-COG"/>
        <w:contextualSpacing/>
      </w:pPr>
      <w:r w:rsidRPr="00B5416D">
        <w:t xml:space="preserve">Enteric Fermentation </w:t>
      </w:r>
    </w:p>
    <w:p w14:paraId="5ADB57BC" w14:textId="77777777" w:rsidR="00F717F1" w:rsidRPr="00B5416D" w:rsidRDefault="00F717F1" w:rsidP="00960B64">
      <w:pPr>
        <w:pStyle w:val="Level5Head-COG"/>
        <w:spacing w:line="260" w:lineRule="exact"/>
        <w:contextualSpacing/>
      </w:pPr>
      <w:r w:rsidRPr="00B5416D">
        <w:t>Description</w:t>
      </w:r>
    </w:p>
    <w:p w14:paraId="2BC1B49E" w14:textId="38AEB98E" w:rsidR="00F717F1" w:rsidRPr="00B5416D" w:rsidRDefault="00F717F1" w:rsidP="00960B64">
      <w:pPr>
        <w:spacing w:line="260" w:lineRule="exact"/>
        <w:contextualSpacing/>
        <w:rPr>
          <w:rFonts w:ascii="Franklin Gothic Book" w:hAnsi="Franklin Gothic Book"/>
          <w:sz w:val="22"/>
          <w:szCs w:val="22"/>
        </w:rPr>
      </w:pPr>
      <w:r w:rsidRPr="00B5416D">
        <w:rPr>
          <w:rFonts w:ascii="Franklin Gothic Book" w:hAnsi="Franklin Gothic Book"/>
          <w:sz w:val="22"/>
          <w:szCs w:val="22"/>
        </w:rPr>
        <w:t>Enteric Fermentation accounts for the methane produced from animal digestion in cows, sheep, goats, swine, and horses. According the USCP, enteric fermentation accounts for 25</w:t>
      </w:r>
      <w:r w:rsidR="00186366">
        <w:rPr>
          <w:rFonts w:ascii="Franklin Gothic Book" w:hAnsi="Franklin Gothic Book"/>
          <w:sz w:val="22"/>
          <w:szCs w:val="22"/>
        </w:rPr>
        <w:t xml:space="preserve"> percent</w:t>
      </w:r>
      <w:r w:rsidRPr="00B5416D">
        <w:rPr>
          <w:rFonts w:ascii="Franklin Gothic Book" w:hAnsi="Franklin Gothic Book"/>
          <w:sz w:val="22"/>
          <w:szCs w:val="22"/>
        </w:rPr>
        <w:t xml:space="preserve"> of nationwide methane emissions from anthropogenic activities. The U.S. EPA report titled ‘User’s Guide for Estimating Methane and Nitrous Oxide Emissions from Agriculture Using the State Inventory Tool’ states that a higher quality of feed produces lower emissions from these animals. </w:t>
      </w:r>
    </w:p>
    <w:p w14:paraId="413AEBC3" w14:textId="77777777" w:rsidR="00F717F1" w:rsidRPr="00B5416D" w:rsidRDefault="00F717F1" w:rsidP="00960B64">
      <w:pPr>
        <w:spacing w:line="260" w:lineRule="exact"/>
        <w:ind w:left="1440"/>
        <w:contextualSpacing/>
        <w:rPr>
          <w:rFonts w:ascii="Franklin Gothic Book" w:hAnsi="Franklin Gothic Book"/>
          <w:szCs w:val="19"/>
        </w:rPr>
      </w:pPr>
    </w:p>
    <w:p w14:paraId="0C7373EE" w14:textId="77777777" w:rsidR="00F717F1" w:rsidRPr="00D176AF" w:rsidRDefault="00F717F1" w:rsidP="00960B64">
      <w:pPr>
        <w:pStyle w:val="Level5Head-COG"/>
        <w:spacing w:line="260" w:lineRule="exact"/>
        <w:contextualSpacing/>
      </w:pPr>
      <w:r w:rsidRPr="00D176AF">
        <w:t xml:space="preserve">methodology </w:t>
      </w:r>
    </w:p>
    <w:p w14:paraId="44332E01" w14:textId="77777777" w:rsidR="00F717F1" w:rsidRPr="00D176AF" w:rsidRDefault="00F717F1" w:rsidP="00960B64">
      <w:pPr>
        <w:pStyle w:val="BodyText-COG"/>
        <w:contextualSpacing/>
      </w:pPr>
      <w:r w:rsidRPr="00D176AF">
        <w:t>The U.S. EPA’s Emission Inventory Improvement Program developed a series of Excel-based State GHG Inventory Tools, which include an Agriculture Module. The Ag Module calculates methane (CH</w:t>
      </w:r>
      <w:r w:rsidRPr="00D176AF">
        <w:rPr>
          <w:vertAlign w:val="subscript"/>
        </w:rPr>
        <w:t>4</w:t>
      </w:r>
      <w:r w:rsidRPr="00D176AF">
        <w:t>) and nitrous oxide (N</w:t>
      </w:r>
      <w:r w:rsidRPr="00D176AF">
        <w:rPr>
          <w:vertAlign w:val="subscript"/>
        </w:rPr>
        <w:t>2</w:t>
      </w:r>
      <w:r w:rsidRPr="00D176AF">
        <w:t xml:space="preserve">O) emissions from the agricultural sources. Agricultural sources and activities </w:t>
      </w:r>
      <w:r w:rsidRPr="00D176AF">
        <w:lastRenderedPageBreak/>
        <w:t>relevant to metropolitan Washington were calculated using this tool including Enteric Fermentation, Manure Management, and Ag Soils. The module takes your data inputs and applies state-specific data and factors to calculate emissions. The methodologies applied in the tool are generally consistent with EPA’s Inventory of U.S. Greenhouse Gas Emissions and Sinks.</w:t>
      </w:r>
    </w:p>
    <w:p w14:paraId="7A78AD35" w14:textId="77777777" w:rsidR="00F717F1" w:rsidRPr="00D176AF" w:rsidRDefault="00F717F1" w:rsidP="00960B64">
      <w:pPr>
        <w:pStyle w:val="BodyText-COG"/>
        <w:contextualSpacing/>
        <w:rPr>
          <w:rFonts w:ascii="Arial" w:hAnsi="Arial" w:cs="Arial"/>
          <w:color w:val="000000"/>
          <w:sz w:val="20"/>
          <w:szCs w:val="20"/>
          <w:shd w:val="clear" w:color="auto" w:fill="FFFFFF"/>
        </w:rPr>
      </w:pPr>
    </w:p>
    <w:p w14:paraId="0299CA16" w14:textId="77777777" w:rsidR="00F717F1" w:rsidRPr="00D176AF" w:rsidRDefault="00F717F1" w:rsidP="00960B64">
      <w:pPr>
        <w:pStyle w:val="BodyText-COG"/>
        <w:contextualSpacing/>
        <w:rPr>
          <w:rFonts w:cs="Arial"/>
          <w:color w:val="auto"/>
          <w:spacing w:val="11"/>
          <w:szCs w:val="22"/>
          <w:shd w:val="clear" w:color="auto" w:fill="FFFFFF"/>
        </w:rPr>
      </w:pPr>
      <w:r w:rsidRPr="00D176AF">
        <w:t xml:space="preserve">The USCP does offer similar suggested calculations for enteric fermentation and manure management, where national default factors are applied. While Ag emissions calculated offline can be documented in ClearPath, it does not currently offer a calculator that estimates emissions. </w:t>
      </w:r>
      <w:proofErr w:type="gramStart"/>
      <w:r w:rsidRPr="00D176AF">
        <w:t>At this time</w:t>
      </w:r>
      <w:proofErr w:type="gramEnd"/>
      <w:r w:rsidRPr="00D176AF">
        <w:t xml:space="preserve">, EPA’s State Inventory Tool offers the most streamlined calculation process with the most locally relevant default factors for COG’s GHG inventory work. </w:t>
      </w:r>
      <w:r w:rsidRPr="00D176AF">
        <w:rPr>
          <w:rFonts w:cs="Arial"/>
          <w:color w:val="auto"/>
          <w:spacing w:val="11"/>
          <w:szCs w:val="22"/>
          <w:shd w:val="clear" w:color="auto" w:fill="FFFFFF"/>
        </w:rPr>
        <w:t xml:space="preserve"> </w:t>
      </w:r>
    </w:p>
    <w:p w14:paraId="60EA5CF8" w14:textId="77777777" w:rsidR="00F717F1" w:rsidRPr="00F717F1" w:rsidRDefault="00F717F1" w:rsidP="00960B64">
      <w:pPr>
        <w:pStyle w:val="BodyText-COG"/>
        <w:contextualSpacing/>
        <w:rPr>
          <w:highlight w:val="yellow"/>
        </w:rPr>
      </w:pPr>
    </w:p>
    <w:p w14:paraId="19FD9208" w14:textId="77777777" w:rsidR="00F717F1" w:rsidRPr="004A1CD3" w:rsidRDefault="00F717F1" w:rsidP="00960B64">
      <w:pPr>
        <w:pStyle w:val="Level5Head-COG"/>
        <w:spacing w:line="260" w:lineRule="exact"/>
        <w:contextualSpacing/>
      </w:pPr>
      <w:r w:rsidRPr="004A1CD3">
        <w:t>Data Collection</w:t>
      </w:r>
    </w:p>
    <w:p w14:paraId="39A3E88B" w14:textId="77777777" w:rsidR="004A1CD3" w:rsidRPr="004A1CD3" w:rsidRDefault="004A1CD3" w:rsidP="004A1CD3">
      <w:pPr>
        <w:pStyle w:val="BodyText-COG"/>
        <w:spacing w:line="240" w:lineRule="auto"/>
        <w:rPr>
          <w:rFonts w:cs="Arial"/>
          <w:color w:val="auto"/>
          <w:spacing w:val="11"/>
          <w:szCs w:val="22"/>
          <w:shd w:val="clear" w:color="auto" w:fill="FFFFFF"/>
        </w:rPr>
      </w:pPr>
      <w:r w:rsidRPr="004A1CD3">
        <w:rPr>
          <w:rFonts w:cs="Arial"/>
          <w:color w:val="auto"/>
          <w:szCs w:val="22"/>
          <w:shd w:val="clear" w:color="auto" w:fill="FFFFFF"/>
        </w:rPr>
        <w:t xml:space="preserve">Metropolitan Washington data inputs into the EPA’s State GHG Inventory Tool are pulled at the county-scale from the EPA Chesapeake Bay </w:t>
      </w:r>
      <w:r w:rsidRPr="004A1CD3">
        <w:rPr>
          <w:rFonts w:cs="Arial"/>
          <w:szCs w:val="22"/>
          <w:shd w:val="clear" w:color="auto" w:fill="FFFFFF"/>
        </w:rPr>
        <w:t>Program’s Chesapeake Assessment Scenario Tool (CAST). CAST is a web-based nitrogen, phosphorus and sediment load estimator tool that streamlines environmental planning.</w:t>
      </w:r>
    </w:p>
    <w:p w14:paraId="0A5E8F14" w14:textId="77777777" w:rsidR="00F717F1" w:rsidRPr="004A1CD3" w:rsidRDefault="00F717F1" w:rsidP="00960B64">
      <w:pPr>
        <w:spacing w:line="260" w:lineRule="exact"/>
        <w:contextualSpacing/>
        <w:rPr>
          <w:rFonts w:ascii="Franklin Gothic Book" w:hAnsi="Franklin Gothic Book"/>
          <w:sz w:val="22"/>
          <w:szCs w:val="19"/>
        </w:rPr>
      </w:pPr>
    </w:p>
    <w:p w14:paraId="68A3ABF5" w14:textId="77777777" w:rsidR="00F717F1" w:rsidRPr="004A1CD3" w:rsidRDefault="00F717F1" w:rsidP="00960B64">
      <w:pPr>
        <w:spacing w:line="260" w:lineRule="exact"/>
        <w:contextualSpacing/>
        <w:rPr>
          <w:rFonts w:ascii="Franklin Gothic Book" w:hAnsi="Franklin Gothic Book"/>
          <w:sz w:val="22"/>
          <w:szCs w:val="19"/>
        </w:rPr>
      </w:pPr>
      <w:r w:rsidRPr="004A1CD3">
        <w:rPr>
          <w:rFonts w:ascii="Franklin Gothic Book" w:hAnsi="Franklin Gothic Book"/>
          <w:sz w:val="22"/>
          <w:szCs w:val="19"/>
        </w:rPr>
        <w:t xml:space="preserve">Data Needs: </w:t>
      </w:r>
    </w:p>
    <w:p w14:paraId="6A08D0F6" w14:textId="77777777" w:rsidR="00F717F1" w:rsidRPr="004A1CD3" w:rsidRDefault="00F717F1" w:rsidP="00960B64">
      <w:pPr>
        <w:pStyle w:val="ListParagraph"/>
        <w:numPr>
          <w:ilvl w:val="0"/>
          <w:numId w:val="37"/>
        </w:numPr>
        <w:spacing w:after="0" w:line="260" w:lineRule="exact"/>
        <w:rPr>
          <w:rFonts w:ascii="Franklin Gothic Book" w:hAnsi="Franklin Gothic Book"/>
          <w:szCs w:val="19"/>
        </w:rPr>
      </w:pPr>
      <w:r w:rsidRPr="004A1CD3">
        <w:rPr>
          <w:rFonts w:ascii="Franklin Gothic Book" w:hAnsi="Franklin Gothic Book"/>
          <w:szCs w:val="19"/>
        </w:rPr>
        <w:t xml:space="preserve">Livestock: Livestock population (‘000 head) for dairy cows, beef cattle, sheep, goats, swine, horses derived from the Chesapeake Assessment Scenario Tool. </w:t>
      </w:r>
    </w:p>
    <w:p w14:paraId="568C3E04" w14:textId="260F11E9" w:rsidR="00F717F1" w:rsidRPr="00F717F1" w:rsidRDefault="00F717F1" w:rsidP="00960B64">
      <w:pPr>
        <w:pStyle w:val="BodyText-COG"/>
        <w:contextualSpacing/>
        <w:rPr>
          <w:highlight w:val="yellow"/>
        </w:rPr>
      </w:pPr>
    </w:p>
    <w:p w14:paraId="0009C0C1" w14:textId="77777777" w:rsidR="00F717F1" w:rsidRPr="00FC620C" w:rsidRDefault="00F717F1" w:rsidP="00960B64">
      <w:pPr>
        <w:pStyle w:val="Level4Head-COG"/>
        <w:contextualSpacing/>
      </w:pPr>
      <w:r w:rsidRPr="00FC620C">
        <w:t xml:space="preserve">Manure Management </w:t>
      </w:r>
    </w:p>
    <w:p w14:paraId="11346F7A" w14:textId="77777777" w:rsidR="00F717F1" w:rsidRPr="00FC620C" w:rsidRDefault="00F717F1" w:rsidP="00960B64">
      <w:pPr>
        <w:pStyle w:val="Level5Head-COG"/>
        <w:spacing w:line="260" w:lineRule="exact"/>
        <w:contextualSpacing/>
      </w:pPr>
      <w:r w:rsidRPr="00FC620C">
        <w:t>Description</w:t>
      </w:r>
    </w:p>
    <w:p w14:paraId="23A55A1D" w14:textId="77777777" w:rsidR="00F717F1" w:rsidRPr="00FC620C" w:rsidRDefault="00F717F1" w:rsidP="00960B64">
      <w:pPr>
        <w:spacing w:line="260" w:lineRule="exact"/>
        <w:contextualSpacing/>
        <w:rPr>
          <w:rFonts w:ascii="Franklin Gothic Book" w:hAnsi="Franklin Gothic Book"/>
          <w:sz w:val="22"/>
          <w:szCs w:val="22"/>
        </w:rPr>
      </w:pPr>
      <w:r w:rsidRPr="00FC620C">
        <w:rPr>
          <w:rFonts w:ascii="Franklin Gothic Book" w:hAnsi="Franklin Gothic Book"/>
          <w:sz w:val="22"/>
          <w:szCs w:val="22"/>
        </w:rPr>
        <w:t xml:space="preserve">Manure Management accounts for emissions from management systems that stabilize or store livestock manure. It accounts for manure from dairy cows, beef cattle, sheep, goats, swine, </w:t>
      </w:r>
      <w:proofErr w:type="gramStart"/>
      <w:r w:rsidRPr="00FC620C">
        <w:rPr>
          <w:rFonts w:ascii="Franklin Gothic Book" w:hAnsi="Franklin Gothic Book"/>
          <w:sz w:val="22"/>
          <w:szCs w:val="22"/>
        </w:rPr>
        <w:t>horses</w:t>
      </w:r>
      <w:proofErr w:type="gramEnd"/>
      <w:r w:rsidRPr="00FC620C">
        <w:rPr>
          <w:rFonts w:ascii="Franklin Gothic Book" w:hAnsi="Franklin Gothic Book"/>
          <w:sz w:val="22"/>
          <w:szCs w:val="22"/>
        </w:rPr>
        <w:t xml:space="preserve"> and poultry operations. Methane (CH</w:t>
      </w:r>
      <w:r w:rsidRPr="00FC620C">
        <w:rPr>
          <w:rFonts w:ascii="Franklin Gothic Book" w:hAnsi="Franklin Gothic Book"/>
          <w:sz w:val="22"/>
          <w:szCs w:val="22"/>
          <w:vertAlign w:val="subscript"/>
        </w:rPr>
        <w:t>4</w:t>
      </w:r>
      <w:r w:rsidRPr="00FC620C">
        <w:rPr>
          <w:rFonts w:ascii="Franklin Gothic Book" w:hAnsi="Franklin Gothic Book"/>
          <w:sz w:val="22"/>
          <w:szCs w:val="22"/>
        </w:rPr>
        <w:t>) is a natural by-product of manure decomposition and nitrous oxide (N</w:t>
      </w:r>
      <w:r w:rsidRPr="00FC620C">
        <w:rPr>
          <w:rFonts w:ascii="Franklin Gothic Book" w:hAnsi="Franklin Gothic Book"/>
          <w:sz w:val="22"/>
          <w:szCs w:val="22"/>
          <w:vertAlign w:val="subscript"/>
        </w:rPr>
        <w:t>2</w:t>
      </w:r>
      <w:r w:rsidRPr="00FC620C">
        <w:rPr>
          <w:rFonts w:ascii="Franklin Gothic Book" w:hAnsi="Franklin Gothic Book"/>
          <w:sz w:val="22"/>
          <w:szCs w:val="22"/>
        </w:rPr>
        <w:t xml:space="preserve">O) is also produced during the storage and treatment of animal manure. </w:t>
      </w:r>
    </w:p>
    <w:p w14:paraId="197ED3E9" w14:textId="77777777" w:rsidR="00F717F1" w:rsidRPr="00FC620C" w:rsidRDefault="00F717F1" w:rsidP="00960B64">
      <w:pPr>
        <w:spacing w:line="260" w:lineRule="exact"/>
        <w:contextualSpacing/>
        <w:rPr>
          <w:rFonts w:ascii="Franklin Gothic Book" w:hAnsi="Franklin Gothic Book"/>
          <w:sz w:val="22"/>
          <w:szCs w:val="22"/>
        </w:rPr>
      </w:pPr>
    </w:p>
    <w:p w14:paraId="31945CF3" w14:textId="77777777" w:rsidR="00F717F1" w:rsidRPr="00FC620C" w:rsidRDefault="00F717F1" w:rsidP="00960B64">
      <w:pPr>
        <w:spacing w:line="260" w:lineRule="exact"/>
        <w:contextualSpacing/>
        <w:rPr>
          <w:rFonts w:ascii="Franklin Gothic Book" w:hAnsi="Franklin Gothic Book"/>
          <w:sz w:val="22"/>
          <w:szCs w:val="22"/>
        </w:rPr>
      </w:pPr>
      <w:r w:rsidRPr="00FC620C">
        <w:rPr>
          <w:rFonts w:ascii="Franklin Gothic Book" w:hAnsi="Franklin Gothic Book"/>
          <w:sz w:val="22"/>
          <w:szCs w:val="22"/>
        </w:rPr>
        <w:t>The U.S. EPA report titled ‘User’s Guide for Estimating Methane and Nitrous Oxide Emissions from Agriculture Using the State Inventory Tool’ states that the greater energy content of the feed results in an increased capacity to produce CH</w:t>
      </w:r>
      <w:r w:rsidRPr="00FC620C">
        <w:rPr>
          <w:rFonts w:ascii="Franklin Gothic Book" w:hAnsi="Franklin Gothic Book"/>
          <w:sz w:val="22"/>
          <w:szCs w:val="22"/>
          <w:vertAlign w:val="subscript"/>
        </w:rPr>
        <w:t>4</w:t>
      </w:r>
      <w:r w:rsidRPr="00FC620C">
        <w:rPr>
          <w:rFonts w:ascii="Franklin Gothic Book" w:hAnsi="Franklin Gothic Book"/>
          <w:sz w:val="22"/>
          <w:szCs w:val="22"/>
        </w:rPr>
        <w:t xml:space="preserve"> in manure. In addition, the report states that the amount of N2O released depends on the system and duration of waste management. </w:t>
      </w:r>
    </w:p>
    <w:p w14:paraId="23BE9ECF" w14:textId="77777777" w:rsidR="00F717F1" w:rsidRPr="00FC620C" w:rsidRDefault="00F717F1" w:rsidP="00960B64">
      <w:pPr>
        <w:spacing w:line="260" w:lineRule="exact"/>
        <w:ind w:left="1440"/>
        <w:contextualSpacing/>
        <w:rPr>
          <w:rFonts w:ascii="Franklin Gothic Book" w:hAnsi="Franklin Gothic Book"/>
          <w:szCs w:val="19"/>
        </w:rPr>
      </w:pPr>
    </w:p>
    <w:p w14:paraId="62DF3E71" w14:textId="77777777" w:rsidR="00F717F1" w:rsidRPr="00FA2B0B" w:rsidRDefault="00F717F1" w:rsidP="00960B64">
      <w:pPr>
        <w:pStyle w:val="Level5Head-COG"/>
        <w:spacing w:line="260" w:lineRule="exact"/>
        <w:contextualSpacing/>
      </w:pPr>
      <w:r w:rsidRPr="00FA2B0B">
        <w:t xml:space="preserve">methodology </w:t>
      </w:r>
    </w:p>
    <w:p w14:paraId="296B6DB0" w14:textId="77777777" w:rsidR="00F717F1" w:rsidRPr="00FA2B0B" w:rsidRDefault="00F717F1" w:rsidP="00960B64">
      <w:pPr>
        <w:pStyle w:val="BodyText-COG"/>
        <w:contextualSpacing/>
      </w:pPr>
      <w:r w:rsidRPr="00FA2B0B">
        <w:t>EPA’s Emission Inventory Improvement Program developed a series of Excel-based State GHG Inventory Tools, which include an Agriculture Module. The Ag Module calculates CH</w:t>
      </w:r>
      <w:r w:rsidRPr="00FA2B0B">
        <w:rPr>
          <w:vertAlign w:val="subscript"/>
        </w:rPr>
        <w:t>4</w:t>
      </w:r>
      <w:r w:rsidRPr="00FA2B0B">
        <w:t xml:space="preserve"> and N</w:t>
      </w:r>
      <w:r w:rsidRPr="00FA2B0B">
        <w:rPr>
          <w:vertAlign w:val="subscript"/>
        </w:rPr>
        <w:t>2</w:t>
      </w:r>
      <w:r w:rsidRPr="00FA2B0B">
        <w:t>O emissions from the agricultural sources. Agricultural sources and activities relevant to metropolitan Washington were calculated using this tool including Enteric Fermentation, Manure Management, and Ag Soils. The module takes your data inputs and applies state-specific data and factors to calculate emissions. The methodologies applied in the tool are generally consistent with EPA’s Inventory of U.S. Greenhouse Gas Emissions and Sinks.</w:t>
      </w:r>
    </w:p>
    <w:p w14:paraId="195BBD5A" w14:textId="77777777" w:rsidR="00F717F1" w:rsidRPr="00FA2B0B" w:rsidRDefault="00F717F1" w:rsidP="00960B64">
      <w:pPr>
        <w:pStyle w:val="BodyText-COG"/>
        <w:contextualSpacing/>
        <w:rPr>
          <w:rFonts w:ascii="Arial" w:hAnsi="Arial" w:cs="Arial"/>
          <w:color w:val="000000"/>
          <w:sz w:val="20"/>
          <w:szCs w:val="20"/>
          <w:shd w:val="clear" w:color="auto" w:fill="FFFFFF"/>
        </w:rPr>
      </w:pPr>
    </w:p>
    <w:p w14:paraId="6F7BD2F3" w14:textId="11FEC244" w:rsidR="00F717F1" w:rsidRPr="00FA2B0B" w:rsidRDefault="00F717F1" w:rsidP="00960B64">
      <w:pPr>
        <w:pStyle w:val="BodyText-COG"/>
        <w:contextualSpacing/>
        <w:rPr>
          <w:rFonts w:cs="Arial"/>
          <w:color w:val="auto"/>
          <w:spacing w:val="11"/>
          <w:szCs w:val="22"/>
          <w:shd w:val="clear" w:color="auto" w:fill="FFFFFF"/>
        </w:rPr>
      </w:pPr>
      <w:r w:rsidRPr="00FA2B0B">
        <w:t>The</w:t>
      </w:r>
      <w:r w:rsidR="00186366">
        <w:t xml:space="preserve"> USCP</w:t>
      </w:r>
      <w:r w:rsidRPr="00FA2B0B">
        <w:t xml:space="preserve"> does offer similar suggested calculations for enteric fermentation and manure management, where national default factors are applied. While Ag emissions calculated offline can be documented in ClearPath, it does not currently offer a calculator that estimates emissions. </w:t>
      </w:r>
      <w:proofErr w:type="gramStart"/>
      <w:r w:rsidRPr="00FA2B0B">
        <w:t>At this time</w:t>
      </w:r>
      <w:proofErr w:type="gramEnd"/>
      <w:r w:rsidRPr="00FA2B0B">
        <w:t xml:space="preserve">, EPA’s State Inventory Tool offers the most streamlined calculation process with the most locally relevant default factors for COG’s GHG inventory work. </w:t>
      </w:r>
      <w:r w:rsidRPr="00FA2B0B">
        <w:rPr>
          <w:rFonts w:cs="Arial"/>
          <w:color w:val="auto"/>
          <w:spacing w:val="11"/>
          <w:szCs w:val="22"/>
          <w:shd w:val="clear" w:color="auto" w:fill="FFFFFF"/>
        </w:rPr>
        <w:t xml:space="preserve"> </w:t>
      </w:r>
    </w:p>
    <w:p w14:paraId="7C58A963" w14:textId="3936E9CC" w:rsidR="00F717F1" w:rsidRDefault="00F717F1" w:rsidP="00960B64">
      <w:pPr>
        <w:pStyle w:val="BodyText-COG"/>
        <w:contextualSpacing/>
      </w:pPr>
    </w:p>
    <w:p w14:paraId="0AB409C2" w14:textId="589A54E1" w:rsidR="002B3D90" w:rsidRDefault="002B3D90" w:rsidP="00960B64">
      <w:pPr>
        <w:pStyle w:val="BodyText-COG"/>
        <w:contextualSpacing/>
      </w:pPr>
    </w:p>
    <w:p w14:paraId="33B726A9" w14:textId="77777777" w:rsidR="002B3D90" w:rsidRPr="00FA2B0B" w:rsidRDefault="002B3D90" w:rsidP="00960B64">
      <w:pPr>
        <w:pStyle w:val="BodyText-COG"/>
        <w:contextualSpacing/>
      </w:pPr>
    </w:p>
    <w:p w14:paraId="70673791" w14:textId="77777777" w:rsidR="00F717F1" w:rsidRPr="00FA2B0B" w:rsidRDefault="00F717F1" w:rsidP="00960B64">
      <w:pPr>
        <w:pStyle w:val="Level5Head-COG"/>
        <w:spacing w:line="260" w:lineRule="exact"/>
        <w:contextualSpacing/>
      </w:pPr>
      <w:r w:rsidRPr="00FA2B0B">
        <w:lastRenderedPageBreak/>
        <w:t>Data Collection</w:t>
      </w:r>
    </w:p>
    <w:p w14:paraId="28045FC2" w14:textId="77777777" w:rsidR="00FA2B0B" w:rsidRPr="00FA2B0B" w:rsidRDefault="00FA2B0B" w:rsidP="00FA2B0B">
      <w:pPr>
        <w:pStyle w:val="BodyText-COG"/>
        <w:spacing w:line="240" w:lineRule="auto"/>
        <w:rPr>
          <w:rFonts w:cs="Arial"/>
          <w:color w:val="auto"/>
          <w:spacing w:val="11"/>
          <w:szCs w:val="22"/>
          <w:shd w:val="clear" w:color="auto" w:fill="FFFFFF"/>
        </w:rPr>
      </w:pPr>
      <w:r w:rsidRPr="00FA2B0B">
        <w:rPr>
          <w:rFonts w:cs="Arial"/>
          <w:color w:val="auto"/>
          <w:szCs w:val="22"/>
          <w:shd w:val="clear" w:color="auto" w:fill="FFFFFF"/>
        </w:rPr>
        <w:t xml:space="preserve">Metropolitan Washington data inputs into the EPA’s State GHG Inventory Tool are pulled at the county-scale from the EPA Chesapeake Bay </w:t>
      </w:r>
      <w:r w:rsidRPr="00FA2B0B">
        <w:rPr>
          <w:rFonts w:cs="Arial"/>
          <w:szCs w:val="22"/>
          <w:shd w:val="clear" w:color="auto" w:fill="FFFFFF"/>
        </w:rPr>
        <w:t>Program’s Chesapeake Assessment Scenario Tool (CAST). CAST is a web-based nitrogen, phosphorus and sediment load estimator tool that streamlines environmental planning.</w:t>
      </w:r>
    </w:p>
    <w:p w14:paraId="1C74C5D5" w14:textId="77777777" w:rsidR="00F717F1" w:rsidRPr="00FA2B0B" w:rsidRDefault="00F717F1" w:rsidP="00960B64">
      <w:pPr>
        <w:spacing w:line="260" w:lineRule="exact"/>
        <w:ind w:left="2160"/>
        <w:contextualSpacing/>
        <w:rPr>
          <w:rFonts w:ascii="Franklin Gothic Book" w:hAnsi="Franklin Gothic Book"/>
          <w:sz w:val="22"/>
          <w:szCs w:val="19"/>
        </w:rPr>
      </w:pPr>
    </w:p>
    <w:p w14:paraId="46D63B78" w14:textId="77777777" w:rsidR="00F717F1" w:rsidRPr="00FA2B0B" w:rsidRDefault="00F717F1" w:rsidP="00960B64">
      <w:pPr>
        <w:spacing w:line="260" w:lineRule="exact"/>
        <w:contextualSpacing/>
        <w:rPr>
          <w:rFonts w:ascii="Franklin Gothic Book" w:hAnsi="Franklin Gothic Book"/>
          <w:sz w:val="22"/>
          <w:szCs w:val="19"/>
        </w:rPr>
      </w:pPr>
      <w:r w:rsidRPr="00FA2B0B">
        <w:rPr>
          <w:rFonts w:ascii="Franklin Gothic Book" w:hAnsi="Franklin Gothic Book"/>
          <w:sz w:val="22"/>
          <w:szCs w:val="19"/>
        </w:rPr>
        <w:t xml:space="preserve">Data Needs: </w:t>
      </w:r>
    </w:p>
    <w:p w14:paraId="23B44230" w14:textId="77777777" w:rsidR="00F717F1" w:rsidRPr="00FA2B0B" w:rsidRDefault="00F717F1" w:rsidP="00960B64">
      <w:pPr>
        <w:pStyle w:val="ListParagraph"/>
        <w:numPr>
          <w:ilvl w:val="0"/>
          <w:numId w:val="37"/>
        </w:numPr>
        <w:spacing w:after="0" w:line="260" w:lineRule="exact"/>
        <w:rPr>
          <w:rFonts w:ascii="Franklin Gothic Book" w:hAnsi="Franklin Gothic Book"/>
          <w:szCs w:val="19"/>
        </w:rPr>
      </w:pPr>
      <w:r w:rsidRPr="00FA2B0B">
        <w:rPr>
          <w:rFonts w:ascii="Franklin Gothic Book" w:hAnsi="Franklin Gothic Book"/>
          <w:szCs w:val="19"/>
        </w:rPr>
        <w:t xml:space="preserve">Livestock: Livestock population (‘000 head) for dairy cows, beef cattle, sheep, goats, swine, horses, pullets, chickens, broilers, and turkeys from the Chesapeake Assessment Scenario Tool. </w:t>
      </w:r>
    </w:p>
    <w:p w14:paraId="4D779428" w14:textId="77777777" w:rsidR="00431B81" w:rsidRPr="00431B81" w:rsidRDefault="00431B81" w:rsidP="00960B64">
      <w:pPr>
        <w:pStyle w:val="BodyText-COG"/>
        <w:contextualSpacing/>
        <w:rPr>
          <w:highlight w:val="yellow"/>
        </w:rPr>
      </w:pPr>
    </w:p>
    <w:p w14:paraId="7F7B9B05" w14:textId="77777777" w:rsidR="00431B81" w:rsidRPr="000935B9" w:rsidRDefault="00431B81" w:rsidP="00960B64">
      <w:pPr>
        <w:pStyle w:val="Level4Head-COG"/>
        <w:contextualSpacing/>
      </w:pPr>
      <w:r w:rsidRPr="000935B9">
        <w:t xml:space="preserve">Ag Soils </w:t>
      </w:r>
    </w:p>
    <w:p w14:paraId="43F6FC83" w14:textId="77777777" w:rsidR="00431B81" w:rsidRPr="000935B9" w:rsidRDefault="00431B81" w:rsidP="00960B64">
      <w:pPr>
        <w:pStyle w:val="Level5Head-COG"/>
        <w:spacing w:line="260" w:lineRule="exact"/>
        <w:contextualSpacing/>
      </w:pPr>
      <w:r w:rsidRPr="000935B9">
        <w:t>Description</w:t>
      </w:r>
    </w:p>
    <w:p w14:paraId="7542046E" w14:textId="77777777" w:rsidR="00431B81" w:rsidRPr="000935B9" w:rsidRDefault="00431B81" w:rsidP="00960B64">
      <w:pPr>
        <w:spacing w:line="260" w:lineRule="exact"/>
        <w:contextualSpacing/>
        <w:rPr>
          <w:rFonts w:ascii="Franklin Gothic Book" w:hAnsi="Franklin Gothic Book"/>
          <w:sz w:val="22"/>
          <w:szCs w:val="22"/>
        </w:rPr>
      </w:pPr>
      <w:r w:rsidRPr="000935B9">
        <w:rPr>
          <w:rFonts w:ascii="Franklin Gothic Book" w:hAnsi="Franklin Gothic Book"/>
          <w:sz w:val="22"/>
          <w:szCs w:val="22"/>
        </w:rPr>
        <w:t>Ag Soils account for nitrous oxide (N</w:t>
      </w:r>
      <w:r w:rsidRPr="000935B9">
        <w:rPr>
          <w:rFonts w:ascii="Franklin Gothic Book" w:hAnsi="Franklin Gothic Book"/>
          <w:sz w:val="22"/>
          <w:szCs w:val="22"/>
          <w:vertAlign w:val="subscript"/>
        </w:rPr>
        <w:t>2</w:t>
      </w:r>
      <w:r w:rsidRPr="000935B9">
        <w:rPr>
          <w:rFonts w:ascii="Franklin Gothic Book" w:hAnsi="Franklin Gothic Book"/>
          <w:sz w:val="22"/>
          <w:szCs w:val="22"/>
        </w:rPr>
        <w:t>O) emissions from animals, crop production, and fertilizer application. The U.S. EPA report titled ‘User’s Guide for Estimating Methane and Nitrous Oxide Emissions from Agriculture Using the State Inventory Tool’ states that N</w:t>
      </w:r>
      <w:r w:rsidRPr="000935B9">
        <w:rPr>
          <w:rFonts w:ascii="Franklin Gothic Book" w:hAnsi="Franklin Gothic Book"/>
          <w:sz w:val="22"/>
          <w:szCs w:val="22"/>
          <w:vertAlign w:val="subscript"/>
        </w:rPr>
        <w:t>2</w:t>
      </w:r>
      <w:r w:rsidRPr="000935B9">
        <w:rPr>
          <w:rFonts w:ascii="Franklin Gothic Book" w:hAnsi="Franklin Gothic Book"/>
          <w:sz w:val="22"/>
          <w:szCs w:val="22"/>
        </w:rPr>
        <w:t>O is naturally produced in soils; however, animal and crop management practices and fertilizer application increase the amount of N</w:t>
      </w:r>
      <w:r w:rsidRPr="000935B9">
        <w:rPr>
          <w:rFonts w:ascii="Franklin Gothic Book" w:hAnsi="Franklin Gothic Book"/>
          <w:sz w:val="22"/>
          <w:szCs w:val="22"/>
          <w:vertAlign w:val="subscript"/>
        </w:rPr>
        <w:t>2</w:t>
      </w:r>
      <w:r w:rsidRPr="000935B9">
        <w:rPr>
          <w:rFonts w:ascii="Franklin Gothic Book" w:hAnsi="Franklin Gothic Book"/>
          <w:sz w:val="22"/>
          <w:szCs w:val="22"/>
        </w:rPr>
        <w:t>O emitted. Higher levels of N</w:t>
      </w:r>
      <w:r w:rsidRPr="000935B9">
        <w:rPr>
          <w:rFonts w:ascii="Franklin Gothic Book" w:hAnsi="Franklin Gothic Book"/>
          <w:sz w:val="22"/>
          <w:szCs w:val="22"/>
          <w:vertAlign w:val="subscript"/>
        </w:rPr>
        <w:t>2</w:t>
      </w:r>
      <w:r w:rsidRPr="000935B9">
        <w:rPr>
          <w:rFonts w:ascii="Franklin Gothic Book" w:hAnsi="Franklin Gothic Book"/>
          <w:sz w:val="22"/>
          <w:szCs w:val="22"/>
        </w:rPr>
        <w:t xml:space="preserve">O are a result of: </w:t>
      </w:r>
    </w:p>
    <w:p w14:paraId="00B0DDCF" w14:textId="77777777" w:rsidR="00431B81" w:rsidRPr="000935B9" w:rsidRDefault="00431B81" w:rsidP="00960B64">
      <w:pPr>
        <w:pStyle w:val="ListParagraph"/>
        <w:numPr>
          <w:ilvl w:val="0"/>
          <w:numId w:val="38"/>
        </w:numPr>
        <w:spacing w:after="0" w:line="260" w:lineRule="exact"/>
        <w:rPr>
          <w:rFonts w:ascii="Franklin Gothic Book" w:hAnsi="Franklin Gothic Book"/>
        </w:rPr>
      </w:pPr>
      <w:r w:rsidRPr="000935B9">
        <w:rPr>
          <w:rFonts w:ascii="Franklin Gothic Book" w:hAnsi="Franklin Gothic Book"/>
        </w:rPr>
        <w:t xml:space="preserve">The type of animal waste management systems </w:t>
      </w:r>
      <w:proofErr w:type="gramStart"/>
      <w:r w:rsidRPr="000935B9">
        <w:rPr>
          <w:rFonts w:ascii="Franklin Gothic Book" w:hAnsi="Franklin Gothic Book"/>
        </w:rPr>
        <w:t>used;</w:t>
      </w:r>
      <w:proofErr w:type="gramEnd"/>
    </w:p>
    <w:p w14:paraId="1C3A0CC4" w14:textId="77777777" w:rsidR="00431B81" w:rsidRPr="000935B9" w:rsidRDefault="00431B81" w:rsidP="00960B64">
      <w:pPr>
        <w:pStyle w:val="ListParagraph"/>
        <w:numPr>
          <w:ilvl w:val="0"/>
          <w:numId w:val="38"/>
        </w:numPr>
        <w:spacing w:after="0" w:line="260" w:lineRule="exact"/>
        <w:rPr>
          <w:rFonts w:ascii="Franklin Gothic Book" w:hAnsi="Franklin Gothic Book"/>
        </w:rPr>
      </w:pPr>
      <w:r w:rsidRPr="000935B9">
        <w:rPr>
          <w:rFonts w:ascii="Franklin Gothic Book" w:hAnsi="Franklin Gothic Book"/>
        </w:rPr>
        <w:t xml:space="preserve">Cultivation of certain types of nitrogen-fixing </w:t>
      </w:r>
      <w:proofErr w:type="gramStart"/>
      <w:r w:rsidRPr="000935B9">
        <w:rPr>
          <w:rFonts w:ascii="Franklin Gothic Book" w:hAnsi="Franklin Gothic Book"/>
        </w:rPr>
        <w:t>crops;</w:t>
      </w:r>
      <w:proofErr w:type="gramEnd"/>
    </w:p>
    <w:p w14:paraId="7A088861" w14:textId="77777777" w:rsidR="00431B81" w:rsidRPr="000935B9" w:rsidRDefault="00431B81" w:rsidP="00960B64">
      <w:pPr>
        <w:pStyle w:val="ListParagraph"/>
        <w:numPr>
          <w:ilvl w:val="0"/>
          <w:numId w:val="38"/>
        </w:numPr>
        <w:spacing w:after="0" w:line="260" w:lineRule="exact"/>
        <w:rPr>
          <w:rFonts w:ascii="Franklin Gothic Book" w:hAnsi="Franklin Gothic Book"/>
        </w:rPr>
      </w:pPr>
      <w:r w:rsidRPr="000935B9">
        <w:rPr>
          <w:rFonts w:ascii="Franklin Gothic Book" w:hAnsi="Franklin Gothic Book"/>
        </w:rPr>
        <w:t xml:space="preserve">Crop residues remaining on agricultural fields; and </w:t>
      </w:r>
    </w:p>
    <w:p w14:paraId="3464DA07" w14:textId="77777777" w:rsidR="00431B81" w:rsidRPr="000935B9" w:rsidRDefault="00431B81" w:rsidP="00960B64">
      <w:pPr>
        <w:pStyle w:val="ListParagraph"/>
        <w:numPr>
          <w:ilvl w:val="0"/>
          <w:numId w:val="38"/>
        </w:numPr>
        <w:spacing w:after="0" w:line="260" w:lineRule="exact"/>
        <w:rPr>
          <w:rFonts w:ascii="Franklin Gothic Book" w:hAnsi="Franklin Gothic Book"/>
        </w:rPr>
      </w:pPr>
      <w:r w:rsidRPr="000935B9">
        <w:rPr>
          <w:rFonts w:ascii="Franklin Gothic Book" w:hAnsi="Franklin Gothic Book"/>
        </w:rPr>
        <w:t xml:space="preserve">The use of synthetic and organic fertilizer in ag and urban soils. </w:t>
      </w:r>
    </w:p>
    <w:p w14:paraId="1C0D0640" w14:textId="77777777" w:rsidR="00431B81" w:rsidRPr="000935B9" w:rsidRDefault="00431B81" w:rsidP="00960B64">
      <w:pPr>
        <w:spacing w:line="260" w:lineRule="exact"/>
        <w:ind w:left="1440"/>
        <w:contextualSpacing/>
        <w:rPr>
          <w:rFonts w:ascii="Franklin Gothic Book" w:hAnsi="Franklin Gothic Book"/>
          <w:szCs w:val="19"/>
        </w:rPr>
      </w:pPr>
    </w:p>
    <w:p w14:paraId="3AB59892" w14:textId="77777777" w:rsidR="00431B81" w:rsidRPr="003211A1" w:rsidRDefault="00431B81" w:rsidP="00960B64">
      <w:pPr>
        <w:pStyle w:val="Level5Head-COG"/>
        <w:spacing w:line="260" w:lineRule="exact"/>
        <w:contextualSpacing/>
      </w:pPr>
      <w:r w:rsidRPr="003211A1">
        <w:t>methodology</w:t>
      </w:r>
    </w:p>
    <w:p w14:paraId="63AAF247" w14:textId="77777777" w:rsidR="00431B81" w:rsidRPr="003211A1" w:rsidRDefault="00431B81" w:rsidP="00960B64">
      <w:pPr>
        <w:pStyle w:val="BodyText-COG"/>
        <w:contextualSpacing/>
      </w:pPr>
      <w:r w:rsidRPr="003211A1">
        <w:t>The U.S. EPA’s Emission Inventory Improvement Program developed a series of Excel-based State GHG Inventory Tools, which include an Agriculture Module. The Ag Module calculates methane (CH</w:t>
      </w:r>
      <w:r w:rsidRPr="003211A1">
        <w:rPr>
          <w:vertAlign w:val="subscript"/>
        </w:rPr>
        <w:t>4</w:t>
      </w:r>
      <w:r w:rsidRPr="003211A1">
        <w:t>) and N</w:t>
      </w:r>
      <w:r w:rsidRPr="003211A1">
        <w:rPr>
          <w:vertAlign w:val="subscript"/>
        </w:rPr>
        <w:t>2</w:t>
      </w:r>
      <w:r w:rsidRPr="003211A1">
        <w:t>O emissions from the agricultural sources. Agricultural sources and activities relevant to metropolitan Washington were calculated using this tool including Enteric Fermentation, Manure Management, and Ag Soils. The module takes your data inputs and applies state-specific data and factors to calculate emissions. The methodologies applied in the tool is generally consistent with EPA’s Inventory of U.S. Greenhouse Gas Emissions and Sinks.</w:t>
      </w:r>
    </w:p>
    <w:p w14:paraId="301D7472" w14:textId="77777777" w:rsidR="00431B81" w:rsidRPr="003211A1" w:rsidRDefault="00431B81" w:rsidP="00960B64">
      <w:pPr>
        <w:pStyle w:val="BodyText-COG"/>
        <w:contextualSpacing/>
        <w:rPr>
          <w:rFonts w:ascii="Arial" w:hAnsi="Arial" w:cs="Arial"/>
          <w:color w:val="000000"/>
          <w:sz w:val="20"/>
          <w:szCs w:val="20"/>
          <w:shd w:val="clear" w:color="auto" w:fill="FFFFFF"/>
        </w:rPr>
      </w:pPr>
    </w:p>
    <w:p w14:paraId="75090D68" w14:textId="7C557FA7" w:rsidR="00431B81" w:rsidRPr="003211A1" w:rsidRDefault="00431B81" w:rsidP="00960B64">
      <w:pPr>
        <w:pStyle w:val="BodyText-COG"/>
        <w:contextualSpacing/>
        <w:rPr>
          <w:rFonts w:cs="Arial"/>
          <w:color w:val="auto"/>
          <w:spacing w:val="11"/>
          <w:szCs w:val="22"/>
          <w:shd w:val="clear" w:color="auto" w:fill="FFFFFF"/>
        </w:rPr>
      </w:pPr>
      <w:r w:rsidRPr="003211A1">
        <w:t xml:space="preserve">The </w:t>
      </w:r>
      <w:r w:rsidR="00186366">
        <w:t>USCP</w:t>
      </w:r>
      <w:r w:rsidRPr="003211A1">
        <w:t xml:space="preserve"> does offer similar suggested calculations for enteric fermentation and manure management, where national default factors are applied. While Ag emissions calculated offline can be documented in ClearPath, it does not currently offer a calculator that estimates emissions. </w:t>
      </w:r>
      <w:proofErr w:type="gramStart"/>
      <w:r w:rsidRPr="003211A1">
        <w:t>At this time</w:t>
      </w:r>
      <w:proofErr w:type="gramEnd"/>
      <w:r w:rsidRPr="003211A1">
        <w:t xml:space="preserve">, EPA’s State Inventory Tool offers the most streamlined calculation process with the most locally relevant default factors for COG’s GHG inventory work. </w:t>
      </w:r>
      <w:r w:rsidRPr="003211A1">
        <w:rPr>
          <w:rFonts w:cs="Arial"/>
          <w:color w:val="auto"/>
          <w:spacing w:val="11"/>
          <w:szCs w:val="22"/>
          <w:shd w:val="clear" w:color="auto" w:fill="FFFFFF"/>
        </w:rPr>
        <w:t xml:space="preserve"> </w:t>
      </w:r>
    </w:p>
    <w:p w14:paraId="7754405F" w14:textId="77777777" w:rsidR="00431B81" w:rsidRPr="003211A1" w:rsidRDefault="00431B81" w:rsidP="00960B64">
      <w:pPr>
        <w:pStyle w:val="BodyText-COG"/>
        <w:contextualSpacing/>
      </w:pPr>
    </w:p>
    <w:p w14:paraId="7636646F" w14:textId="77777777" w:rsidR="00431B81" w:rsidRPr="003211A1" w:rsidRDefault="00431B81" w:rsidP="00960B64">
      <w:pPr>
        <w:pStyle w:val="Level5Head-COG"/>
        <w:spacing w:line="260" w:lineRule="exact"/>
        <w:contextualSpacing/>
      </w:pPr>
      <w:r w:rsidRPr="003211A1">
        <w:t>Data Collection</w:t>
      </w:r>
    </w:p>
    <w:p w14:paraId="7594DF83" w14:textId="77777777" w:rsidR="003211A1" w:rsidRPr="003211A1" w:rsidRDefault="003211A1" w:rsidP="003211A1">
      <w:pPr>
        <w:pStyle w:val="BodyText-COG"/>
        <w:spacing w:line="240" w:lineRule="auto"/>
        <w:rPr>
          <w:rFonts w:cs="Arial"/>
          <w:color w:val="auto"/>
          <w:spacing w:val="11"/>
          <w:szCs w:val="22"/>
          <w:shd w:val="clear" w:color="auto" w:fill="FFFFFF"/>
        </w:rPr>
      </w:pPr>
      <w:r w:rsidRPr="003211A1">
        <w:rPr>
          <w:rFonts w:cs="Arial"/>
          <w:color w:val="auto"/>
          <w:szCs w:val="22"/>
          <w:shd w:val="clear" w:color="auto" w:fill="FFFFFF"/>
        </w:rPr>
        <w:t xml:space="preserve">Metropolitan Washington data inputs into EPA’s State GHG Inventory Tool are pulled at the county-scale from the EPA Chesapeake Bay </w:t>
      </w:r>
      <w:r w:rsidRPr="003211A1">
        <w:rPr>
          <w:rFonts w:cs="Arial"/>
          <w:szCs w:val="22"/>
          <w:shd w:val="clear" w:color="auto" w:fill="FFFFFF"/>
        </w:rPr>
        <w:t>Program’s Chesapeake Assessment Scenario Tool (CAST). CAST is a web-based nitrogen, phosphorus and sediment load estimator tool that streamlines environmental planning.</w:t>
      </w:r>
    </w:p>
    <w:p w14:paraId="6F1D6EED" w14:textId="77777777" w:rsidR="00431B81" w:rsidRPr="003211A1" w:rsidRDefault="00431B81" w:rsidP="00960B64">
      <w:pPr>
        <w:spacing w:line="260" w:lineRule="exact"/>
        <w:ind w:left="2160"/>
        <w:contextualSpacing/>
        <w:rPr>
          <w:rFonts w:ascii="Franklin Gothic Book" w:hAnsi="Franklin Gothic Book"/>
          <w:sz w:val="22"/>
          <w:szCs w:val="19"/>
        </w:rPr>
      </w:pPr>
    </w:p>
    <w:p w14:paraId="57356B3D" w14:textId="77777777" w:rsidR="00431B81" w:rsidRPr="003211A1" w:rsidRDefault="00431B81" w:rsidP="00960B64">
      <w:pPr>
        <w:spacing w:line="260" w:lineRule="exact"/>
        <w:contextualSpacing/>
        <w:rPr>
          <w:rFonts w:ascii="Franklin Gothic Book" w:hAnsi="Franklin Gothic Book"/>
          <w:sz w:val="22"/>
          <w:szCs w:val="19"/>
        </w:rPr>
      </w:pPr>
      <w:r w:rsidRPr="003211A1">
        <w:rPr>
          <w:rFonts w:ascii="Franklin Gothic Book" w:hAnsi="Franklin Gothic Book"/>
          <w:sz w:val="22"/>
          <w:szCs w:val="19"/>
        </w:rPr>
        <w:t xml:space="preserve">Data Needs: </w:t>
      </w:r>
    </w:p>
    <w:p w14:paraId="375FE7CA" w14:textId="77777777" w:rsidR="00431B81" w:rsidRPr="003211A1" w:rsidRDefault="00431B81" w:rsidP="00960B64">
      <w:pPr>
        <w:pStyle w:val="ListParagraph"/>
        <w:numPr>
          <w:ilvl w:val="0"/>
          <w:numId w:val="37"/>
        </w:numPr>
        <w:spacing w:after="0" w:line="260" w:lineRule="exact"/>
        <w:ind w:left="720"/>
        <w:rPr>
          <w:rFonts w:ascii="Franklin Gothic Book" w:hAnsi="Franklin Gothic Book"/>
          <w:szCs w:val="19"/>
        </w:rPr>
      </w:pPr>
      <w:r w:rsidRPr="003211A1">
        <w:rPr>
          <w:rFonts w:ascii="Franklin Gothic Book" w:hAnsi="Franklin Gothic Book"/>
          <w:szCs w:val="19"/>
        </w:rPr>
        <w:t xml:space="preserve">Livestock: Livestock population (‘000 head) for dairy cows, beef cattle, sheep, goats, swine, horses, layers (pullets and chickens), broilers, and turkeys from the Chesapeake Assessment Scenario Tool (CAST). </w:t>
      </w:r>
    </w:p>
    <w:p w14:paraId="754C080C" w14:textId="77777777" w:rsidR="00431B81" w:rsidRPr="003211A1" w:rsidRDefault="00431B81" w:rsidP="00960B64">
      <w:pPr>
        <w:pStyle w:val="ListParagraph"/>
        <w:numPr>
          <w:ilvl w:val="0"/>
          <w:numId w:val="37"/>
        </w:numPr>
        <w:spacing w:after="0" w:line="260" w:lineRule="exact"/>
        <w:ind w:left="720"/>
        <w:rPr>
          <w:rFonts w:ascii="Franklin Gothic Book" w:hAnsi="Franklin Gothic Book"/>
          <w:szCs w:val="19"/>
        </w:rPr>
      </w:pPr>
      <w:r w:rsidRPr="003211A1">
        <w:rPr>
          <w:rFonts w:ascii="Franklin Gothic Book" w:hAnsi="Franklin Gothic Book"/>
          <w:szCs w:val="19"/>
        </w:rPr>
        <w:t>Crops: Crop production (‘000 bushels) for corn for grain, all wheat, and soybeans from CAST.</w:t>
      </w:r>
    </w:p>
    <w:p w14:paraId="00DDA222" w14:textId="77777777" w:rsidR="00431B81" w:rsidRPr="003211A1" w:rsidRDefault="00431B81" w:rsidP="00960B64">
      <w:pPr>
        <w:pStyle w:val="ListParagraph"/>
        <w:numPr>
          <w:ilvl w:val="0"/>
          <w:numId w:val="37"/>
        </w:numPr>
        <w:spacing w:after="0" w:line="260" w:lineRule="exact"/>
        <w:ind w:left="720"/>
        <w:rPr>
          <w:rFonts w:ascii="Franklin Gothic Book" w:hAnsi="Franklin Gothic Book"/>
          <w:szCs w:val="19"/>
        </w:rPr>
      </w:pPr>
      <w:r w:rsidRPr="003211A1">
        <w:rPr>
          <w:rFonts w:ascii="Franklin Gothic Book" w:hAnsi="Franklin Gothic Book"/>
          <w:szCs w:val="19"/>
        </w:rPr>
        <w:t xml:space="preserve">Fertilizer: Fertilizer applied (kg N) for synthetic fertilizers, manure, and biosolids. </w:t>
      </w:r>
    </w:p>
    <w:p w14:paraId="58ADD26C" w14:textId="77777777" w:rsidR="000F7EFC" w:rsidRPr="00926064" w:rsidRDefault="000F7EFC" w:rsidP="00926064">
      <w:pPr>
        <w:pStyle w:val="Level1Head-COG"/>
        <w:spacing w:before="0" w:after="0" w:line="240" w:lineRule="auto"/>
        <w:contextualSpacing/>
        <w:rPr>
          <w:rFonts w:ascii="Franklin Gothic Medium" w:hAnsi="Franklin Gothic Medium"/>
          <w:color w:val="auto"/>
        </w:rPr>
      </w:pPr>
      <w:bookmarkStart w:id="453" w:name="_Toc535399934"/>
      <w:bookmarkStart w:id="454" w:name="_Toc50968796"/>
      <w:bookmarkStart w:id="455" w:name="_Toc51077785"/>
      <w:r w:rsidRPr="00926064">
        <w:rPr>
          <w:rFonts w:ascii="Franklin Gothic Medium" w:hAnsi="Franklin Gothic Medium"/>
          <w:color w:val="auto"/>
        </w:rPr>
        <w:lastRenderedPageBreak/>
        <w:t>solid waste treatment</w:t>
      </w:r>
      <w:bookmarkEnd w:id="453"/>
      <w:bookmarkEnd w:id="454"/>
      <w:bookmarkEnd w:id="455"/>
      <w:r w:rsidRPr="00926064">
        <w:rPr>
          <w:rFonts w:ascii="Franklin Gothic Medium" w:hAnsi="Franklin Gothic Medium"/>
          <w:color w:val="auto"/>
        </w:rPr>
        <w:t xml:space="preserve"> </w:t>
      </w:r>
    </w:p>
    <w:p w14:paraId="1F6E5D57" w14:textId="77777777" w:rsidR="000F7EFC" w:rsidRPr="00926064" w:rsidRDefault="000F7EFC" w:rsidP="00926064">
      <w:pPr>
        <w:pStyle w:val="BodyText-COG"/>
        <w:spacing w:line="240" w:lineRule="auto"/>
        <w:contextualSpacing/>
      </w:pPr>
    </w:p>
    <w:p w14:paraId="67FF9FDB" w14:textId="77777777" w:rsidR="000F7EFC" w:rsidRPr="00926064" w:rsidRDefault="000F7EFC" w:rsidP="00926064">
      <w:pPr>
        <w:pStyle w:val="Level2Head-COG"/>
        <w:spacing w:before="0" w:line="240" w:lineRule="auto"/>
        <w:contextualSpacing/>
      </w:pPr>
      <w:bookmarkStart w:id="456" w:name="_Toc535399935"/>
      <w:bookmarkStart w:id="457" w:name="_Toc50968797"/>
      <w:bookmarkStart w:id="458" w:name="_Toc51077786"/>
      <w:r w:rsidRPr="00926064">
        <w:t>Solid Waste</w:t>
      </w:r>
      <w:bookmarkEnd w:id="456"/>
      <w:bookmarkEnd w:id="457"/>
      <w:bookmarkEnd w:id="458"/>
      <w:r w:rsidRPr="00926064">
        <w:t xml:space="preserve"> </w:t>
      </w:r>
    </w:p>
    <w:p w14:paraId="54A478D0" w14:textId="77777777" w:rsidR="000F7EFC" w:rsidRPr="00926064" w:rsidRDefault="000F7EFC" w:rsidP="00926064">
      <w:pPr>
        <w:pStyle w:val="BodyText-COG"/>
        <w:spacing w:line="240" w:lineRule="auto"/>
        <w:contextualSpacing/>
      </w:pPr>
    </w:p>
    <w:p w14:paraId="44BB9EC0" w14:textId="77777777" w:rsidR="000F7EFC" w:rsidRPr="00926064" w:rsidRDefault="000F7EFC" w:rsidP="00960B64">
      <w:pPr>
        <w:pStyle w:val="Level3Head-COG"/>
        <w:spacing w:before="0"/>
        <w:contextualSpacing/>
      </w:pPr>
      <w:bookmarkStart w:id="459" w:name="_Toc535399936"/>
      <w:bookmarkStart w:id="460" w:name="_Toc50968798"/>
      <w:bookmarkStart w:id="461" w:name="_Toc51077787"/>
      <w:r w:rsidRPr="00926064">
        <w:t>waste generation</w:t>
      </w:r>
      <w:bookmarkEnd w:id="459"/>
      <w:bookmarkEnd w:id="460"/>
      <w:bookmarkEnd w:id="461"/>
      <w:r w:rsidRPr="00926064">
        <w:t xml:space="preserve"> </w:t>
      </w:r>
    </w:p>
    <w:p w14:paraId="04249FC8" w14:textId="77777777" w:rsidR="000F7EFC" w:rsidRPr="00926064" w:rsidRDefault="000F7EFC" w:rsidP="00960B64">
      <w:pPr>
        <w:pStyle w:val="Level4Head-COG"/>
        <w:contextualSpacing/>
        <w:rPr>
          <w:u w:val="single"/>
        </w:rPr>
      </w:pPr>
    </w:p>
    <w:p w14:paraId="0C126A57" w14:textId="77777777" w:rsidR="000F7EFC" w:rsidRPr="00926064" w:rsidRDefault="000F7EFC" w:rsidP="00960B64">
      <w:pPr>
        <w:pStyle w:val="Level4Head-COG"/>
        <w:contextualSpacing/>
      </w:pPr>
      <w:r w:rsidRPr="00926064">
        <w:t>Landfill Waste Generation</w:t>
      </w:r>
    </w:p>
    <w:p w14:paraId="3986454D" w14:textId="77777777" w:rsidR="000F7EFC" w:rsidRPr="00926064" w:rsidRDefault="000F7EFC" w:rsidP="00960B64">
      <w:pPr>
        <w:pStyle w:val="Level5Head-COG"/>
        <w:spacing w:line="260" w:lineRule="exact"/>
        <w:contextualSpacing/>
      </w:pPr>
      <w:r w:rsidRPr="00926064">
        <w:t>Description</w:t>
      </w:r>
    </w:p>
    <w:p w14:paraId="6F1D6F90" w14:textId="18D223B3" w:rsidR="000F7EFC" w:rsidRPr="00926064" w:rsidRDefault="000F7EFC" w:rsidP="00960B64">
      <w:pPr>
        <w:spacing w:line="260" w:lineRule="exact"/>
        <w:contextualSpacing/>
        <w:rPr>
          <w:rFonts w:ascii="Franklin Gothic Book" w:hAnsi="Franklin Gothic Book"/>
          <w:sz w:val="22"/>
          <w:szCs w:val="22"/>
        </w:rPr>
      </w:pPr>
      <w:r w:rsidRPr="00926064">
        <w:rPr>
          <w:rFonts w:ascii="Franklin Gothic Book" w:hAnsi="Franklin Gothic Book"/>
          <w:sz w:val="22"/>
          <w:szCs w:val="22"/>
        </w:rPr>
        <w:t xml:space="preserve">Landfill Waste Generation accounts for the emissions resulting from waste generated by the community in a year and disposed of at a landfill. In other words, it accounts for the resultant methane emissions from the decomposition of biologic solid waste produced by the community that year. </w:t>
      </w:r>
      <w:r w:rsidRPr="00926064">
        <w:rPr>
          <w:rFonts w:ascii="Franklin Gothic Book" w:hAnsi="Franklin Gothic Book"/>
          <w:sz w:val="22"/>
          <w:szCs w:val="22"/>
          <w:lang w:val="en"/>
        </w:rPr>
        <w:t xml:space="preserve">Methane capture has a significant influence over resulting GHG emissions. If a landfill receiving waste has no methane capture, the resultant GHG emissions are much higher. </w:t>
      </w:r>
      <w:r w:rsidRPr="00926064">
        <w:rPr>
          <w:rFonts w:ascii="Franklin Gothic Book" w:hAnsi="Franklin Gothic Book"/>
          <w:sz w:val="22"/>
          <w:szCs w:val="22"/>
        </w:rPr>
        <w:t xml:space="preserve">According to the </w:t>
      </w:r>
      <w:r w:rsidRPr="00926064">
        <w:rPr>
          <w:rFonts w:ascii="Franklin Gothic Book" w:hAnsi="Franklin Gothic Book"/>
          <w:sz w:val="22"/>
          <w:szCs w:val="22"/>
          <w:lang w:val="en"/>
        </w:rPr>
        <w:t>USCP</w:t>
      </w:r>
      <w:r w:rsidRPr="00926064">
        <w:rPr>
          <w:rFonts w:ascii="Franklin Gothic Book" w:hAnsi="Franklin Gothic Book"/>
          <w:sz w:val="22"/>
          <w:szCs w:val="22"/>
        </w:rPr>
        <w:t xml:space="preserve">, local jurisdictions’ municipal solid waste (MSW), recycling, and composting programs can influence the amount of waste generated, the methods of disposal, and locations.  </w:t>
      </w:r>
    </w:p>
    <w:p w14:paraId="574DEA49" w14:textId="77777777" w:rsidR="000F7EFC" w:rsidRPr="00926064" w:rsidRDefault="000F7EFC" w:rsidP="00960B64">
      <w:pPr>
        <w:spacing w:line="260" w:lineRule="exact"/>
        <w:ind w:left="1440"/>
        <w:contextualSpacing/>
        <w:rPr>
          <w:rFonts w:ascii="Franklin Gothic Book" w:hAnsi="Franklin Gothic Book"/>
          <w:szCs w:val="19"/>
        </w:rPr>
      </w:pPr>
    </w:p>
    <w:p w14:paraId="6321DFD7" w14:textId="77777777" w:rsidR="000F7EFC" w:rsidRPr="00926064" w:rsidRDefault="000F7EFC" w:rsidP="00960B64">
      <w:pPr>
        <w:pStyle w:val="Level5Head-COG"/>
        <w:spacing w:line="260" w:lineRule="exact"/>
        <w:contextualSpacing/>
      </w:pPr>
      <w:r w:rsidRPr="00926064">
        <w:t xml:space="preserve">methodology </w:t>
      </w:r>
    </w:p>
    <w:p w14:paraId="25951579" w14:textId="77777777" w:rsidR="000F7EFC" w:rsidRPr="00926064" w:rsidRDefault="000F7EFC" w:rsidP="00960B64">
      <w:pPr>
        <w:pStyle w:val="BodyText-COG"/>
        <w:contextualSpacing/>
        <w:rPr>
          <w:szCs w:val="22"/>
          <w:lang w:val="en"/>
        </w:rPr>
      </w:pPr>
      <w:r w:rsidRPr="00926064">
        <w:rPr>
          <w:szCs w:val="22"/>
          <w:lang w:val="en"/>
        </w:rPr>
        <w:t xml:space="preserve">The Landfill Waste Generation emission calculations follow the USCP recommended methodology as outlined in Appendix E, SW.4 from Version 1.1 of the Protocol. The calculations are based on tons of MSW from each jurisdiction going to a landfill and whether the receiving landfills have methane capture. It is important to make this distinction and identify how many tons are annually disposed of at these landfills. </w:t>
      </w:r>
    </w:p>
    <w:p w14:paraId="636578AE" w14:textId="77777777" w:rsidR="000F7EFC" w:rsidRPr="00926064" w:rsidRDefault="000F7EFC" w:rsidP="00960B64">
      <w:pPr>
        <w:pStyle w:val="BodyText-COG"/>
        <w:contextualSpacing/>
      </w:pPr>
    </w:p>
    <w:p w14:paraId="46D38E1E" w14:textId="77777777" w:rsidR="000F7EFC" w:rsidRPr="00926064" w:rsidRDefault="000F7EFC" w:rsidP="00960B64">
      <w:pPr>
        <w:pStyle w:val="Level5Head-COG"/>
        <w:spacing w:line="260" w:lineRule="exact"/>
        <w:contextualSpacing/>
      </w:pPr>
      <w:r w:rsidRPr="00926064">
        <w:t>Data Collection</w:t>
      </w:r>
    </w:p>
    <w:p w14:paraId="3CFFE5BF" w14:textId="77777777" w:rsidR="000F7EFC" w:rsidRPr="00926064" w:rsidRDefault="000F7EFC" w:rsidP="00960B64">
      <w:pPr>
        <w:pStyle w:val="BodyText-COG"/>
        <w:contextualSpacing/>
        <w:rPr>
          <w:rFonts w:eastAsia="Times New Roman" w:cs="Calibri"/>
          <w:color w:val="000000"/>
          <w:szCs w:val="22"/>
        </w:rPr>
      </w:pPr>
      <w:r w:rsidRPr="00926064">
        <w:rPr>
          <w:rFonts w:eastAsia="Times New Roman" w:cs="Calibri"/>
          <w:color w:val="000000"/>
          <w:szCs w:val="22"/>
        </w:rPr>
        <w:t xml:space="preserve">The best available MWS data from local and regional sources was used to calculate these emissions. Unlike other activities in this inventory, there is not a regional, state, or federal source of MSW data that comprehensively reports data in the way that is needed for GHG inventory calculations. </w:t>
      </w:r>
    </w:p>
    <w:p w14:paraId="1B256935" w14:textId="77777777" w:rsidR="000F7EFC" w:rsidRPr="00926064" w:rsidRDefault="000F7EFC" w:rsidP="00960B64">
      <w:pPr>
        <w:spacing w:line="260" w:lineRule="exact"/>
        <w:ind w:left="2160"/>
        <w:contextualSpacing/>
        <w:rPr>
          <w:rFonts w:ascii="Franklin Gothic Book" w:hAnsi="Franklin Gothic Book"/>
          <w:sz w:val="22"/>
          <w:szCs w:val="22"/>
        </w:rPr>
      </w:pPr>
    </w:p>
    <w:p w14:paraId="0541D62C" w14:textId="77777777" w:rsidR="000F7EFC" w:rsidRPr="00F4345E" w:rsidRDefault="000F7EFC" w:rsidP="00960B64">
      <w:pPr>
        <w:spacing w:line="260" w:lineRule="exact"/>
        <w:contextualSpacing/>
        <w:rPr>
          <w:rFonts w:ascii="Franklin Gothic Book" w:hAnsi="Franklin Gothic Book"/>
          <w:sz w:val="22"/>
          <w:szCs w:val="19"/>
        </w:rPr>
      </w:pPr>
      <w:r w:rsidRPr="00F4345E">
        <w:rPr>
          <w:rFonts w:ascii="Franklin Gothic Book" w:hAnsi="Franklin Gothic Book"/>
          <w:sz w:val="22"/>
          <w:szCs w:val="19"/>
        </w:rPr>
        <w:t xml:space="preserve">Data Needs: </w:t>
      </w:r>
    </w:p>
    <w:p w14:paraId="49C20723" w14:textId="77777777" w:rsidR="000F7EFC" w:rsidRPr="00F4345E" w:rsidRDefault="000F7EFC" w:rsidP="00960B64">
      <w:pPr>
        <w:pStyle w:val="ListParagraph"/>
        <w:numPr>
          <w:ilvl w:val="0"/>
          <w:numId w:val="39"/>
        </w:numPr>
        <w:spacing w:after="0" w:line="260" w:lineRule="exact"/>
        <w:ind w:left="720"/>
        <w:rPr>
          <w:rFonts w:ascii="Franklin Gothic Book" w:hAnsi="Franklin Gothic Book"/>
          <w:szCs w:val="19"/>
        </w:rPr>
      </w:pPr>
      <w:r w:rsidRPr="00F4345E">
        <w:rPr>
          <w:rFonts w:ascii="Franklin Gothic Book" w:hAnsi="Franklin Gothic Book"/>
          <w:szCs w:val="19"/>
        </w:rPr>
        <w:t xml:space="preserve">Municipal Solid Waste (MSW): Annual mass in tons of MSW landfilled retrieved from local and regional sources. </w:t>
      </w:r>
    </w:p>
    <w:p w14:paraId="3398A98D" w14:textId="77777777" w:rsidR="000F7EFC" w:rsidRPr="00F4345E" w:rsidRDefault="000F7EFC" w:rsidP="00960B64">
      <w:pPr>
        <w:pStyle w:val="ListParagraph"/>
        <w:numPr>
          <w:ilvl w:val="0"/>
          <w:numId w:val="39"/>
        </w:numPr>
        <w:spacing w:after="0" w:line="260" w:lineRule="exact"/>
        <w:ind w:left="720"/>
        <w:rPr>
          <w:szCs w:val="19"/>
        </w:rPr>
      </w:pPr>
      <w:r w:rsidRPr="00F4345E">
        <w:rPr>
          <w:rFonts w:ascii="Franklin Gothic Book" w:hAnsi="Franklin Gothic Book"/>
          <w:szCs w:val="19"/>
        </w:rPr>
        <w:t>Methane Collection: Identify landfills that regularly receive MSW from each jurisdiction and whether those landfills have methane collection using the EPA FLIGHT Tool.</w:t>
      </w:r>
      <w:r w:rsidRPr="00F4345E">
        <w:rPr>
          <w:szCs w:val="19"/>
        </w:rPr>
        <w:t xml:space="preserve"> </w:t>
      </w:r>
    </w:p>
    <w:p w14:paraId="7E6512E9" w14:textId="77777777" w:rsidR="00FD1F9B" w:rsidRDefault="00FD1F9B" w:rsidP="00960B64">
      <w:pPr>
        <w:pStyle w:val="BodyText-COG"/>
        <w:contextualSpacing/>
      </w:pPr>
    </w:p>
    <w:p w14:paraId="0693754D" w14:textId="77777777" w:rsidR="00FD1F9B" w:rsidRPr="00BB07E4" w:rsidRDefault="00FD1F9B" w:rsidP="00BB07E4">
      <w:pPr>
        <w:pStyle w:val="Level3Head-COG"/>
        <w:spacing w:line="240" w:lineRule="auto"/>
        <w:contextualSpacing/>
      </w:pPr>
      <w:bookmarkStart w:id="462" w:name="_Toc535399937"/>
      <w:bookmarkStart w:id="463" w:name="_Toc50968799"/>
      <w:bookmarkStart w:id="464" w:name="_Toc51077788"/>
      <w:r w:rsidRPr="00BB07E4">
        <w:t>Combustion of solid waste generated by the community</w:t>
      </w:r>
      <w:bookmarkEnd w:id="462"/>
      <w:bookmarkEnd w:id="463"/>
      <w:bookmarkEnd w:id="464"/>
      <w:r w:rsidRPr="00BB07E4">
        <w:t xml:space="preserve">   </w:t>
      </w:r>
    </w:p>
    <w:p w14:paraId="5D6FDB77" w14:textId="77777777" w:rsidR="00FD1F9B" w:rsidRPr="00BB07E4" w:rsidRDefault="00FD1F9B" w:rsidP="00960B64">
      <w:pPr>
        <w:pStyle w:val="Level4Head-COG"/>
        <w:contextualSpacing/>
        <w:rPr>
          <w:u w:val="single"/>
        </w:rPr>
      </w:pPr>
    </w:p>
    <w:p w14:paraId="274356F3" w14:textId="77777777" w:rsidR="00FD1F9B" w:rsidRPr="00BB07E4" w:rsidRDefault="00FD1F9B" w:rsidP="00960B64">
      <w:pPr>
        <w:pStyle w:val="Level4Head-COG"/>
        <w:contextualSpacing/>
      </w:pPr>
      <w:r w:rsidRPr="00BB07E4">
        <w:t xml:space="preserve">Combustion of Solid Waste </w:t>
      </w:r>
    </w:p>
    <w:p w14:paraId="5D6B5F46" w14:textId="77777777" w:rsidR="00FD1F9B" w:rsidRPr="001328AF" w:rsidRDefault="00FD1F9B" w:rsidP="00960B64">
      <w:pPr>
        <w:pStyle w:val="Level5Head-COG"/>
        <w:spacing w:line="260" w:lineRule="exact"/>
        <w:contextualSpacing/>
      </w:pPr>
      <w:r w:rsidRPr="001328AF">
        <w:t>Description</w:t>
      </w:r>
    </w:p>
    <w:p w14:paraId="7B32E6B4" w14:textId="1598BF80" w:rsidR="00FD1F9B" w:rsidRPr="001328AF" w:rsidRDefault="00FD1F9B" w:rsidP="00960B64">
      <w:pPr>
        <w:spacing w:line="260" w:lineRule="exact"/>
        <w:contextualSpacing/>
        <w:rPr>
          <w:rFonts w:ascii="Franklin Gothic Book" w:hAnsi="Franklin Gothic Book"/>
          <w:sz w:val="22"/>
          <w:szCs w:val="22"/>
        </w:rPr>
      </w:pPr>
      <w:r w:rsidRPr="001328AF">
        <w:rPr>
          <w:rFonts w:ascii="Franklin Gothic Book" w:hAnsi="Franklin Gothic Book"/>
          <w:sz w:val="22"/>
          <w:szCs w:val="22"/>
        </w:rPr>
        <w:t xml:space="preserve">The Combustion of Solid Waste accounts for the emissions resulting from municipal solid waste (MSW) generated by the community in a year and disposed of at a waste-to-energy (WTE) facility. WTE facilities burn garbage and typically generate steam and/or electricity from the combustion of MSW. According to the </w:t>
      </w:r>
      <w:r w:rsidRPr="001328AF">
        <w:rPr>
          <w:rFonts w:ascii="Franklin Gothic Book" w:hAnsi="Franklin Gothic Book"/>
          <w:sz w:val="22"/>
          <w:szCs w:val="22"/>
          <w:lang w:val="en"/>
        </w:rPr>
        <w:t>USCP</w:t>
      </w:r>
      <w:r w:rsidRPr="001328AF">
        <w:rPr>
          <w:rFonts w:ascii="Franklin Gothic Book" w:hAnsi="Franklin Gothic Book"/>
          <w:sz w:val="22"/>
          <w:szCs w:val="22"/>
        </w:rPr>
        <w:t xml:space="preserve">, local jurisdictions’ MSW, recycling, and composting programs can influence the amount of waste generated, the methods of disposal, and locations.  </w:t>
      </w:r>
    </w:p>
    <w:p w14:paraId="6AC98545" w14:textId="77777777" w:rsidR="00FD1F9B" w:rsidRPr="001328AF" w:rsidRDefault="00FD1F9B" w:rsidP="00960B64">
      <w:pPr>
        <w:spacing w:line="260" w:lineRule="exact"/>
        <w:ind w:left="1440"/>
        <w:contextualSpacing/>
        <w:rPr>
          <w:rFonts w:ascii="Franklin Gothic Book" w:hAnsi="Franklin Gothic Book"/>
          <w:szCs w:val="19"/>
        </w:rPr>
      </w:pPr>
    </w:p>
    <w:p w14:paraId="500A87E6" w14:textId="77777777" w:rsidR="00FD1F9B" w:rsidRPr="001328AF" w:rsidRDefault="00FD1F9B" w:rsidP="00960B64">
      <w:pPr>
        <w:pStyle w:val="Level5Head-COG"/>
        <w:spacing w:line="260" w:lineRule="exact"/>
        <w:contextualSpacing/>
      </w:pPr>
      <w:r w:rsidRPr="001328AF">
        <w:t xml:space="preserve">methodology </w:t>
      </w:r>
    </w:p>
    <w:p w14:paraId="3F0C68AF" w14:textId="77777777" w:rsidR="00FD1F9B" w:rsidRPr="001328AF" w:rsidRDefault="00FD1F9B" w:rsidP="00960B64">
      <w:pPr>
        <w:pStyle w:val="BodyText-COG"/>
        <w:contextualSpacing/>
        <w:rPr>
          <w:szCs w:val="22"/>
          <w:lang w:val="en"/>
        </w:rPr>
      </w:pPr>
      <w:r w:rsidRPr="001328AF">
        <w:rPr>
          <w:szCs w:val="22"/>
          <w:lang w:val="en"/>
        </w:rPr>
        <w:t xml:space="preserve">The Combustion of Solid Waste Generated by the Community emission calculations follow the USCP recommended methodology as outlined in Appendix E, SW.2.2 from Version 1.1 of the Protocol. The </w:t>
      </w:r>
      <w:r w:rsidRPr="001328AF">
        <w:rPr>
          <w:szCs w:val="22"/>
          <w:lang w:val="en"/>
        </w:rPr>
        <w:lastRenderedPageBreak/>
        <w:t xml:space="preserve">calculation used is SW.2.2a. The calculations are based on tons of MSW from each jurisdiction going to a WTE. </w:t>
      </w:r>
    </w:p>
    <w:p w14:paraId="39BC52D4" w14:textId="77777777" w:rsidR="00FD1F9B" w:rsidRPr="001328AF" w:rsidRDefault="00FD1F9B" w:rsidP="00960B64">
      <w:pPr>
        <w:pStyle w:val="Level5Head-COG"/>
        <w:spacing w:line="260" w:lineRule="exact"/>
        <w:contextualSpacing/>
        <w:rPr>
          <w:rFonts w:ascii="Franklin Gothic Book" w:hAnsi="Franklin Gothic Book"/>
        </w:rPr>
      </w:pPr>
    </w:p>
    <w:p w14:paraId="08C258AD" w14:textId="77777777" w:rsidR="00FD1F9B" w:rsidRPr="001328AF" w:rsidRDefault="00FD1F9B" w:rsidP="00960B64">
      <w:pPr>
        <w:pStyle w:val="Level5Head-COG"/>
        <w:spacing w:line="260" w:lineRule="exact"/>
        <w:contextualSpacing/>
      </w:pPr>
      <w:r w:rsidRPr="001328AF">
        <w:t>Data Collection</w:t>
      </w:r>
    </w:p>
    <w:p w14:paraId="22D0872B" w14:textId="77777777" w:rsidR="00FD1F9B" w:rsidRPr="001328AF" w:rsidRDefault="00FD1F9B" w:rsidP="00960B64">
      <w:pPr>
        <w:pStyle w:val="BodyText-COG"/>
        <w:contextualSpacing/>
        <w:rPr>
          <w:rFonts w:eastAsia="Times New Roman" w:cs="Calibri"/>
          <w:color w:val="000000"/>
          <w:szCs w:val="22"/>
        </w:rPr>
      </w:pPr>
      <w:r w:rsidRPr="001328AF">
        <w:rPr>
          <w:rFonts w:eastAsia="Times New Roman" w:cs="Calibri"/>
          <w:color w:val="000000"/>
          <w:szCs w:val="22"/>
        </w:rPr>
        <w:t xml:space="preserve">The best available municipal MWS data from local and regional sources was used to calculate these emissions. Unlike other activities in this inventory, there is not a regional, state, or federal source of MSW data that comprehensively reports data in the way that is needed for GHG inventory calculations. </w:t>
      </w:r>
    </w:p>
    <w:p w14:paraId="34DE3771" w14:textId="77777777" w:rsidR="00FD1F9B" w:rsidRPr="001328AF" w:rsidRDefault="00FD1F9B" w:rsidP="00960B64">
      <w:pPr>
        <w:pStyle w:val="BodyText-COG"/>
        <w:contextualSpacing/>
        <w:rPr>
          <w:rFonts w:eastAsia="Times New Roman" w:cs="Calibri"/>
          <w:color w:val="000000"/>
          <w:szCs w:val="22"/>
        </w:rPr>
      </w:pPr>
    </w:p>
    <w:p w14:paraId="3B8A34B9" w14:textId="77777777" w:rsidR="00FD1F9B" w:rsidRPr="001328AF" w:rsidRDefault="00FD1F9B" w:rsidP="00960B64">
      <w:pPr>
        <w:spacing w:line="260" w:lineRule="exact"/>
        <w:contextualSpacing/>
        <w:rPr>
          <w:rFonts w:ascii="Franklin Gothic Book" w:hAnsi="Franklin Gothic Book"/>
          <w:sz w:val="22"/>
          <w:szCs w:val="19"/>
        </w:rPr>
      </w:pPr>
      <w:r w:rsidRPr="001328AF">
        <w:rPr>
          <w:rFonts w:ascii="Franklin Gothic Book" w:hAnsi="Franklin Gothic Book"/>
          <w:sz w:val="22"/>
          <w:szCs w:val="19"/>
        </w:rPr>
        <w:t xml:space="preserve">Data Needs: </w:t>
      </w:r>
    </w:p>
    <w:p w14:paraId="40156D9B" w14:textId="77777777" w:rsidR="00FD1F9B" w:rsidRPr="001328AF" w:rsidRDefault="00FD1F9B" w:rsidP="00960B64">
      <w:pPr>
        <w:pStyle w:val="ListParagraph"/>
        <w:numPr>
          <w:ilvl w:val="0"/>
          <w:numId w:val="39"/>
        </w:numPr>
        <w:spacing w:after="0" w:line="260" w:lineRule="exact"/>
        <w:ind w:left="720"/>
        <w:rPr>
          <w:rFonts w:ascii="Franklin Gothic Book" w:hAnsi="Franklin Gothic Book"/>
          <w:szCs w:val="19"/>
        </w:rPr>
      </w:pPr>
      <w:r w:rsidRPr="001328AF">
        <w:rPr>
          <w:rFonts w:ascii="Franklin Gothic Book" w:hAnsi="Franklin Gothic Book"/>
          <w:szCs w:val="19"/>
        </w:rPr>
        <w:t xml:space="preserve">Municipal Solid Waste (MSW): Annual mass in tons of MSW combusted retrieved from local and regional sources. </w:t>
      </w:r>
    </w:p>
    <w:p w14:paraId="111AA954" w14:textId="2F33B5D2" w:rsidR="00FD1F9B" w:rsidRDefault="00FD1F9B" w:rsidP="00960B64">
      <w:pPr>
        <w:spacing w:line="260" w:lineRule="exact"/>
        <w:ind w:left="1440"/>
        <w:contextualSpacing/>
        <w:rPr>
          <w:rFonts w:ascii="Franklin Gothic Book" w:hAnsi="Franklin Gothic Book"/>
          <w:sz w:val="22"/>
          <w:szCs w:val="19"/>
          <w:highlight w:val="yellow"/>
        </w:rPr>
      </w:pPr>
    </w:p>
    <w:p w14:paraId="6DD30650" w14:textId="77777777" w:rsidR="00C744CA" w:rsidRPr="001328AF" w:rsidRDefault="00C744CA" w:rsidP="00960B64">
      <w:pPr>
        <w:spacing w:line="260" w:lineRule="exact"/>
        <w:ind w:left="1440"/>
        <w:contextualSpacing/>
        <w:rPr>
          <w:rFonts w:ascii="Franklin Gothic Book" w:hAnsi="Franklin Gothic Book"/>
          <w:sz w:val="22"/>
          <w:szCs w:val="19"/>
          <w:highlight w:val="yellow"/>
        </w:rPr>
      </w:pPr>
    </w:p>
    <w:p w14:paraId="29EA2F84" w14:textId="77777777" w:rsidR="00B15758" w:rsidRPr="00824F84" w:rsidRDefault="00B15758" w:rsidP="00824F84">
      <w:pPr>
        <w:pStyle w:val="Level1Head-COG"/>
        <w:spacing w:before="0" w:after="0" w:line="240" w:lineRule="auto"/>
        <w:contextualSpacing/>
        <w:rPr>
          <w:rFonts w:ascii="Franklin Gothic Medium" w:hAnsi="Franklin Gothic Medium"/>
          <w:color w:val="auto"/>
        </w:rPr>
      </w:pPr>
      <w:bookmarkStart w:id="465" w:name="_Toc535399938"/>
      <w:bookmarkStart w:id="466" w:name="_Toc50968800"/>
      <w:bookmarkStart w:id="467" w:name="_Toc51077789"/>
      <w:r w:rsidRPr="00824F84">
        <w:rPr>
          <w:rFonts w:ascii="Franklin Gothic Medium" w:hAnsi="Franklin Gothic Medium"/>
          <w:color w:val="auto"/>
        </w:rPr>
        <w:t>other</w:t>
      </w:r>
      <w:bookmarkEnd w:id="465"/>
      <w:bookmarkEnd w:id="466"/>
      <w:bookmarkEnd w:id="467"/>
    </w:p>
    <w:p w14:paraId="182DB552" w14:textId="77777777" w:rsidR="00B15758" w:rsidRPr="00824F84" w:rsidRDefault="00B15758" w:rsidP="00824F84">
      <w:pPr>
        <w:pStyle w:val="BodyText-COG"/>
        <w:spacing w:line="240" w:lineRule="auto"/>
        <w:contextualSpacing/>
      </w:pPr>
    </w:p>
    <w:p w14:paraId="2C91C084" w14:textId="77777777" w:rsidR="00B15758" w:rsidRPr="00824F84" w:rsidRDefault="00B15758" w:rsidP="00824F84">
      <w:pPr>
        <w:pStyle w:val="Level2Head-COG"/>
        <w:spacing w:before="0" w:line="240" w:lineRule="auto"/>
        <w:contextualSpacing/>
      </w:pPr>
      <w:bookmarkStart w:id="468" w:name="_Toc535399939"/>
      <w:bookmarkStart w:id="469" w:name="_Toc50968801"/>
      <w:bookmarkStart w:id="470" w:name="_Toc51077790"/>
      <w:r w:rsidRPr="00824F84">
        <w:t>Process and Fugitive Emissions</w:t>
      </w:r>
      <w:bookmarkEnd w:id="468"/>
      <w:bookmarkEnd w:id="469"/>
      <w:bookmarkEnd w:id="470"/>
      <w:r w:rsidRPr="00824F84">
        <w:t xml:space="preserve"> </w:t>
      </w:r>
    </w:p>
    <w:p w14:paraId="6E93447E" w14:textId="77777777" w:rsidR="00B15758" w:rsidRPr="00824F84" w:rsidRDefault="00B15758" w:rsidP="00824F84">
      <w:pPr>
        <w:pStyle w:val="BodyText-COG"/>
        <w:spacing w:line="240" w:lineRule="auto"/>
        <w:contextualSpacing/>
      </w:pPr>
    </w:p>
    <w:p w14:paraId="22B78CFD" w14:textId="77777777" w:rsidR="00B15758" w:rsidRPr="003C4609" w:rsidRDefault="00B15758" w:rsidP="00960B64">
      <w:pPr>
        <w:pStyle w:val="Level3Head-COG"/>
        <w:spacing w:before="0"/>
        <w:contextualSpacing/>
      </w:pPr>
      <w:bookmarkStart w:id="471" w:name="_Toc535399940"/>
      <w:bookmarkStart w:id="472" w:name="_Toc50968802"/>
      <w:bookmarkStart w:id="473" w:name="_Toc51077791"/>
      <w:r w:rsidRPr="003C4609">
        <w:t>substitutes for ozone depleting substances</w:t>
      </w:r>
      <w:bookmarkEnd w:id="471"/>
      <w:bookmarkEnd w:id="472"/>
      <w:bookmarkEnd w:id="473"/>
      <w:r w:rsidRPr="003C4609">
        <w:t xml:space="preserve"> </w:t>
      </w:r>
    </w:p>
    <w:p w14:paraId="70D8EF16" w14:textId="77777777" w:rsidR="003C4609" w:rsidRDefault="003C4609" w:rsidP="00960B64">
      <w:pPr>
        <w:pStyle w:val="Level4Head-COG"/>
        <w:contextualSpacing/>
        <w:rPr>
          <w:highlight w:val="yellow"/>
        </w:rPr>
      </w:pPr>
    </w:p>
    <w:p w14:paraId="287D4B31" w14:textId="3503E0EF" w:rsidR="00B15758" w:rsidRPr="003C4609" w:rsidRDefault="00B15758" w:rsidP="00960B64">
      <w:pPr>
        <w:pStyle w:val="Level4Head-COG"/>
        <w:contextualSpacing/>
      </w:pPr>
      <w:r w:rsidRPr="003C4609">
        <w:t xml:space="preserve">Hydrofluorocarbon Emissions (HFC)  </w:t>
      </w:r>
    </w:p>
    <w:p w14:paraId="69BA7176" w14:textId="77777777" w:rsidR="00B15758" w:rsidRPr="003C4609" w:rsidRDefault="00B15758" w:rsidP="00960B64">
      <w:pPr>
        <w:pStyle w:val="Level5Head-COG"/>
        <w:spacing w:line="260" w:lineRule="exact"/>
        <w:contextualSpacing/>
      </w:pPr>
      <w:r w:rsidRPr="003C4609">
        <w:t>Description</w:t>
      </w:r>
    </w:p>
    <w:p w14:paraId="309FB3D4" w14:textId="0E4EFD86" w:rsidR="00B15758" w:rsidRPr="003C4609" w:rsidRDefault="00B15758" w:rsidP="00960B64">
      <w:pPr>
        <w:pStyle w:val="BodyText-COG"/>
        <w:contextualSpacing/>
      </w:pPr>
      <w:r w:rsidRPr="003C4609">
        <w:t>Hydrofluorocarbons (HFC’s) are a type of GHG and are comprised of several organic compounds composed of hydrogen, fluorine, and carbon. HFC’s are produced synthetically and are commonly used in air conditioning and refrigerants in place of older halons and chlorofluorocarbons (CFC’s), which were attributed to the depletion of Earth’s Ozone layer. Following the implementation of the Montreal Protocol, HFC’s gradually replaced CFC’s because of their minimal impact on the Ozone layer, having an Ozone depletion potential of zero. However, HFCs are potent greenhouse gases (HFC’s are 3,830 times more potent than CO</w:t>
      </w:r>
      <w:r w:rsidRPr="003C4609">
        <w:rPr>
          <w:vertAlign w:val="subscript"/>
        </w:rPr>
        <w:t>2</w:t>
      </w:r>
      <w:r w:rsidRPr="003C4609">
        <w:t xml:space="preserve">) with high global warming potentials. </w:t>
      </w:r>
    </w:p>
    <w:p w14:paraId="79C29E6F" w14:textId="77777777" w:rsidR="00B15758" w:rsidRPr="003C4609" w:rsidRDefault="00B15758" w:rsidP="00960B64">
      <w:pPr>
        <w:pStyle w:val="BodyText-COG"/>
        <w:contextualSpacing/>
      </w:pPr>
    </w:p>
    <w:p w14:paraId="3A450109" w14:textId="77777777" w:rsidR="00B15758" w:rsidRPr="003C4609" w:rsidRDefault="00B15758" w:rsidP="00960B64">
      <w:pPr>
        <w:pStyle w:val="Level5Head-COG"/>
        <w:spacing w:line="260" w:lineRule="exact"/>
        <w:contextualSpacing/>
      </w:pPr>
      <w:r w:rsidRPr="003C4609">
        <w:t>Methodology</w:t>
      </w:r>
    </w:p>
    <w:p w14:paraId="044581BA" w14:textId="77777777" w:rsidR="00B15758" w:rsidRPr="003C4609" w:rsidRDefault="00B15758" w:rsidP="00960B64">
      <w:pPr>
        <w:pStyle w:val="BodyText-COG"/>
        <w:contextualSpacing/>
      </w:pPr>
      <w:r w:rsidRPr="003C4609">
        <w:t>HFC emissions in this inventory represent GHG emissions from substitutions for Ozone depleting substances. Total U.S emissions from substitutes for Ozone depleting substances are scaled locally by population to estimate jurisdictional and regional values. Substitutions for Ozone depleting substances primarily result in HFC emissions; however, small amounts of perfluorocarbon (PFC) emissions also result from this source.</w:t>
      </w:r>
    </w:p>
    <w:p w14:paraId="798E6CAC" w14:textId="77777777" w:rsidR="00B15758" w:rsidRPr="003C4609" w:rsidRDefault="00B15758" w:rsidP="00960B64">
      <w:pPr>
        <w:pStyle w:val="BodyText-COG"/>
        <w:contextualSpacing/>
      </w:pPr>
    </w:p>
    <w:p w14:paraId="67EBF3D9" w14:textId="77777777" w:rsidR="00B15758" w:rsidRPr="003C4609" w:rsidRDefault="00B15758" w:rsidP="00960B64">
      <w:pPr>
        <w:pStyle w:val="Level5Head-COG"/>
        <w:spacing w:line="260" w:lineRule="exact"/>
        <w:contextualSpacing/>
      </w:pPr>
      <w:r w:rsidRPr="003C4609">
        <w:t xml:space="preserve">Data INPUTS </w:t>
      </w:r>
    </w:p>
    <w:p w14:paraId="61F6C54A" w14:textId="77777777" w:rsidR="00B15758" w:rsidRPr="003C4609" w:rsidRDefault="00B15758" w:rsidP="00960B64">
      <w:pPr>
        <w:pStyle w:val="BodyText-COG"/>
        <w:contextualSpacing/>
      </w:pPr>
      <w:r w:rsidRPr="003C4609">
        <w:t xml:space="preserve">Local data on substitutes for Ozone depleting substances is not available. It would take extensive research and local surveys to develop this data. Although emissions from these substances continues to expand, it only accounts for a small portion of emissions. The U.S. Environmental Protection Agency’s annual inventory reports on GHG emissions calculates nationwide emissions for substitutes for Ozone depleting substances. </w:t>
      </w:r>
    </w:p>
    <w:p w14:paraId="52FB9294" w14:textId="77777777" w:rsidR="00B15758" w:rsidRPr="003C4609" w:rsidRDefault="00B15758" w:rsidP="00960B64">
      <w:pPr>
        <w:pStyle w:val="BodyText-COG"/>
        <w:ind w:left="1440"/>
        <w:contextualSpacing/>
      </w:pPr>
    </w:p>
    <w:p w14:paraId="18332AC9" w14:textId="77777777" w:rsidR="00B15758" w:rsidRPr="003C4609" w:rsidRDefault="00B15758" w:rsidP="00960B64">
      <w:pPr>
        <w:pStyle w:val="Level5Head-COG"/>
        <w:spacing w:line="260" w:lineRule="exact"/>
        <w:contextualSpacing/>
        <w:rPr>
          <w:rFonts w:ascii="Franklin Gothic Book" w:hAnsi="Franklin Gothic Book"/>
          <w:sz w:val="22"/>
        </w:rPr>
      </w:pPr>
      <w:r w:rsidRPr="003C4609">
        <w:rPr>
          <w:rFonts w:ascii="Franklin Gothic Book" w:hAnsi="Franklin Gothic Book"/>
          <w:caps w:val="0"/>
          <w:sz w:val="22"/>
        </w:rPr>
        <w:t>Data Needs:</w:t>
      </w:r>
    </w:p>
    <w:p w14:paraId="7DFD0D86" w14:textId="08F9E0DC" w:rsidR="00B15758" w:rsidRPr="003C4609" w:rsidRDefault="00B15758" w:rsidP="00960B64">
      <w:pPr>
        <w:pStyle w:val="BodyText-COG"/>
        <w:numPr>
          <w:ilvl w:val="0"/>
          <w:numId w:val="40"/>
        </w:numPr>
        <w:contextualSpacing/>
      </w:pPr>
      <w:r w:rsidRPr="003C4609">
        <w:t xml:space="preserve">Population: Population data for all COG jurisdictions and </w:t>
      </w:r>
      <w:r w:rsidR="00FA5C2C">
        <w:t xml:space="preserve">the </w:t>
      </w:r>
      <w:r w:rsidRPr="003C4609">
        <w:t>region</w:t>
      </w:r>
      <w:r w:rsidR="00FA5C2C">
        <w:t xml:space="preserve"> </w:t>
      </w:r>
      <w:r w:rsidRPr="003C4609">
        <w:t xml:space="preserve">are collected from the </w:t>
      </w:r>
      <w:r w:rsidR="00FA5C2C">
        <w:t>ACS</w:t>
      </w:r>
      <w:r w:rsidRPr="003C4609">
        <w:t>.</w:t>
      </w:r>
    </w:p>
    <w:p w14:paraId="6FFCC9D5" w14:textId="37721CC0" w:rsidR="00B15758" w:rsidRPr="003C4609" w:rsidRDefault="00B15758" w:rsidP="00960B64">
      <w:pPr>
        <w:pStyle w:val="BodyText-COG"/>
        <w:numPr>
          <w:ilvl w:val="0"/>
          <w:numId w:val="40"/>
        </w:numPr>
        <w:contextualSpacing/>
      </w:pPr>
      <w:r w:rsidRPr="003C4609">
        <w:lastRenderedPageBreak/>
        <w:t>U.S. Emission of Ozone Depleting Substances: National data for HFC emissions is recorded in Million Metric Tons of Carbon Dioxide Equivalent (MMTCO</w:t>
      </w:r>
      <w:r w:rsidRPr="003C4609">
        <w:rPr>
          <w:vertAlign w:val="subscript"/>
        </w:rPr>
        <w:t>2</w:t>
      </w:r>
      <w:r w:rsidRPr="003C4609">
        <w:t xml:space="preserve">e) from the U.S. EPA, Inventory of U.S. GHG Emissions and Sinks. </w:t>
      </w:r>
    </w:p>
    <w:p w14:paraId="4FD7EFD5" w14:textId="77777777" w:rsidR="00B15758" w:rsidRPr="003C4609" w:rsidRDefault="00B15758" w:rsidP="00960B64">
      <w:pPr>
        <w:pStyle w:val="BodyText-COG"/>
        <w:contextualSpacing/>
      </w:pPr>
    </w:p>
    <w:p w14:paraId="22ADE53B" w14:textId="77777777" w:rsidR="00CB0787" w:rsidRPr="000C04D8" w:rsidRDefault="00CB0787" w:rsidP="00824F84">
      <w:pPr>
        <w:pStyle w:val="Level3Head-COG"/>
        <w:spacing w:line="240" w:lineRule="auto"/>
        <w:contextualSpacing/>
      </w:pPr>
      <w:bookmarkStart w:id="474" w:name="_Toc535399941"/>
      <w:bookmarkStart w:id="475" w:name="_Toc50968803"/>
      <w:bookmarkStart w:id="476" w:name="_Toc51077792"/>
      <w:r w:rsidRPr="000C04D8">
        <w:t>fugitive emissions from natural gas distribution</w:t>
      </w:r>
      <w:bookmarkEnd w:id="474"/>
      <w:bookmarkEnd w:id="475"/>
      <w:bookmarkEnd w:id="476"/>
      <w:r w:rsidRPr="000C04D8">
        <w:t xml:space="preserve"> </w:t>
      </w:r>
    </w:p>
    <w:p w14:paraId="6EBB36BC" w14:textId="77777777" w:rsidR="003C4609" w:rsidRDefault="003C4609" w:rsidP="00960B64">
      <w:pPr>
        <w:pStyle w:val="Level4Head-COG"/>
        <w:contextualSpacing/>
      </w:pPr>
    </w:p>
    <w:p w14:paraId="75651979" w14:textId="4D591D05" w:rsidR="00CB0787" w:rsidRPr="000C04D8" w:rsidRDefault="00CB0787" w:rsidP="00960B64">
      <w:pPr>
        <w:pStyle w:val="Level4Head-COG"/>
        <w:contextualSpacing/>
      </w:pPr>
      <w:r w:rsidRPr="000C04D8">
        <w:t xml:space="preserve">Natural Gas Fugitive Emissions </w:t>
      </w:r>
    </w:p>
    <w:p w14:paraId="428F1AE9" w14:textId="77777777" w:rsidR="00CB0787" w:rsidRPr="000C04D8" w:rsidRDefault="00CB0787" w:rsidP="00960B64">
      <w:pPr>
        <w:pStyle w:val="Level5Head-COG"/>
        <w:spacing w:line="260" w:lineRule="exact"/>
        <w:contextualSpacing/>
      </w:pPr>
      <w:r w:rsidRPr="000C04D8">
        <w:t>Description</w:t>
      </w:r>
    </w:p>
    <w:p w14:paraId="0708427A" w14:textId="77777777" w:rsidR="00CB0787" w:rsidRPr="000C04D8" w:rsidRDefault="00CB0787" w:rsidP="00960B64">
      <w:pPr>
        <w:spacing w:line="260" w:lineRule="exact"/>
        <w:contextualSpacing/>
        <w:rPr>
          <w:rFonts w:ascii="Franklin Gothic Book" w:hAnsi="Franklin Gothic Book"/>
          <w:sz w:val="22"/>
          <w:szCs w:val="22"/>
        </w:rPr>
      </w:pPr>
      <w:r w:rsidRPr="000C04D8">
        <w:rPr>
          <w:rFonts w:ascii="Franklin Gothic Book" w:hAnsi="Franklin Gothic Book"/>
          <w:sz w:val="22"/>
          <w:szCs w:val="22"/>
        </w:rPr>
        <w:t xml:space="preserve">Natural Gas Fugitive Emissions accounts for emissions resulting from local natural gas system losses within the community. </w:t>
      </w:r>
    </w:p>
    <w:p w14:paraId="62EAF006" w14:textId="77777777" w:rsidR="00CB0787" w:rsidRPr="000C04D8" w:rsidRDefault="00CB0787" w:rsidP="00960B64">
      <w:pPr>
        <w:spacing w:line="260" w:lineRule="exact"/>
        <w:ind w:left="1440"/>
        <w:contextualSpacing/>
        <w:rPr>
          <w:rFonts w:ascii="Franklin Gothic Book" w:hAnsi="Franklin Gothic Book"/>
          <w:szCs w:val="19"/>
        </w:rPr>
      </w:pPr>
    </w:p>
    <w:p w14:paraId="6A070EBD" w14:textId="77777777" w:rsidR="00CB0787" w:rsidRPr="002F24BC" w:rsidRDefault="00CB0787" w:rsidP="00960B64">
      <w:pPr>
        <w:pStyle w:val="Level5Head-COG"/>
        <w:spacing w:line="260" w:lineRule="exact"/>
        <w:contextualSpacing/>
      </w:pPr>
      <w:r w:rsidRPr="002F24BC">
        <w:t xml:space="preserve">methodology </w:t>
      </w:r>
    </w:p>
    <w:p w14:paraId="2BCD4C77" w14:textId="0D729CCE" w:rsidR="00CB0787" w:rsidRPr="002F24BC" w:rsidRDefault="00CB0787" w:rsidP="00960B64">
      <w:pPr>
        <w:pStyle w:val="BodyText-COG"/>
        <w:contextualSpacing/>
        <w:rPr>
          <w:szCs w:val="22"/>
          <w:lang w:val="en"/>
        </w:rPr>
      </w:pPr>
      <w:r w:rsidRPr="002F24BC">
        <w:rPr>
          <w:szCs w:val="22"/>
          <w:lang w:val="en"/>
        </w:rPr>
        <w:t xml:space="preserve">The Fugitive Emissions from Natural Gas emission calculations uses the ClearPath calculator developed after the latest version of the </w:t>
      </w:r>
      <w:r w:rsidR="00186366">
        <w:rPr>
          <w:szCs w:val="22"/>
          <w:lang w:val="en"/>
        </w:rPr>
        <w:t>USCP</w:t>
      </w:r>
      <w:r w:rsidRPr="002F24BC">
        <w:rPr>
          <w:szCs w:val="22"/>
          <w:lang w:val="en"/>
        </w:rPr>
        <w:t xml:space="preserve"> was published (Version 1.1). The fugitive emissions are calculated based on a leakage rate for total annual natural gas consumption. The ClearPath calculator uses a leakage rate of 0.3</w:t>
      </w:r>
      <w:r w:rsidR="00186366">
        <w:rPr>
          <w:szCs w:val="22"/>
          <w:lang w:val="en"/>
        </w:rPr>
        <w:t xml:space="preserve"> percent</w:t>
      </w:r>
      <w:r w:rsidRPr="002F24BC">
        <w:rPr>
          <w:szCs w:val="22"/>
          <w:lang w:val="en"/>
        </w:rPr>
        <w:t xml:space="preserve">.  </w:t>
      </w:r>
    </w:p>
    <w:p w14:paraId="7DFB48F8" w14:textId="77777777" w:rsidR="00CB0787" w:rsidRPr="002F24BC" w:rsidRDefault="00CB0787" w:rsidP="00960B64">
      <w:pPr>
        <w:pStyle w:val="BodyText-COG"/>
        <w:contextualSpacing/>
      </w:pPr>
    </w:p>
    <w:p w14:paraId="2C2B46D5" w14:textId="77777777" w:rsidR="00CB0787" w:rsidRPr="002F24BC" w:rsidRDefault="00CB0787" w:rsidP="00960B64">
      <w:pPr>
        <w:pStyle w:val="Level5Head-COG"/>
        <w:spacing w:line="260" w:lineRule="exact"/>
        <w:contextualSpacing/>
      </w:pPr>
      <w:r w:rsidRPr="002F24BC">
        <w:t>Data Collection</w:t>
      </w:r>
    </w:p>
    <w:p w14:paraId="13493339" w14:textId="037E936D" w:rsidR="00CB0787" w:rsidRPr="002F24BC" w:rsidRDefault="00CB0787" w:rsidP="00960B64">
      <w:pPr>
        <w:spacing w:line="260" w:lineRule="exact"/>
        <w:contextualSpacing/>
        <w:rPr>
          <w:rFonts w:ascii="Franklin Gothic Book" w:hAnsi="Franklin Gothic Book"/>
          <w:sz w:val="22"/>
          <w:szCs w:val="19"/>
        </w:rPr>
      </w:pPr>
      <w:r w:rsidRPr="002F24BC">
        <w:rPr>
          <w:rFonts w:ascii="Franklin Gothic Book" w:hAnsi="Franklin Gothic Book"/>
          <w:sz w:val="22"/>
          <w:szCs w:val="19"/>
        </w:rPr>
        <w:t xml:space="preserve">Data from the Metropolitan Washington Annual Utility survey needs to first be collected and analyzed for the inventory year prior to completing these steps. </w:t>
      </w:r>
    </w:p>
    <w:p w14:paraId="7A3EBD03" w14:textId="77777777" w:rsidR="00CB0787" w:rsidRPr="002F24BC" w:rsidRDefault="00CB0787" w:rsidP="00960B64">
      <w:pPr>
        <w:spacing w:line="260" w:lineRule="exact"/>
        <w:contextualSpacing/>
        <w:rPr>
          <w:rFonts w:ascii="Franklin Gothic Book" w:hAnsi="Franklin Gothic Book"/>
          <w:sz w:val="22"/>
          <w:szCs w:val="19"/>
        </w:rPr>
      </w:pPr>
    </w:p>
    <w:p w14:paraId="53E61BD7" w14:textId="77777777" w:rsidR="00CB0787" w:rsidRPr="002F24BC" w:rsidRDefault="00CB0787" w:rsidP="00960B64">
      <w:pPr>
        <w:spacing w:line="260" w:lineRule="exact"/>
        <w:contextualSpacing/>
        <w:rPr>
          <w:rFonts w:ascii="Franklin Gothic Book" w:hAnsi="Franklin Gothic Book"/>
          <w:sz w:val="22"/>
          <w:szCs w:val="19"/>
        </w:rPr>
      </w:pPr>
      <w:r w:rsidRPr="002F24BC">
        <w:rPr>
          <w:rFonts w:ascii="Franklin Gothic Book" w:hAnsi="Franklin Gothic Book"/>
          <w:sz w:val="22"/>
          <w:szCs w:val="19"/>
        </w:rPr>
        <w:t xml:space="preserve">Data Needs: </w:t>
      </w:r>
    </w:p>
    <w:p w14:paraId="3DC6FBC5" w14:textId="77777777" w:rsidR="00CB0787" w:rsidRPr="002F24BC" w:rsidRDefault="00CB0787" w:rsidP="00960B64">
      <w:pPr>
        <w:pStyle w:val="ListParagraph"/>
        <w:numPr>
          <w:ilvl w:val="0"/>
          <w:numId w:val="41"/>
        </w:numPr>
        <w:spacing w:after="0" w:line="260" w:lineRule="exact"/>
        <w:rPr>
          <w:rFonts w:ascii="Franklin Gothic Book" w:hAnsi="Franklin Gothic Book"/>
          <w:szCs w:val="19"/>
        </w:rPr>
      </w:pPr>
      <w:r w:rsidRPr="002F24BC">
        <w:rPr>
          <w:rFonts w:ascii="Franklin Gothic Book" w:hAnsi="Franklin Gothic Book"/>
          <w:szCs w:val="19"/>
        </w:rPr>
        <w:t xml:space="preserve">Natural Gas Consumption: Total Annual Therms for each jurisdiction from the analyzed results of the Metropolitan Washington Annual Utility Survey. </w:t>
      </w:r>
    </w:p>
    <w:p w14:paraId="2B2EE426" w14:textId="46FAD8EB" w:rsidR="00F717F1" w:rsidRPr="002F24BC" w:rsidRDefault="00F717F1" w:rsidP="00960B64">
      <w:pPr>
        <w:pStyle w:val="BodyText-COG"/>
        <w:contextualSpacing/>
      </w:pPr>
    </w:p>
    <w:p w14:paraId="20608085" w14:textId="75551E35" w:rsidR="00CB0787" w:rsidRDefault="00CB0787" w:rsidP="00960B64">
      <w:pPr>
        <w:pStyle w:val="BodyText-COG"/>
        <w:contextualSpacing/>
      </w:pPr>
    </w:p>
    <w:p w14:paraId="5D74BD3B" w14:textId="628C6283" w:rsidR="00DA676C" w:rsidRDefault="00DA676C" w:rsidP="00960B64">
      <w:pPr>
        <w:pStyle w:val="BodyText-COG"/>
        <w:contextualSpacing/>
      </w:pPr>
    </w:p>
    <w:p w14:paraId="3EAC32E0" w14:textId="6F289BCE" w:rsidR="00DA676C" w:rsidRDefault="00DA676C" w:rsidP="00960B64">
      <w:pPr>
        <w:pStyle w:val="BodyText-COG"/>
        <w:contextualSpacing/>
      </w:pPr>
    </w:p>
    <w:p w14:paraId="03EE2547" w14:textId="6218B695" w:rsidR="00DA676C" w:rsidRDefault="00DA676C" w:rsidP="00960B64">
      <w:pPr>
        <w:pStyle w:val="BodyText-COG"/>
        <w:contextualSpacing/>
      </w:pPr>
    </w:p>
    <w:p w14:paraId="69216F42" w14:textId="42B61DDA" w:rsidR="00DA676C" w:rsidRDefault="00DA676C" w:rsidP="00960B64">
      <w:pPr>
        <w:pStyle w:val="BodyText-COG"/>
        <w:contextualSpacing/>
      </w:pPr>
    </w:p>
    <w:p w14:paraId="5FA41D18" w14:textId="35FD06F3" w:rsidR="00DA676C" w:rsidRDefault="00DA676C" w:rsidP="00960B64">
      <w:pPr>
        <w:pStyle w:val="BodyText-COG"/>
        <w:contextualSpacing/>
      </w:pPr>
    </w:p>
    <w:p w14:paraId="47005AF7" w14:textId="73AE8287" w:rsidR="00DA676C" w:rsidRDefault="00DA676C" w:rsidP="00960B64">
      <w:pPr>
        <w:pStyle w:val="BodyText-COG"/>
        <w:contextualSpacing/>
      </w:pPr>
    </w:p>
    <w:p w14:paraId="08D27C38" w14:textId="0DF41789" w:rsidR="00DA676C" w:rsidRDefault="00DA676C" w:rsidP="00960B64">
      <w:pPr>
        <w:pStyle w:val="BodyText-COG"/>
        <w:contextualSpacing/>
      </w:pPr>
    </w:p>
    <w:p w14:paraId="6837962B" w14:textId="3788E0B0" w:rsidR="00DA676C" w:rsidRDefault="00DA676C" w:rsidP="00960B64">
      <w:pPr>
        <w:pStyle w:val="BodyText-COG"/>
        <w:contextualSpacing/>
      </w:pPr>
    </w:p>
    <w:p w14:paraId="19209D73" w14:textId="134512A2" w:rsidR="00DA676C" w:rsidRDefault="00DA676C" w:rsidP="00960B64">
      <w:pPr>
        <w:pStyle w:val="BodyText-COG"/>
        <w:contextualSpacing/>
      </w:pPr>
    </w:p>
    <w:p w14:paraId="5BE879C3" w14:textId="00940E6D" w:rsidR="00DA676C" w:rsidRDefault="00DA676C" w:rsidP="00960B64">
      <w:pPr>
        <w:pStyle w:val="BodyText-COG"/>
        <w:contextualSpacing/>
      </w:pPr>
    </w:p>
    <w:p w14:paraId="4AFA243E" w14:textId="794D44A6" w:rsidR="00DA676C" w:rsidRDefault="00DA676C" w:rsidP="00960B64">
      <w:pPr>
        <w:pStyle w:val="BodyText-COG"/>
        <w:contextualSpacing/>
      </w:pPr>
    </w:p>
    <w:p w14:paraId="244F8FB7" w14:textId="1B491941" w:rsidR="00DA676C" w:rsidRDefault="00DA676C" w:rsidP="00960B64">
      <w:pPr>
        <w:pStyle w:val="BodyText-COG"/>
        <w:contextualSpacing/>
      </w:pPr>
    </w:p>
    <w:p w14:paraId="5E5A87D0" w14:textId="52190F0D" w:rsidR="00DA676C" w:rsidRDefault="00DA676C" w:rsidP="00960B64">
      <w:pPr>
        <w:pStyle w:val="BodyText-COG"/>
        <w:contextualSpacing/>
      </w:pPr>
    </w:p>
    <w:p w14:paraId="2663536B" w14:textId="4B8406B6" w:rsidR="00DA676C" w:rsidRDefault="00DA676C" w:rsidP="00960B64">
      <w:pPr>
        <w:pStyle w:val="BodyText-COG"/>
        <w:contextualSpacing/>
      </w:pPr>
    </w:p>
    <w:p w14:paraId="230261F7" w14:textId="2D74FF26" w:rsidR="00DA676C" w:rsidRDefault="00DA676C" w:rsidP="00960B64">
      <w:pPr>
        <w:pStyle w:val="BodyText-COG"/>
        <w:contextualSpacing/>
      </w:pPr>
    </w:p>
    <w:p w14:paraId="7C6D140A" w14:textId="7FA6CF85" w:rsidR="00DA676C" w:rsidRDefault="00DA676C" w:rsidP="00960B64">
      <w:pPr>
        <w:pStyle w:val="BodyText-COG"/>
        <w:contextualSpacing/>
      </w:pPr>
    </w:p>
    <w:p w14:paraId="3D742651" w14:textId="2BEEB4CA" w:rsidR="00DA676C" w:rsidRDefault="00DA676C" w:rsidP="00960B64">
      <w:pPr>
        <w:pStyle w:val="BodyText-COG"/>
        <w:contextualSpacing/>
      </w:pPr>
    </w:p>
    <w:p w14:paraId="7F9A682B" w14:textId="619B4210" w:rsidR="00DA676C" w:rsidRDefault="00DA676C" w:rsidP="00960B64">
      <w:pPr>
        <w:pStyle w:val="BodyText-COG"/>
        <w:contextualSpacing/>
      </w:pPr>
    </w:p>
    <w:p w14:paraId="1C42572D" w14:textId="38171A63" w:rsidR="00DA676C" w:rsidRDefault="00DA676C" w:rsidP="00960B64">
      <w:pPr>
        <w:pStyle w:val="BodyText-COG"/>
        <w:contextualSpacing/>
      </w:pPr>
    </w:p>
    <w:p w14:paraId="695C14EA" w14:textId="0C9B43C1" w:rsidR="00DA676C" w:rsidRDefault="00DA676C" w:rsidP="00960B64">
      <w:pPr>
        <w:pStyle w:val="BodyText-COG"/>
        <w:contextualSpacing/>
      </w:pPr>
    </w:p>
    <w:p w14:paraId="3B83086C" w14:textId="2CE6F1C0" w:rsidR="00DA676C" w:rsidRDefault="00DA676C" w:rsidP="00960B64">
      <w:pPr>
        <w:pStyle w:val="BodyText-COG"/>
        <w:contextualSpacing/>
      </w:pPr>
    </w:p>
    <w:p w14:paraId="32D51669" w14:textId="33C994CF" w:rsidR="00DA676C" w:rsidRDefault="00DA676C" w:rsidP="00960B64">
      <w:pPr>
        <w:pStyle w:val="BodyText-COG"/>
        <w:contextualSpacing/>
      </w:pPr>
    </w:p>
    <w:p w14:paraId="575E9ACC" w14:textId="63655687" w:rsidR="00DA676C" w:rsidRDefault="00DA676C" w:rsidP="00960B64">
      <w:pPr>
        <w:pStyle w:val="BodyText-COG"/>
        <w:contextualSpacing/>
      </w:pPr>
    </w:p>
    <w:p w14:paraId="52268D03" w14:textId="42D89FB6" w:rsidR="007A2F52" w:rsidRDefault="00DA676C" w:rsidP="00DA676C">
      <w:pPr>
        <w:pStyle w:val="Level1Head-COG"/>
        <w:outlineLvl w:val="0"/>
      </w:pPr>
      <w:bookmarkStart w:id="477" w:name="_Toc51077793"/>
      <w:r w:rsidRPr="003E433C">
        <w:lastRenderedPageBreak/>
        <w:t xml:space="preserve">Appendix </w:t>
      </w:r>
      <w:r>
        <w:t>G</w:t>
      </w:r>
      <w:r>
        <w:t xml:space="preserve">: </w:t>
      </w:r>
      <w:r>
        <w:t>BAU and 2030 scenario assumptions</w:t>
      </w:r>
      <w:bookmarkEnd w:id="477"/>
    </w:p>
    <w:p w14:paraId="7CF0842F" w14:textId="77777777" w:rsidR="006C3437" w:rsidRDefault="006C3437" w:rsidP="007A2F52">
      <w:pPr>
        <w:pStyle w:val="BodyText-COG"/>
      </w:pPr>
    </w:p>
    <w:p w14:paraId="58D6A042" w14:textId="7DA6F41F" w:rsidR="006C3437" w:rsidRDefault="006C3437" w:rsidP="007A2F52">
      <w:pPr>
        <w:pStyle w:val="BodyText-COG"/>
      </w:pPr>
      <w:r>
        <w:rPr>
          <w:rFonts w:ascii="Times New Roman" w:eastAsiaTheme="minorHAnsi" w:hAnsi="Times New Roman" w:cs="Times New Roman"/>
          <w:noProof/>
          <w:color w:val="auto"/>
          <w:sz w:val="24"/>
        </w:rPr>
        <mc:AlternateContent>
          <mc:Choice Requires="wps">
            <w:drawing>
              <wp:anchor distT="0" distB="0" distL="114300" distR="114300" simplePos="0" relativeHeight="251663872" behindDoc="1" locked="0" layoutInCell="1" allowOverlap="1" wp14:anchorId="73783999" wp14:editId="2F1549B4">
                <wp:simplePos x="0" y="0"/>
                <wp:positionH relativeFrom="column">
                  <wp:posOffset>-63610</wp:posOffset>
                </wp:positionH>
                <wp:positionV relativeFrom="paragraph">
                  <wp:posOffset>96465</wp:posOffset>
                </wp:positionV>
                <wp:extent cx="3879850" cy="167640"/>
                <wp:effectExtent l="0" t="0" r="6350" b="3810"/>
                <wp:wrapTight wrapText="bothSides">
                  <wp:wrapPolygon edited="0">
                    <wp:start x="0" y="0"/>
                    <wp:lineTo x="0" y="19636"/>
                    <wp:lineTo x="21529" y="19636"/>
                    <wp:lineTo x="21529"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3879850" cy="167640"/>
                        </a:xfrm>
                        <a:prstGeom prst="rect">
                          <a:avLst/>
                        </a:prstGeom>
                        <a:solidFill>
                          <a:prstClr val="white"/>
                        </a:solidFill>
                        <a:ln>
                          <a:noFill/>
                        </a:ln>
                      </wps:spPr>
                      <wps:txbx>
                        <w:txbxContent>
                          <w:p w14:paraId="66468E54" w14:textId="5A3B1D3E" w:rsidR="006C3437" w:rsidRDefault="00CD56B8" w:rsidP="006C3437">
                            <w:pPr>
                              <w:pStyle w:val="Caption"/>
                            </w:pPr>
                            <w:bookmarkStart w:id="478" w:name="_Toc50716896"/>
                            <w:r>
                              <w:t xml:space="preserve">Appendix </w:t>
                            </w:r>
                            <w:r w:rsidR="006C3437">
                              <w:t xml:space="preserve">Table </w:t>
                            </w:r>
                            <w:r>
                              <w:t>3</w:t>
                            </w:r>
                            <w:r w:rsidR="006C3437">
                              <w:t>: Business-As-Usual Projection Assumptions</w:t>
                            </w:r>
                            <w:bookmarkEnd w:id="47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83999" id="Text Box 12" o:spid="_x0000_s1028" type="#_x0000_t202" style="position:absolute;margin-left:-5pt;margin-top:7.6pt;width:305.5pt;height:1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" stroked="f">
                <v:textbox inset="0,0,0,0">
                  <w:txbxContent>
                    <w:p w14:paraId="66468E54" w14:textId="5A3B1D3E" w:rsidR="006C3437" w:rsidRDefault="00CD56B8" w:rsidP="006C3437">
                      <w:pPr>
                        <w:pStyle w:val="Caption"/>
                      </w:pPr>
                      <w:bookmarkStart w:id="479" w:name="_Toc50716896"/>
                      <w:r>
                        <w:t xml:space="preserve">Appendix </w:t>
                      </w:r>
                      <w:r w:rsidR="006C3437">
                        <w:t xml:space="preserve">Table </w:t>
                      </w:r>
                      <w:r>
                        <w:t>3</w:t>
                      </w:r>
                      <w:r w:rsidR="006C3437">
                        <w:t>: Business-As-Usual Projection Assumptions</w:t>
                      </w:r>
                      <w:bookmarkEnd w:id="479"/>
                    </w:p>
                  </w:txbxContent>
                </v:textbox>
                <w10:wrap type="tight"/>
              </v:shape>
            </w:pict>
          </mc:Fallback>
        </mc:AlternateContent>
      </w:r>
    </w:p>
    <w:p w14:paraId="505F612D" w14:textId="6A6D496E" w:rsidR="006C3437" w:rsidRDefault="006C3437" w:rsidP="007A2F52">
      <w:pPr>
        <w:pStyle w:val="BodyText-COG"/>
      </w:pPr>
    </w:p>
    <w:tbl>
      <w:tblPr>
        <w:tblW w:w="9340" w:type="dxa"/>
        <w:tblLook w:val="04A0" w:firstRow="1" w:lastRow="0" w:firstColumn="1" w:lastColumn="0" w:noHBand="0" w:noVBand="1"/>
      </w:tblPr>
      <w:tblGrid>
        <w:gridCol w:w="1940"/>
        <w:gridCol w:w="7178"/>
        <w:gridCol w:w="222"/>
      </w:tblGrid>
      <w:tr w:rsidR="006C3437" w14:paraId="60E2D52C" w14:textId="77777777" w:rsidTr="006C3437">
        <w:trPr>
          <w:gridAfter w:val="1"/>
          <w:trHeight w:val="640"/>
        </w:trPr>
        <w:tc>
          <w:tcPr>
            <w:tcW w:w="1960" w:type="dxa"/>
            <w:tcBorders>
              <w:top w:val="single" w:sz="4" w:space="0" w:color="auto"/>
              <w:left w:val="single" w:sz="4" w:space="0" w:color="auto"/>
              <w:bottom w:val="single" w:sz="4" w:space="0" w:color="auto"/>
              <w:right w:val="single" w:sz="4" w:space="0" w:color="auto"/>
            </w:tcBorders>
            <w:shd w:val="clear" w:color="auto" w:fill="2F6B97"/>
            <w:vAlign w:val="center"/>
            <w:hideMark/>
          </w:tcPr>
          <w:p w14:paraId="018FC1A5" w14:textId="77777777" w:rsidR="006C3437" w:rsidRDefault="006C3437">
            <w:pPr>
              <w:rPr>
                <w:rFonts w:ascii="Franklin Gothic Medium" w:eastAsia="Times New Roman" w:hAnsi="Franklin Gothic Medium" w:cs="Calibri"/>
                <w:color w:val="FFFFFF"/>
                <w:sz w:val="24"/>
              </w:rPr>
            </w:pPr>
            <w:r>
              <w:rPr>
                <w:rFonts w:ascii="Franklin Gothic Medium" w:eastAsia="Times New Roman" w:hAnsi="Franklin Gothic Medium" w:cs="Calibri"/>
                <w:color w:val="FFFFFF"/>
                <w:sz w:val="24"/>
              </w:rPr>
              <w:t>Emissions Activity</w:t>
            </w:r>
          </w:p>
        </w:tc>
        <w:tc>
          <w:tcPr>
            <w:tcW w:w="7380" w:type="dxa"/>
            <w:tcBorders>
              <w:top w:val="single" w:sz="4" w:space="0" w:color="auto"/>
              <w:left w:val="nil"/>
              <w:bottom w:val="single" w:sz="4" w:space="0" w:color="auto"/>
              <w:right w:val="single" w:sz="4" w:space="0" w:color="auto"/>
            </w:tcBorders>
            <w:shd w:val="clear" w:color="auto" w:fill="2F6B97"/>
            <w:vAlign w:val="center"/>
            <w:hideMark/>
          </w:tcPr>
          <w:p w14:paraId="03048EB1" w14:textId="77777777" w:rsidR="006C3437" w:rsidRDefault="006C3437">
            <w:pPr>
              <w:rPr>
                <w:rFonts w:ascii="Franklin Gothic Medium" w:eastAsia="Times New Roman" w:hAnsi="Franklin Gothic Medium" w:cs="Calibri"/>
                <w:color w:val="FFFFFF"/>
                <w:sz w:val="24"/>
              </w:rPr>
            </w:pPr>
            <w:r>
              <w:rPr>
                <w:rFonts w:ascii="Franklin Gothic Medium" w:eastAsia="Times New Roman" w:hAnsi="Franklin Gothic Medium" w:cs="Calibri"/>
                <w:color w:val="FFFFFF"/>
                <w:sz w:val="24"/>
              </w:rPr>
              <w:t>BAU Assumptions</w:t>
            </w:r>
          </w:p>
        </w:tc>
      </w:tr>
      <w:tr w:rsidR="006C3437" w14:paraId="0B31C718" w14:textId="77777777" w:rsidTr="006C3437">
        <w:trPr>
          <w:gridAfter w:val="1"/>
          <w:trHeight w:val="600"/>
        </w:trPr>
        <w:tc>
          <w:tcPr>
            <w:tcW w:w="1960" w:type="dxa"/>
            <w:vMerge w:val="restart"/>
            <w:tcBorders>
              <w:top w:val="nil"/>
              <w:left w:val="single" w:sz="4" w:space="0" w:color="auto"/>
              <w:bottom w:val="single" w:sz="4" w:space="0" w:color="auto"/>
              <w:right w:val="single" w:sz="4" w:space="0" w:color="auto"/>
            </w:tcBorders>
            <w:shd w:val="clear" w:color="auto" w:fill="FFFFFF"/>
            <w:vAlign w:val="center"/>
            <w:hideMark/>
          </w:tcPr>
          <w:p w14:paraId="7918D926"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Residential Energy</w:t>
            </w:r>
          </w:p>
        </w:tc>
        <w:tc>
          <w:tcPr>
            <w:tcW w:w="7380" w:type="dxa"/>
            <w:tcBorders>
              <w:top w:val="nil"/>
              <w:left w:val="nil"/>
              <w:bottom w:val="single" w:sz="4" w:space="0" w:color="auto"/>
              <w:right w:val="single" w:sz="4" w:space="0" w:color="auto"/>
            </w:tcBorders>
            <w:shd w:val="clear" w:color="auto" w:fill="FFFFFF"/>
            <w:vAlign w:val="center"/>
            <w:hideMark/>
          </w:tcPr>
          <w:p w14:paraId="494F886E"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COG Cooperative Forecasts Round 9.1 household growth by COG member jurisdiction</w:t>
            </w:r>
          </w:p>
        </w:tc>
      </w:tr>
      <w:tr w:rsidR="006C3437" w14:paraId="0F5BF1C0" w14:textId="77777777" w:rsidTr="006C3437">
        <w:trPr>
          <w:gridAfter w:val="1"/>
          <w:trHeight w:val="600"/>
        </w:trPr>
        <w:tc>
          <w:tcPr>
            <w:tcW w:w="0" w:type="auto"/>
            <w:vMerge/>
            <w:tcBorders>
              <w:top w:val="nil"/>
              <w:left w:val="single" w:sz="4" w:space="0" w:color="auto"/>
              <w:bottom w:val="single" w:sz="4" w:space="0" w:color="auto"/>
              <w:right w:val="single" w:sz="4" w:space="0" w:color="auto"/>
            </w:tcBorders>
            <w:vAlign w:val="center"/>
            <w:hideMark/>
          </w:tcPr>
          <w:p w14:paraId="0FAFA31D"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FFFFFF"/>
            <w:vAlign w:val="center"/>
            <w:hideMark/>
          </w:tcPr>
          <w:p w14:paraId="60113645"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Applied to typical housing mix in each community (Single Family Detached, Attached, Apartments 2-4 Units, Apartments 5+ Units)</w:t>
            </w:r>
          </w:p>
        </w:tc>
      </w:tr>
      <w:tr w:rsidR="006C3437" w14:paraId="4373346B" w14:textId="77777777" w:rsidTr="006C3437">
        <w:trPr>
          <w:gridAfter w:val="1"/>
          <w:trHeight w:val="300"/>
        </w:trPr>
        <w:tc>
          <w:tcPr>
            <w:tcW w:w="0" w:type="auto"/>
            <w:vMerge/>
            <w:tcBorders>
              <w:top w:val="nil"/>
              <w:left w:val="single" w:sz="4" w:space="0" w:color="auto"/>
              <w:bottom w:val="single" w:sz="4" w:space="0" w:color="auto"/>
              <w:right w:val="single" w:sz="4" w:space="0" w:color="auto"/>
            </w:tcBorders>
            <w:vAlign w:val="center"/>
            <w:hideMark/>
          </w:tcPr>
          <w:p w14:paraId="55560FD1"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FFFFFF"/>
            <w:vAlign w:val="center"/>
            <w:hideMark/>
          </w:tcPr>
          <w:p w14:paraId="61A9A030"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Typical energy use intensity by housing type</w:t>
            </w:r>
          </w:p>
        </w:tc>
      </w:tr>
      <w:tr w:rsidR="006C3437" w14:paraId="331FC4BA" w14:textId="77777777" w:rsidTr="006C3437">
        <w:trPr>
          <w:gridAfter w:val="1"/>
          <w:trHeight w:val="300"/>
        </w:trPr>
        <w:tc>
          <w:tcPr>
            <w:tcW w:w="1960" w:type="dxa"/>
            <w:vMerge w:val="restart"/>
            <w:tcBorders>
              <w:top w:val="nil"/>
              <w:left w:val="single" w:sz="4" w:space="0" w:color="auto"/>
              <w:bottom w:val="single" w:sz="4" w:space="0" w:color="auto"/>
              <w:right w:val="single" w:sz="4" w:space="0" w:color="auto"/>
            </w:tcBorders>
            <w:shd w:val="clear" w:color="auto" w:fill="DCE1E4"/>
            <w:vAlign w:val="center"/>
            <w:hideMark/>
          </w:tcPr>
          <w:p w14:paraId="35AEC4B0"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Commercial Energy</w:t>
            </w:r>
          </w:p>
        </w:tc>
        <w:tc>
          <w:tcPr>
            <w:tcW w:w="7380" w:type="dxa"/>
            <w:tcBorders>
              <w:top w:val="nil"/>
              <w:left w:val="nil"/>
              <w:bottom w:val="single" w:sz="4" w:space="0" w:color="auto"/>
              <w:right w:val="single" w:sz="4" w:space="0" w:color="auto"/>
            </w:tcBorders>
            <w:shd w:val="clear" w:color="auto" w:fill="DCE1E4"/>
            <w:vAlign w:val="center"/>
            <w:hideMark/>
          </w:tcPr>
          <w:p w14:paraId="0CBC6949"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9.1 Cooperative Forecasts employment growth by COG member jurisdiction </w:t>
            </w:r>
          </w:p>
        </w:tc>
      </w:tr>
      <w:tr w:rsidR="006C3437" w14:paraId="0D028507" w14:textId="77777777" w:rsidTr="006C3437">
        <w:trPr>
          <w:gridAfter w:val="1"/>
          <w:trHeight w:val="300"/>
        </w:trPr>
        <w:tc>
          <w:tcPr>
            <w:tcW w:w="0" w:type="auto"/>
            <w:vMerge/>
            <w:tcBorders>
              <w:top w:val="nil"/>
              <w:left w:val="single" w:sz="4" w:space="0" w:color="auto"/>
              <w:bottom w:val="single" w:sz="4" w:space="0" w:color="auto"/>
              <w:right w:val="single" w:sz="4" w:space="0" w:color="auto"/>
            </w:tcBorders>
            <w:vAlign w:val="center"/>
            <w:hideMark/>
          </w:tcPr>
          <w:p w14:paraId="64CAD7AE"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DCE1E4"/>
            <w:vAlign w:val="center"/>
            <w:hideMark/>
          </w:tcPr>
          <w:p w14:paraId="54C10C52"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Historic job growth &amp; commercial construction -&gt; SQFT new construction / job</w:t>
            </w:r>
          </w:p>
        </w:tc>
      </w:tr>
      <w:tr w:rsidR="006C3437" w14:paraId="36191058" w14:textId="77777777" w:rsidTr="006C3437">
        <w:trPr>
          <w:gridAfter w:val="1"/>
          <w:trHeight w:val="600"/>
        </w:trPr>
        <w:tc>
          <w:tcPr>
            <w:tcW w:w="0" w:type="auto"/>
            <w:vMerge/>
            <w:tcBorders>
              <w:top w:val="nil"/>
              <w:left w:val="single" w:sz="4" w:space="0" w:color="auto"/>
              <w:bottom w:val="single" w:sz="4" w:space="0" w:color="auto"/>
              <w:right w:val="single" w:sz="4" w:space="0" w:color="auto"/>
            </w:tcBorders>
            <w:vAlign w:val="center"/>
            <w:hideMark/>
          </w:tcPr>
          <w:p w14:paraId="34B60BDA"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DCE1E4"/>
            <w:vAlign w:val="center"/>
            <w:hideMark/>
          </w:tcPr>
          <w:p w14:paraId="46F16769"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New building mix by Core, Inner, Outer areas from COG Commercial Construction Report</w:t>
            </w:r>
          </w:p>
        </w:tc>
      </w:tr>
      <w:tr w:rsidR="006C3437" w14:paraId="313F5A3D" w14:textId="77777777" w:rsidTr="006C3437">
        <w:trPr>
          <w:gridAfter w:val="1"/>
          <w:trHeight w:val="300"/>
        </w:trPr>
        <w:tc>
          <w:tcPr>
            <w:tcW w:w="0" w:type="auto"/>
            <w:vMerge/>
            <w:tcBorders>
              <w:top w:val="nil"/>
              <w:left w:val="single" w:sz="4" w:space="0" w:color="auto"/>
              <w:bottom w:val="single" w:sz="4" w:space="0" w:color="auto"/>
              <w:right w:val="single" w:sz="4" w:space="0" w:color="auto"/>
            </w:tcBorders>
            <w:vAlign w:val="center"/>
            <w:hideMark/>
          </w:tcPr>
          <w:p w14:paraId="7A94DAB4"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DCE1E4"/>
            <w:vAlign w:val="center"/>
            <w:hideMark/>
          </w:tcPr>
          <w:p w14:paraId="3B972A52"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Typical energy use intensity by building type (office, retail, flex/other)</w:t>
            </w:r>
          </w:p>
        </w:tc>
      </w:tr>
      <w:tr w:rsidR="006C3437" w14:paraId="2E3360ED" w14:textId="77777777" w:rsidTr="006C3437">
        <w:trPr>
          <w:gridAfter w:val="1"/>
          <w:trHeight w:val="300"/>
        </w:trPr>
        <w:tc>
          <w:tcPr>
            <w:tcW w:w="1960" w:type="dxa"/>
            <w:vMerge w:val="restart"/>
            <w:tcBorders>
              <w:top w:val="nil"/>
              <w:left w:val="single" w:sz="4" w:space="0" w:color="auto"/>
              <w:bottom w:val="single" w:sz="4" w:space="0" w:color="auto"/>
              <w:right w:val="single" w:sz="4" w:space="0" w:color="auto"/>
            </w:tcBorders>
            <w:shd w:val="clear" w:color="auto" w:fill="FFFFFF"/>
            <w:vAlign w:val="center"/>
            <w:hideMark/>
          </w:tcPr>
          <w:p w14:paraId="6675B6D1"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On-Road Mobile Emissions</w:t>
            </w:r>
          </w:p>
        </w:tc>
        <w:tc>
          <w:tcPr>
            <w:tcW w:w="7380" w:type="dxa"/>
            <w:tcBorders>
              <w:top w:val="nil"/>
              <w:left w:val="nil"/>
              <w:bottom w:val="single" w:sz="4" w:space="0" w:color="auto"/>
              <w:right w:val="single" w:sz="4" w:space="0" w:color="auto"/>
            </w:tcBorders>
            <w:shd w:val="clear" w:color="auto" w:fill="FFFFFF"/>
            <w:vAlign w:val="center"/>
            <w:hideMark/>
          </w:tcPr>
          <w:p w14:paraId="4CF355E7"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Adopted Transportation Planning Board projections from Vision 2045</w:t>
            </w:r>
          </w:p>
        </w:tc>
      </w:tr>
      <w:tr w:rsidR="006C3437" w14:paraId="01E9AD7F" w14:textId="77777777" w:rsidTr="006C3437">
        <w:trPr>
          <w:gridAfter w:val="1"/>
          <w:trHeight w:val="300"/>
        </w:trPr>
        <w:tc>
          <w:tcPr>
            <w:tcW w:w="0" w:type="auto"/>
            <w:vMerge/>
            <w:tcBorders>
              <w:top w:val="nil"/>
              <w:left w:val="single" w:sz="4" w:space="0" w:color="auto"/>
              <w:bottom w:val="single" w:sz="4" w:space="0" w:color="auto"/>
              <w:right w:val="single" w:sz="4" w:space="0" w:color="auto"/>
            </w:tcBorders>
            <w:vAlign w:val="center"/>
            <w:hideMark/>
          </w:tcPr>
          <w:p w14:paraId="041A2E0E"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FFFFFF"/>
            <w:vAlign w:val="center"/>
            <w:hideMark/>
          </w:tcPr>
          <w:p w14:paraId="7B658D46"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Transportation Demand Model 2.3.75</w:t>
            </w:r>
          </w:p>
        </w:tc>
      </w:tr>
      <w:tr w:rsidR="006C3437" w14:paraId="71DAA4FE" w14:textId="77777777" w:rsidTr="006C3437">
        <w:trPr>
          <w:gridAfter w:val="1"/>
          <w:trHeight w:val="600"/>
        </w:trPr>
        <w:tc>
          <w:tcPr>
            <w:tcW w:w="0" w:type="auto"/>
            <w:vMerge/>
            <w:tcBorders>
              <w:top w:val="nil"/>
              <w:left w:val="single" w:sz="4" w:space="0" w:color="auto"/>
              <w:bottom w:val="single" w:sz="4" w:space="0" w:color="auto"/>
              <w:right w:val="single" w:sz="4" w:space="0" w:color="auto"/>
            </w:tcBorders>
            <w:vAlign w:val="center"/>
            <w:hideMark/>
          </w:tcPr>
          <w:p w14:paraId="7CB1865F"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FFFFFF"/>
            <w:vAlign w:val="center"/>
            <w:hideMark/>
          </w:tcPr>
          <w:p w14:paraId="417CF548"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Uses Visualize 2045 Transportation Networks &amp; 9.1 Cooperative Forecasts as inputs</w:t>
            </w:r>
          </w:p>
        </w:tc>
      </w:tr>
      <w:tr w:rsidR="006C3437" w14:paraId="528C6C65" w14:textId="77777777" w:rsidTr="006C3437">
        <w:trPr>
          <w:gridAfter w:val="1"/>
          <w:trHeight w:val="300"/>
        </w:trPr>
        <w:tc>
          <w:tcPr>
            <w:tcW w:w="0" w:type="auto"/>
            <w:vMerge/>
            <w:tcBorders>
              <w:top w:val="nil"/>
              <w:left w:val="single" w:sz="4" w:space="0" w:color="auto"/>
              <w:bottom w:val="single" w:sz="4" w:space="0" w:color="auto"/>
              <w:right w:val="single" w:sz="4" w:space="0" w:color="auto"/>
            </w:tcBorders>
            <w:vAlign w:val="center"/>
            <w:hideMark/>
          </w:tcPr>
          <w:p w14:paraId="6BF89C4E"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FFFFFF"/>
            <w:vAlign w:val="center"/>
            <w:hideMark/>
          </w:tcPr>
          <w:p w14:paraId="3B915C3D"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EPA MOVES2014b</w:t>
            </w:r>
          </w:p>
        </w:tc>
      </w:tr>
      <w:tr w:rsidR="006C3437" w14:paraId="6D455429" w14:textId="77777777" w:rsidTr="006C3437">
        <w:trPr>
          <w:gridAfter w:val="1"/>
          <w:trHeight w:val="300"/>
        </w:trPr>
        <w:tc>
          <w:tcPr>
            <w:tcW w:w="0" w:type="auto"/>
            <w:vMerge/>
            <w:tcBorders>
              <w:top w:val="nil"/>
              <w:left w:val="single" w:sz="4" w:space="0" w:color="auto"/>
              <w:bottom w:val="single" w:sz="4" w:space="0" w:color="auto"/>
              <w:right w:val="single" w:sz="4" w:space="0" w:color="auto"/>
            </w:tcBorders>
            <w:vAlign w:val="center"/>
            <w:hideMark/>
          </w:tcPr>
          <w:p w14:paraId="70274F88"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FFFFFF"/>
            <w:vAlign w:val="center"/>
            <w:hideMark/>
          </w:tcPr>
          <w:p w14:paraId="2F230360"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Incorporates incremental improvements in average fuel economy</w:t>
            </w:r>
          </w:p>
        </w:tc>
      </w:tr>
      <w:tr w:rsidR="006C3437" w14:paraId="498DB764" w14:textId="77777777" w:rsidTr="006C3437">
        <w:trPr>
          <w:gridAfter w:val="1"/>
          <w:trHeight w:val="600"/>
        </w:trPr>
        <w:tc>
          <w:tcPr>
            <w:tcW w:w="1960" w:type="dxa"/>
            <w:vMerge w:val="restart"/>
            <w:tcBorders>
              <w:top w:val="nil"/>
              <w:left w:val="single" w:sz="4" w:space="0" w:color="auto"/>
              <w:bottom w:val="single" w:sz="4" w:space="0" w:color="auto"/>
              <w:right w:val="single" w:sz="4" w:space="0" w:color="auto"/>
            </w:tcBorders>
            <w:shd w:val="clear" w:color="auto" w:fill="DCE1E4"/>
            <w:vAlign w:val="center"/>
            <w:hideMark/>
          </w:tcPr>
          <w:p w14:paraId="17BAA461"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Air and Rail Travel</w:t>
            </w:r>
          </w:p>
        </w:tc>
        <w:tc>
          <w:tcPr>
            <w:tcW w:w="7380" w:type="dxa"/>
            <w:tcBorders>
              <w:top w:val="nil"/>
              <w:left w:val="nil"/>
              <w:bottom w:val="single" w:sz="4" w:space="0" w:color="auto"/>
              <w:right w:val="single" w:sz="4" w:space="0" w:color="auto"/>
            </w:tcBorders>
            <w:shd w:val="clear" w:color="auto" w:fill="DCE1E4"/>
            <w:vAlign w:val="center"/>
            <w:hideMark/>
          </w:tcPr>
          <w:p w14:paraId="6E40DDE6"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Passenger growth based on COG Regional Air Passenger Origin/Destination Forecast </w:t>
            </w:r>
          </w:p>
        </w:tc>
      </w:tr>
      <w:tr w:rsidR="006C3437" w14:paraId="3CB939D3" w14:textId="77777777" w:rsidTr="006C3437">
        <w:trPr>
          <w:gridAfter w:val="1"/>
          <w:trHeight w:val="600"/>
        </w:trPr>
        <w:tc>
          <w:tcPr>
            <w:tcW w:w="0" w:type="auto"/>
            <w:vMerge/>
            <w:tcBorders>
              <w:top w:val="nil"/>
              <w:left w:val="single" w:sz="4" w:space="0" w:color="auto"/>
              <w:bottom w:val="single" w:sz="4" w:space="0" w:color="auto"/>
              <w:right w:val="single" w:sz="4" w:space="0" w:color="auto"/>
            </w:tcBorders>
            <w:vAlign w:val="center"/>
            <w:hideMark/>
          </w:tcPr>
          <w:p w14:paraId="5CC15476" w14:textId="77777777" w:rsidR="006C3437" w:rsidRDefault="006C3437">
            <w:pPr>
              <w:rPr>
                <w:rFonts w:ascii="Franklin Gothic Book" w:eastAsia="Times New Roman" w:hAnsi="Franklin Gothic Book" w:cs="Calibri"/>
                <w:color w:val="000000"/>
                <w:sz w:val="22"/>
                <w:szCs w:val="22"/>
              </w:rPr>
            </w:pPr>
          </w:p>
        </w:tc>
        <w:tc>
          <w:tcPr>
            <w:tcW w:w="7380" w:type="dxa"/>
            <w:tcBorders>
              <w:top w:val="nil"/>
              <w:left w:val="nil"/>
              <w:bottom w:val="single" w:sz="4" w:space="0" w:color="auto"/>
              <w:right w:val="single" w:sz="4" w:space="0" w:color="auto"/>
            </w:tcBorders>
            <w:shd w:val="clear" w:color="auto" w:fill="DCE1E4"/>
            <w:vAlign w:val="center"/>
            <w:hideMark/>
          </w:tcPr>
          <w:p w14:paraId="7FD22A99"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Percent increase derived from Transportation Planning Board projections of future ridership</w:t>
            </w:r>
          </w:p>
        </w:tc>
      </w:tr>
      <w:tr w:rsidR="006C3437" w14:paraId="2A039797" w14:textId="77777777" w:rsidTr="006C3437">
        <w:trPr>
          <w:gridAfter w:val="1"/>
          <w:trHeight w:val="600"/>
        </w:trPr>
        <w:tc>
          <w:tcPr>
            <w:tcW w:w="1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C3270"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Off-Road Mobile Emissions</w:t>
            </w:r>
          </w:p>
        </w:tc>
        <w:tc>
          <w:tcPr>
            <w:tcW w:w="7380" w:type="dxa"/>
            <w:tcBorders>
              <w:top w:val="single" w:sz="4" w:space="0" w:color="auto"/>
              <w:left w:val="nil"/>
              <w:bottom w:val="single" w:sz="4" w:space="0" w:color="auto"/>
              <w:right w:val="single" w:sz="4" w:space="0" w:color="auto"/>
            </w:tcBorders>
            <w:shd w:val="clear" w:color="auto" w:fill="FFFFFF"/>
            <w:vAlign w:val="center"/>
            <w:hideMark/>
          </w:tcPr>
          <w:p w14:paraId="0857C3EA"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Held constant</w:t>
            </w:r>
          </w:p>
        </w:tc>
      </w:tr>
      <w:tr w:rsidR="006C3437" w14:paraId="456BDA7A" w14:textId="77777777" w:rsidTr="006C3437">
        <w:trPr>
          <w:gridAfter w:val="1"/>
          <w:trHeight w:val="600"/>
        </w:trPr>
        <w:tc>
          <w:tcPr>
            <w:tcW w:w="1960" w:type="dxa"/>
            <w:tcBorders>
              <w:top w:val="nil"/>
              <w:left w:val="single" w:sz="4" w:space="0" w:color="auto"/>
              <w:bottom w:val="single" w:sz="4" w:space="0" w:color="auto"/>
              <w:right w:val="single" w:sz="4" w:space="0" w:color="auto"/>
            </w:tcBorders>
            <w:shd w:val="clear" w:color="auto" w:fill="DCE1E4"/>
            <w:vAlign w:val="center"/>
            <w:hideMark/>
          </w:tcPr>
          <w:p w14:paraId="66DB3C71"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Agriculture</w:t>
            </w:r>
          </w:p>
        </w:tc>
        <w:tc>
          <w:tcPr>
            <w:tcW w:w="7380" w:type="dxa"/>
            <w:tcBorders>
              <w:top w:val="nil"/>
              <w:left w:val="nil"/>
              <w:bottom w:val="single" w:sz="4" w:space="0" w:color="auto"/>
              <w:right w:val="single" w:sz="4" w:space="0" w:color="auto"/>
            </w:tcBorders>
            <w:shd w:val="clear" w:color="auto" w:fill="DCE1E4"/>
            <w:vAlign w:val="center"/>
            <w:hideMark/>
          </w:tcPr>
          <w:p w14:paraId="03AAAAEC"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All sources (soils, livestock, manure) decreased at annual rate of recent loss in farmland (2007-2012) from COG What our Region Grows Report, 2017</w:t>
            </w:r>
          </w:p>
        </w:tc>
      </w:tr>
      <w:tr w:rsidR="006C3437" w14:paraId="4BB6EF53" w14:textId="77777777" w:rsidTr="006C3437">
        <w:trPr>
          <w:gridAfter w:val="1"/>
          <w:trHeight w:val="290"/>
        </w:trPr>
        <w:tc>
          <w:tcPr>
            <w:tcW w:w="1960" w:type="dxa"/>
            <w:vMerge w:val="restart"/>
            <w:tcBorders>
              <w:top w:val="nil"/>
              <w:left w:val="single" w:sz="4" w:space="0" w:color="auto"/>
              <w:bottom w:val="single" w:sz="4" w:space="0" w:color="auto"/>
              <w:right w:val="single" w:sz="4" w:space="0" w:color="auto"/>
            </w:tcBorders>
            <w:shd w:val="clear" w:color="auto" w:fill="FFFFFF"/>
            <w:vAlign w:val="center"/>
            <w:hideMark/>
          </w:tcPr>
          <w:p w14:paraId="55A963BE"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Waste (Solid Waste and Wastewater), HFCs </w:t>
            </w:r>
          </w:p>
        </w:tc>
        <w:tc>
          <w:tcPr>
            <w:tcW w:w="7380" w:type="dxa"/>
            <w:vMerge w:val="restart"/>
            <w:tcBorders>
              <w:top w:val="nil"/>
              <w:left w:val="single" w:sz="4" w:space="0" w:color="auto"/>
              <w:bottom w:val="single" w:sz="4" w:space="0" w:color="auto"/>
              <w:right w:val="single" w:sz="4" w:space="0" w:color="auto"/>
            </w:tcBorders>
            <w:shd w:val="clear" w:color="auto" w:fill="FFFFFF"/>
            <w:vAlign w:val="center"/>
            <w:hideMark/>
          </w:tcPr>
          <w:p w14:paraId="5E645FAA"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Proportional increase with population</w:t>
            </w:r>
          </w:p>
        </w:tc>
      </w:tr>
      <w:tr w:rsidR="006C3437" w14:paraId="03E6B061" w14:textId="77777777" w:rsidTr="006C3437">
        <w:trPr>
          <w:trHeight w:val="290"/>
        </w:trPr>
        <w:tc>
          <w:tcPr>
            <w:tcW w:w="0" w:type="auto"/>
            <w:vMerge/>
            <w:tcBorders>
              <w:top w:val="nil"/>
              <w:left w:val="single" w:sz="4" w:space="0" w:color="auto"/>
              <w:bottom w:val="single" w:sz="4" w:space="0" w:color="auto"/>
              <w:right w:val="single" w:sz="4" w:space="0" w:color="auto"/>
            </w:tcBorders>
            <w:vAlign w:val="center"/>
            <w:hideMark/>
          </w:tcPr>
          <w:p w14:paraId="44081294" w14:textId="77777777" w:rsidR="006C3437" w:rsidRDefault="006C3437">
            <w:pPr>
              <w:rPr>
                <w:rFonts w:ascii="Franklin Gothic Book" w:eastAsia="Times New Roman" w:hAnsi="Franklin Gothic Book"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4BD7FED" w14:textId="77777777" w:rsidR="006C3437" w:rsidRDefault="006C3437">
            <w:pPr>
              <w:rPr>
                <w:rFonts w:ascii="Franklin Gothic Book" w:eastAsia="Times New Roman" w:hAnsi="Franklin Gothic Book" w:cs="Calibri"/>
                <w:color w:val="000000"/>
                <w:sz w:val="22"/>
                <w:szCs w:val="22"/>
              </w:rPr>
            </w:pPr>
          </w:p>
        </w:tc>
        <w:tc>
          <w:tcPr>
            <w:tcW w:w="0" w:type="auto"/>
            <w:vAlign w:val="center"/>
            <w:hideMark/>
          </w:tcPr>
          <w:p w14:paraId="74E15780" w14:textId="77777777" w:rsidR="006C3437" w:rsidRDefault="006C3437">
            <w:pPr>
              <w:rPr>
                <w:rFonts w:ascii="Franklin Gothic Book" w:eastAsia="Times New Roman" w:hAnsi="Franklin Gothic Book" w:cs="Calibri"/>
                <w:color w:val="000000"/>
                <w:sz w:val="22"/>
                <w:szCs w:val="22"/>
              </w:rPr>
            </w:pPr>
          </w:p>
        </w:tc>
      </w:tr>
      <w:tr w:rsidR="006C3437" w14:paraId="5E565C22" w14:textId="77777777" w:rsidTr="006C3437">
        <w:trPr>
          <w:trHeight w:val="290"/>
        </w:trPr>
        <w:tc>
          <w:tcPr>
            <w:tcW w:w="0" w:type="auto"/>
            <w:vMerge/>
            <w:tcBorders>
              <w:top w:val="nil"/>
              <w:left w:val="single" w:sz="4" w:space="0" w:color="auto"/>
              <w:bottom w:val="single" w:sz="4" w:space="0" w:color="auto"/>
              <w:right w:val="single" w:sz="4" w:space="0" w:color="auto"/>
            </w:tcBorders>
            <w:vAlign w:val="center"/>
            <w:hideMark/>
          </w:tcPr>
          <w:p w14:paraId="44093BDA" w14:textId="77777777" w:rsidR="006C3437" w:rsidRDefault="006C3437">
            <w:pPr>
              <w:rPr>
                <w:rFonts w:ascii="Franklin Gothic Book" w:eastAsia="Times New Roman" w:hAnsi="Franklin Gothic Book"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149E008" w14:textId="77777777" w:rsidR="006C3437" w:rsidRDefault="006C3437">
            <w:pPr>
              <w:rPr>
                <w:rFonts w:ascii="Franklin Gothic Book" w:eastAsia="Times New Roman" w:hAnsi="Franklin Gothic Book" w:cs="Calibri"/>
                <w:color w:val="000000"/>
                <w:sz w:val="22"/>
                <w:szCs w:val="22"/>
              </w:rPr>
            </w:pPr>
          </w:p>
        </w:tc>
        <w:tc>
          <w:tcPr>
            <w:tcW w:w="0" w:type="auto"/>
            <w:vAlign w:val="center"/>
            <w:hideMark/>
          </w:tcPr>
          <w:p w14:paraId="7A245178" w14:textId="77777777" w:rsidR="006C3437" w:rsidRDefault="006C3437">
            <w:pPr>
              <w:rPr>
                <w:rFonts w:asciiTheme="minorHAnsi" w:eastAsiaTheme="minorHAnsi" w:hAnsiTheme="minorHAnsi"/>
                <w:color w:val="auto"/>
                <w:sz w:val="20"/>
                <w:szCs w:val="20"/>
              </w:rPr>
            </w:pPr>
          </w:p>
        </w:tc>
      </w:tr>
      <w:tr w:rsidR="006C3437" w14:paraId="2EF4644B" w14:textId="77777777" w:rsidTr="006C3437">
        <w:trPr>
          <w:trHeight w:val="600"/>
        </w:trPr>
        <w:tc>
          <w:tcPr>
            <w:tcW w:w="1960" w:type="dxa"/>
            <w:tcBorders>
              <w:top w:val="nil"/>
              <w:left w:val="single" w:sz="4" w:space="0" w:color="auto"/>
              <w:bottom w:val="single" w:sz="4" w:space="0" w:color="auto"/>
              <w:right w:val="single" w:sz="4" w:space="0" w:color="auto"/>
            </w:tcBorders>
            <w:shd w:val="clear" w:color="auto" w:fill="DCE1E4"/>
            <w:vAlign w:val="center"/>
            <w:hideMark/>
          </w:tcPr>
          <w:p w14:paraId="321961CA"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Fugitive Natural Gas</w:t>
            </w:r>
          </w:p>
        </w:tc>
        <w:tc>
          <w:tcPr>
            <w:tcW w:w="7380" w:type="dxa"/>
            <w:tcBorders>
              <w:top w:val="nil"/>
              <w:left w:val="nil"/>
              <w:bottom w:val="single" w:sz="4" w:space="0" w:color="auto"/>
              <w:right w:val="single" w:sz="4" w:space="0" w:color="auto"/>
            </w:tcBorders>
            <w:shd w:val="clear" w:color="auto" w:fill="DCE1E4"/>
            <w:vAlign w:val="center"/>
            <w:hideMark/>
          </w:tcPr>
          <w:p w14:paraId="12C94945" w14:textId="77777777" w:rsidR="006C3437" w:rsidRDefault="006C3437">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Driven by increases in natural gas consumption</w:t>
            </w:r>
          </w:p>
        </w:tc>
        <w:tc>
          <w:tcPr>
            <w:tcW w:w="0" w:type="auto"/>
            <w:vAlign w:val="center"/>
            <w:hideMark/>
          </w:tcPr>
          <w:p w14:paraId="4F0C8919" w14:textId="77777777" w:rsidR="006C3437" w:rsidRDefault="006C3437">
            <w:pPr>
              <w:rPr>
                <w:rFonts w:asciiTheme="minorHAnsi" w:eastAsiaTheme="minorHAnsi" w:hAnsiTheme="minorHAnsi"/>
                <w:color w:val="auto"/>
                <w:sz w:val="20"/>
                <w:szCs w:val="20"/>
              </w:rPr>
            </w:pPr>
          </w:p>
        </w:tc>
      </w:tr>
    </w:tbl>
    <w:p w14:paraId="4033ADBC" w14:textId="4F82B02F" w:rsidR="006C3437" w:rsidRDefault="006C3437" w:rsidP="007A2F52">
      <w:pPr>
        <w:pStyle w:val="BodyText-COG"/>
      </w:pPr>
    </w:p>
    <w:p w14:paraId="347EF87D" w14:textId="037A535C" w:rsidR="006C3437" w:rsidRDefault="006C3437" w:rsidP="007A2F52">
      <w:pPr>
        <w:pStyle w:val="BodyText-COG"/>
      </w:pPr>
    </w:p>
    <w:p w14:paraId="6692346F" w14:textId="77777777" w:rsidR="00614691" w:rsidRDefault="00614691" w:rsidP="007A2F52">
      <w:pPr>
        <w:pStyle w:val="BodyText-COG"/>
      </w:pPr>
    </w:p>
    <w:tbl>
      <w:tblPr>
        <w:tblpPr w:leftFromText="180" w:rightFromText="180" w:vertAnchor="page" w:horzAnchor="margin" w:tblpY="1817"/>
        <w:tblW w:w="9120" w:type="dxa"/>
        <w:tblLook w:val="04A0" w:firstRow="1" w:lastRow="0" w:firstColumn="1" w:lastColumn="0" w:noHBand="0" w:noVBand="1"/>
      </w:tblPr>
      <w:tblGrid>
        <w:gridCol w:w="3340"/>
        <w:gridCol w:w="5780"/>
      </w:tblGrid>
      <w:tr w:rsidR="00614691" w14:paraId="1C13C386" w14:textId="77777777" w:rsidTr="00614691">
        <w:trPr>
          <w:trHeight w:val="640"/>
        </w:trPr>
        <w:tc>
          <w:tcPr>
            <w:tcW w:w="3340" w:type="dxa"/>
            <w:tcBorders>
              <w:top w:val="single" w:sz="4" w:space="0" w:color="auto"/>
              <w:left w:val="single" w:sz="4" w:space="0" w:color="auto"/>
              <w:bottom w:val="single" w:sz="4" w:space="0" w:color="auto"/>
              <w:right w:val="single" w:sz="4" w:space="0" w:color="auto"/>
            </w:tcBorders>
            <w:shd w:val="clear" w:color="auto" w:fill="2F6B97"/>
            <w:vAlign w:val="center"/>
            <w:hideMark/>
          </w:tcPr>
          <w:p w14:paraId="17814E8D" w14:textId="77777777" w:rsidR="00614691" w:rsidRDefault="00614691" w:rsidP="00614691">
            <w:pPr>
              <w:rPr>
                <w:rFonts w:ascii="Franklin Gothic Medium" w:eastAsia="Times New Roman" w:hAnsi="Franklin Gothic Medium" w:cs="Calibri"/>
                <w:color w:val="FFFFFF"/>
                <w:sz w:val="24"/>
              </w:rPr>
            </w:pPr>
            <w:r>
              <w:rPr>
                <w:rFonts w:ascii="Franklin Gothic Medium" w:eastAsia="Times New Roman" w:hAnsi="Franklin Gothic Medium" w:cs="Calibri"/>
                <w:color w:val="FFFFFF"/>
                <w:sz w:val="24"/>
              </w:rPr>
              <w:lastRenderedPageBreak/>
              <w:t xml:space="preserve">GHG Emission Reduction Activity </w:t>
            </w:r>
          </w:p>
        </w:tc>
        <w:tc>
          <w:tcPr>
            <w:tcW w:w="5780" w:type="dxa"/>
            <w:tcBorders>
              <w:top w:val="single" w:sz="4" w:space="0" w:color="auto"/>
              <w:left w:val="nil"/>
              <w:bottom w:val="single" w:sz="4" w:space="0" w:color="auto"/>
              <w:right w:val="single" w:sz="4" w:space="0" w:color="auto"/>
            </w:tcBorders>
            <w:shd w:val="clear" w:color="auto" w:fill="2F6B97"/>
            <w:vAlign w:val="center"/>
            <w:hideMark/>
          </w:tcPr>
          <w:p w14:paraId="56AF3F14" w14:textId="77777777" w:rsidR="00614691" w:rsidRDefault="00614691" w:rsidP="00614691">
            <w:pPr>
              <w:rPr>
                <w:rFonts w:ascii="Franklin Gothic Medium" w:eastAsia="Times New Roman" w:hAnsi="Franklin Gothic Medium" w:cs="Calibri"/>
                <w:color w:val="FFFFFF"/>
                <w:sz w:val="24"/>
              </w:rPr>
            </w:pPr>
            <w:r>
              <w:rPr>
                <w:rFonts w:ascii="Franklin Gothic Medium" w:eastAsia="Times New Roman" w:hAnsi="Franklin Gothic Medium" w:cs="Calibri"/>
                <w:color w:val="FFFFFF"/>
                <w:sz w:val="24"/>
              </w:rPr>
              <w:t xml:space="preserve">Assumptions </w:t>
            </w:r>
          </w:p>
        </w:tc>
      </w:tr>
      <w:tr w:rsidR="00614691" w14:paraId="62490433" w14:textId="77777777" w:rsidTr="00614691">
        <w:trPr>
          <w:trHeight w:val="600"/>
        </w:trPr>
        <w:tc>
          <w:tcPr>
            <w:tcW w:w="3340" w:type="dxa"/>
            <w:tcBorders>
              <w:top w:val="nil"/>
              <w:left w:val="single" w:sz="4" w:space="0" w:color="auto"/>
              <w:bottom w:val="single" w:sz="4" w:space="0" w:color="auto"/>
              <w:right w:val="single" w:sz="4" w:space="0" w:color="auto"/>
            </w:tcBorders>
            <w:shd w:val="clear" w:color="auto" w:fill="FFFFFF"/>
            <w:vAlign w:val="center"/>
            <w:hideMark/>
          </w:tcPr>
          <w:p w14:paraId="3D40BCAD"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Renewable Portfolio Standards</w:t>
            </w:r>
          </w:p>
        </w:tc>
        <w:tc>
          <w:tcPr>
            <w:tcW w:w="5780" w:type="dxa"/>
            <w:tcBorders>
              <w:top w:val="nil"/>
              <w:left w:val="nil"/>
              <w:bottom w:val="single" w:sz="4" w:space="0" w:color="auto"/>
              <w:right w:val="single" w:sz="4" w:space="0" w:color="auto"/>
            </w:tcBorders>
            <w:shd w:val="clear" w:color="auto" w:fill="FFFFFF"/>
            <w:vAlign w:val="center"/>
            <w:hideMark/>
          </w:tcPr>
          <w:p w14:paraId="7793203F"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Current standards (DC 87 percent, MD 50 percent, Northern VA 38 percent by 2030)</w:t>
            </w:r>
          </w:p>
        </w:tc>
      </w:tr>
      <w:tr w:rsidR="00614691" w14:paraId="37EA1011" w14:textId="77777777" w:rsidTr="00614691">
        <w:trPr>
          <w:trHeight w:val="600"/>
        </w:trPr>
        <w:tc>
          <w:tcPr>
            <w:tcW w:w="3340" w:type="dxa"/>
            <w:vMerge w:val="restart"/>
            <w:tcBorders>
              <w:top w:val="nil"/>
              <w:left w:val="single" w:sz="4" w:space="0" w:color="auto"/>
              <w:bottom w:val="single" w:sz="4" w:space="0" w:color="000000"/>
              <w:right w:val="single" w:sz="4" w:space="0" w:color="auto"/>
            </w:tcBorders>
            <w:shd w:val="clear" w:color="auto" w:fill="DCE1E4"/>
            <w:vAlign w:val="center"/>
            <w:hideMark/>
          </w:tcPr>
          <w:p w14:paraId="26330759"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Other Renewables </w:t>
            </w:r>
          </w:p>
        </w:tc>
        <w:tc>
          <w:tcPr>
            <w:tcW w:w="5780" w:type="dxa"/>
            <w:tcBorders>
              <w:top w:val="nil"/>
              <w:left w:val="nil"/>
              <w:bottom w:val="single" w:sz="4" w:space="0" w:color="auto"/>
              <w:right w:val="single" w:sz="4" w:space="0" w:color="auto"/>
            </w:tcBorders>
            <w:shd w:val="clear" w:color="auto" w:fill="DCE1E4"/>
            <w:vAlign w:val="center"/>
            <w:hideMark/>
          </w:tcPr>
          <w:p w14:paraId="0EADAD9D"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Distributed generation: &gt; 200,000 additional solar systems, equivalent to 24 percent of single-family homes</w:t>
            </w:r>
          </w:p>
        </w:tc>
      </w:tr>
      <w:tr w:rsidR="00614691" w14:paraId="6E408BD4" w14:textId="77777777" w:rsidTr="00614691">
        <w:trPr>
          <w:trHeight w:val="600"/>
        </w:trPr>
        <w:tc>
          <w:tcPr>
            <w:tcW w:w="0" w:type="auto"/>
            <w:vMerge/>
            <w:tcBorders>
              <w:top w:val="nil"/>
              <w:left w:val="single" w:sz="4" w:space="0" w:color="auto"/>
              <w:bottom w:val="single" w:sz="4" w:space="0" w:color="000000"/>
              <w:right w:val="single" w:sz="4" w:space="0" w:color="auto"/>
            </w:tcBorders>
            <w:vAlign w:val="center"/>
            <w:hideMark/>
          </w:tcPr>
          <w:p w14:paraId="29772036" w14:textId="77777777" w:rsidR="00614691" w:rsidRDefault="00614691" w:rsidP="00614691">
            <w:pPr>
              <w:rPr>
                <w:rFonts w:ascii="Franklin Gothic Book" w:eastAsia="Times New Roman" w:hAnsi="Franklin Gothic Book" w:cs="Calibri"/>
                <w:color w:val="000000"/>
                <w:sz w:val="22"/>
                <w:szCs w:val="22"/>
              </w:rPr>
            </w:pPr>
          </w:p>
        </w:tc>
        <w:tc>
          <w:tcPr>
            <w:tcW w:w="5780" w:type="dxa"/>
            <w:tcBorders>
              <w:top w:val="nil"/>
              <w:left w:val="nil"/>
              <w:bottom w:val="single" w:sz="4" w:space="0" w:color="auto"/>
              <w:right w:val="single" w:sz="4" w:space="0" w:color="auto"/>
            </w:tcBorders>
            <w:shd w:val="clear" w:color="auto" w:fill="DCE1E4"/>
            <w:vAlign w:val="center"/>
            <w:hideMark/>
          </w:tcPr>
          <w:p w14:paraId="5A1B8EC2"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Green power purchases: continued 10 percent annual growth</w:t>
            </w:r>
          </w:p>
        </w:tc>
      </w:tr>
      <w:tr w:rsidR="00614691" w14:paraId="3AE0B8CE" w14:textId="77777777" w:rsidTr="00614691">
        <w:trPr>
          <w:trHeight w:val="749"/>
        </w:trPr>
        <w:tc>
          <w:tcPr>
            <w:tcW w:w="0" w:type="auto"/>
            <w:vMerge/>
            <w:tcBorders>
              <w:top w:val="nil"/>
              <w:left w:val="single" w:sz="4" w:space="0" w:color="auto"/>
              <w:bottom w:val="single" w:sz="4" w:space="0" w:color="000000"/>
              <w:right w:val="single" w:sz="4" w:space="0" w:color="auto"/>
            </w:tcBorders>
            <w:vAlign w:val="center"/>
            <w:hideMark/>
          </w:tcPr>
          <w:p w14:paraId="3D413EAC" w14:textId="77777777" w:rsidR="00614691" w:rsidRDefault="00614691" w:rsidP="00614691">
            <w:pPr>
              <w:rPr>
                <w:rFonts w:ascii="Franklin Gothic Book" w:eastAsia="Times New Roman" w:hAnsi="Franklin Gothic Book" w:cs="Calibri"/>
                <w:color w:val="000000"/>
                <w:sz w:val="22"/>
                <w:szCs w:val="22"/>
              </w:rPr>
            </w:pPr>
          </w:p>
        </w:tc>
        <w:tc>
          <w:tcPr>
            <w:tcW w:w="5780" w:type="dxa"/>
            <w:tcBorders>
              <w:top w:val="nil"/>
              <w:left w:val="nil"/>
              <w:bottom w:val="single" w:sz="4" w:space="0" w:color="auto"/>
              <w:right w:val="single" w:sz="4" w:space="0" w:color="auto"/>
            </w:tcBorders>
            <w:shd w:val="clear" w:color="auto" w:fill="DCE1E4"/>
            <w:vAlign w:val="bottom"/>
            <w:hideMark/>
          </w:tcPr>
          <w:p w14:paraId="0B0E33AA"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Renewable natural gas (RNG): &gt;16 percent of gas supply from RNG derived from ICF Study on Use of Biofuels in the region. </w:t>
            </w:r>
          </w:p>
        </w:tc>
      </w:tr>
      <w:tr w:rsidR="00614691" w14:paraId="3002BD24" w14:textId="77777777" w:rsidTr="00614691">
        <w:trPr>
          <w:trHeight w:val="600"/>
        </w:trPr>
        <w:tc>
          <w:tcPr>
            <w:tcW w:w="33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A1E8B94"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Building Policies and Programs </w:t>
            </w:r>
          </w:p>
        </w:tc>
        <w:tc>
          <w:tcPr>
            <w:tcW w:w="5780" w:type="dxa"/>
            <w:tcBorders>
              <w:top w:val="nil"/>
              <w:left w:val="nil"/>
              <w:bottom w:val="single" w:sz="4" w:space="0" w:color="auto"/>
              <w:right w:val="single" w:sz="4" w:space="0" w:color="auto"/>
            </w:tcBorders>
            <w:shd w:val="clear" w:color="auto" w:fill="FFFFFF"/>
            <w:vAlign w:val="center"/>
            <w:hideMark/>
          </w:tcPr>
          <w:p w14:paraId="60DD9750"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Zero energy new construction: All new construction net zero energy by 2030</w:t>
            </w:r>
          </w:p>
        </w:tc>
      </w:tr>
      <w:tr w:rsidR="00614691" w14:paraId="45532B9A" w14:textId="77777777" w:rsidTr="00614691">
        <w:trPr>
          <w:trHeight w:val="600"/>
        </w:trPr>
        <w:tc>
          <w:tcPr>
            <w:tcW w:w="0" w:type="auto"/>
            <w:vMerge/>
            <w:tcBorders>
              <w:top w:val="nil"/>
              <w:left w:val="single" w:sz="4" w:space="0" w:color="auto"/>
              <w:bottom w:val="single" w:sz="4" w:space="0" w:color="000000"/>
              <w:right w:val="single" w:sz="4" w:space="0" w:color="auto"/>
            </w:tcBorders>
            <w:vAlign w:val="center"/>
            <w:hideMark/>
          </w:tcPr>
          <w:p w14:paraId="741EE930" w14:textId="77777777" w:rsidR="00614691" w:rsidRDefault="00614691" w:rsidP="00614691">
            <w:pPr>
              <w:rPr>
                <w:rFonts w:ascii="Franklin Gothic Book" w:eastAsia="Times New Roman" w:hAnsi="Franklin Gothic Book" w:cs="Calibri"/>
                <w:color w:val="000000"/>
                <w:sz w:val="22"/>
                <w:szCs w:val="22"/>
              </w:rPr>
            </w:pPr>
          </w:p>
        </w:tc>
        <w:tc>
          <w:tcPr>
            <w:tcW w:w="5780" w:type="dxa"/>
            <w:tcBorders>
              <w:top w:val="nil"/>
              <w:left w:val="nil"/>
              <w:bottom w:val="single" w:sz="4" w:space="0" w:color="auto"/>
              <w:right w:val="single" w:sz="4" w:space="0" w:color="auto"/>
            </w:tcBorders>
            <w:shd w:val="clear" w:color="auto" w:fill="FFFFFF"/>
            <w:vAlign w:val="center"/>
            <w:hideMark/>
          </w:tcPr>
          <w:p w14:paraId="60E4D1D8"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Deep retrofits of existing buildings: 2 percent of residential and commercial deep retrofits annually</w:t>
            </w:r>
          </w:p>
        </w:tc>
      </w:tr>
      <w:tr w:rsidR="00614691" w14:paraId="2F19FF2D" w14:textId="77777777" w:rsidTr="00614691">
        <w:trPr>
          <w:trHeight w:val="1379"/>
        </w:trPr>
        <w:tc>
          <w:tcPr>
            <w:tcW w:w="3340" w:type="dxa"/>
            <w:tcBorders>
              <w:top w:val="nil"/>
              <w:left w:val="single" w:sz="4" w:space="0" w:color="auto"/>
              <w:bottom w:val="single" w:sz="4" w:space="0" w:color="auto"/>
              <w:right w:val="single" w:sz="4" w:space="0" w:color="auto"/>
            </w:tcBorders>
            <w:shd w:val="clear" w:color="auto" w:fill="DCE1E4"/>
            <w:vAlign w:val="center"/>
            <w:hideMark/>
          </w:tcPr>
          <w:p w14:paraId="22BC8E83"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Zero Emission Vehicle Deployment</w:t>
            </w:r>
          </w:p>
        </w:tc>
        <w:tc>
          <w:tcPr>
            <w:tcW w:w="5780" w:type="dxa"/>
            <w:tcBorders>
              <w:top w:val="nil"/>
              <w:left w:val="nil"/>
              <w:bottom w:val="single" w:sz="4" w:space="0" w:color="auto"/>
              <w:right w:val="single" w:sz="4" w:space="0" w:color="auto"/>
            </w:tcBorders>
            <w:shd w:val="clear" w:color="auto" w:fill="DCE1E4"/>
            <w:vAlign w:val="center"/>
            <w:hideMark/>
          </w:tcPr>
          <w:p w14:paraId="36B3E9B8"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EV adoption rates of &gt;20 percent light duty cars, &gt;9 percent light duty trucks, &gt;4 percent medium/heavy duty trucks, and &gt;30 percent transit buses. Assumptions derived from National Renewable Energy Laboratory Electrification Futures Study high EV adoption rates. </w:t>
            </w:r>
          </w:p>
        </w:tc>
      </w:tr>
      <w:tr w:rsidR="00614691" w14:paraId="381BE9F0" w14:textId="77777777" w:rsidTr="00614691">
        <w:trPr>
          <w:trHeight w:val="1200"/>
        </w:trPr>
        <w:tc>
          <w:tcPr>
            <w:tcW w:w="33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135F3831"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Transportation Policies and Programs </w:t>
            </w:r>
          </w:p>
        </w:tc>
        <w:tc>
          <w:tcPr>
            <w:tcW w:w="5780" w:type="dxa"/>
            <w:tcBorders>
              <w:top w:val="nil"/>
              <w:left w:val="nil"/>
              <w:bottom w:val="single" w:sz="4" w:space="0" w:color="auto"/>
              <w:right w:val="single" w:sz="4" w:space="0" w:color="auto"/>
            </w:tcBorders>
            <w:shd w:val="clear" w:color="auto" w:fill="FFFFFF"/>
            <w:vAlign w:val="center"/>
            <w:hideMark/>
          </w:tcPr>
          <w:p w14:paraId="46FB7748"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Activity centers: 75 percent new housing in Activity Centers with high capacity transit. Assumptions derived from COG Multi-Sector Work Group Final Technical Report and COG Future of Housing Report. </w:t>
            </w:r>
          </w:p>
        </w:tc>
      </w:tr>
      <w:tr w:rsidR="00614691" w14:paraId="56A28C2F" w14:textId="77777777" w:rsidTr="00614691">
        <w:trPr>
          <w:trHeight w:val="1330"/>
        </w:trPr>
        <w:tc>
          <w:tcPr>
            <w:tcW w:w="0" w:type="auto"/>
            <w:vMerge/>
            <w:tcBorders>
              <w:top w:val="nil"/>
              <w:left w:val="single" w:sz="4" w:space="0" w:color="auto"/>
              <w:bottom w:val="single" w:sz="4" w:space="0" w:color="000000"/>
              <w:right w:val="single" w:sz="4" w:space="0" w:color="auto"/>
            </w:tcBorders>
            <w:vAlign w:val="center"/>
            <w:hideMark/>
          </w:tcPr>
          <w:p w14:paraId="21EA5B6E" w14:textId="77777777" w:rsidR="00614691" w:rsidRDefault="00614691" w:rsidP="00614691">
            <w:pPr>
              <w:rPr>
                <w:rFonts w:ascii="Franklin Gothic Book" w:eastAsia="Times New Roman" w:hAnsi="Franklin Gothic Book" w:cs="Calibri"/>
                <w:color w:val="000000"/>
                <w:sz w:val="22"/>
                <w:szCs w:val="22"/>
              </w:rPr>
            </w:pPr>
          </w:p>
        </w:tc>
        <w:tc>
          <w:tcPr>
            <w:tcW w:w="5780" w:type="dxa"/>
            <w:tcBorders>
              <w:top w:val="nil"/>
              <w:left w:val="nil"/>
              <w:bottom w:val="single" w:sz="4" w:space="0" w:color="auto"/>
              <w:right w:val="single" w:sz="4" w:space="0" w:color="auto"/>
            </w:tcBorders>
            <w:shd w:val="clear" w:color="auto" w:fill="FFFFFF"/>
            <w:vAlign w:val="center"/>
            <w:hideMark/>
          </w:tcPr>
          <w:p w14:paraId="36C24A20"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Travel demand management, transit incentives, transit fare reduction, road pricing, non-road engine emission reduction, and commercial aviation improvement assumptions from COG Multi-Sector Work Group Final Technical Report. </w:t>
            </w:r>
          </w:p>
        </w:tc>
      </w:tr>
      <w:tr w:rsidR="00614691" w14:paraId="0C0B95B4" w14:textId="77777777" w:rsidTr="00614691">
        <w:trPr>
          <w:trHeight w:val="600"/>
        </w:trPr>
        <w:tc>
          <w:tcPr>
            <w:tcW w:w="3340" w:type="dxa"/>
            <w:tcBorders>
              <w:top w:val="nil"/>
              <w:left w:val="single" w:sz="4" w:space="0" w:color="auto"/>
              <w:bottom w:val="single" w:sz="4" w:space="0" w:color="auto"/>
              <w:right w:val="single" w:sz="4" w:space="0" w:color="auto"/>
            </w:tcBorders>
            <w:shd w:val="clear" w:color="auto" w:fill="DCE1E4"/>
            <w:vAlign w:val="center"/>
            <w:hideMark/>
          </w:tcPr>
          <w:p w14:paraId="34E8C9C1"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Fugitive Emission Reduction </w:t>
            </w:r>
          </w:p>
        </w:tc>
        <w:tc>
          <w:tcPr>
            <w:tcW w:w="5780" w:type="dxa"/>
            <w:tcBorders>
              <w:top w:val="nil"/>
              <w:left w:val="nil"/>
              <w:bottom w:val="single" w:sz="4" w:space="0" w:color="auto"/>
              <w:right w:val="single" w:sz="4" w:space="0" w:color="auto"/>
            </w:tcBorders>
            <w:shd w:val="clear" w:color="auto" w:fill="DCE1E4"/>
            <w:vAlign w:val="center"/>
            <w:hideMark/>
          </w:tcPr>
          <w:p w14:paraId="6190D36B"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HFCs and gas leak repair assumptions from COG Multi-Sector Work Group Final Technical Report.</w:t>
            </w:r>
          </w:p>
        </w:tc>
      </w:tr>
      <w:tr w:rsidR="00614691" w14:paraId="2EB13C99" w14:textId="77777777" w:rsidTr="00614691">
        <w:trPr>
          <w:trHeight w:val="600"/>
        </w:trPr>
        <w:tc>
          <w:tcPr>
            <w:tcW w:w="3340" w:type="dxa"/>
            <w:tcBorders>
              <w:top w:val="nil"/>
              <w:left w:val="single" w:sz="4" w:space="0" w:color="auto"/>
              <w:bottom w:val="single" w:sz="4" w:space="0" w:color="auto"/>
              <w:right w:val="single" w:sz="4" w:space="0" w:color="auto"/>
            </w:tcBorders>
            <w:shd w:val="clear" w:color="auto" w:fill="FFFFFF"/>
            <w:vAlign w:val="center"/>
            <w:hideMark/>
          </w:tcPr>
          <w:p w14:paraId="337AC819"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Zero Waste Policies and Programs</w:t>
            </w:r>
          </w:p>
        </w:tc>
        <w:tc>
          <w:tcPr>
            <w:tcW w:w="5780" w:type="dxa"/>
            <w:tcBorders>
              <w:top w:val="nil"/>
              <w:left w:val="nil"/>
              <w:bottom w:val="single" w:sz="4" w:space="0" w:color="auto"/>
              <w:right w:val="single" w:sz="4" w:space="0" w:color="auto"/>
            </w:tcBorders>
            <w:shd w:val="clear" w:color="auto" w:fill="FFFFFF"/>
            <w:vAlign w:val="center"/>
            <w:hideMark/>
          </w:tcPr>
          <w:p w14:paraId="085B3948"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80 percent diversion by 2030</w:t>
            </w:r>
          </w:p>
        </w:tc>
      </w:tr>
      <w:tr w:rsidR="00614691" w14:paraId="395D73BC" w14:textId="77777777" w:rsidTr="00614691">
        <w:trPr>
          <w:trHeight w:val="600"/>
        </w:trPr>
        <w:tc>
          <w:tcPr>
            <w:tcW w:w="3340" w:type="dxa"/>
            <w:tcBorders>
              <w:top w:val="nil"/>
              <w:left w:val="single" w:sz="4" w:space="0" w:color="auto"/>
              <w:bottom w:val="single" w:sz="4" w:space="0" w:color="auto"/>
              <w:right w:val="single" w:sz="4" w:space="0" w:color="auto"/>
            </w:tcBorders>
            <w:shd w:val="clear" w:color="auto" w:fill="DCE1E4"/>
            <w:noWrap/>
            <w:vAlign w:val="center"/>
            <w:hideMark/>
          </w:tcPr>
          <w:p w14:paraId="606E9152"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 xml:space="preserve">Sequestration </w:t>
            </w:r>
          </w:p>
        </w:tc>
        <w:tc>
          <w:tcPr>
            <w:tcW w:w="5780" w:type="dxa"/>
            <w:tcBorders>
              <w:top w:val="nil"/>
              <w:left w:val="nil"/>
              <w:bottom w:val="single" w:sz="4" w:space="0" w:color="auto"/>
              <w:right w:val="single" w:sz="4" w:space="0" w:color="auto"/>
            </w:tcBorders>
            <w:shd w:val="clear" w:color="auto" w:fill="DCE1E4"/>
            <w:vAlign w:val="center"/>
            <w:hideMark/>
          </w:tcPr>
          <w:p w14:paraId="0CC9EB88" w14:textId="77777777" w:rsidR="00614691" w:rsidRDefault="00614691" w:rsidP="00614691">
            <w:pPr>
              <w:rPr>
                <w:rFonts w:ascii="Franklin Gothic Book" w:eastAsia="Times New Roman" w:hAnsi="Franklin Gothic Book" w:cs="Calibri"/>
                <w:color w:val="000000"/>
                <w:sz w:val="22"/>
                <w:szCs w:val="22"/>
              </w:rPr>
            </w:pPr>
            <w:r>
              <w:rPr>
                <w:rFonts w:ascii="Franklin Gothic Book" w:eastAsia="Times New Roman" w:hAnsi="Franklin Gothic Book" w:cs="Calibri"/>
                <w:color w:val="000000"/>
                <w:sz w:val="22"/>
                <w:szCs w:val="22"/>
              </w:rPr>
              <w:t>Sequestration assumptions from COG Multi-Sector Work Group Final Technical Report.</w:t>
            </w:r>
          </w:p>
        </w:tc>
      </w:tr>
    </w:tbl>
    <w:p w14:paraId="13D5151B" w14:textId="29FB270D" w:rsidR="006C3437" w:rsidRDefault="007A2F52" w:rsidP="007A2F52">
      <w:pPr>
        <w:pStyle w:val="BodyText-COG"/>
      </w:pPr>
      <w:r>
        <w:rPr>
          <w:rFonts w:ascii="Times New Roman" w:eastAsiaTheme="minorHAnsi" w:hAnsi="Times New Roman" w:cs="Times New Roman"/>
          <w:noProof/>
          <w:color w:val="auto"/>
          <w:sz w:val="24"/>
        </w:rPr>
        <mc:AlternateContent>
          <mc:Choice Requires="wps">
            <w:drawing>
              <wp:anchor distT="0" distB="0" distL="114300" distR="114300" simplePos="0" relativeHeight="251661824" behindDoc="1" locked="0" layoutInCell="1" allowOverlap="1" wp14:anchorId="6652641D" wp14:editId="59D9F73F">
                <wp:simplePos x="0" y="0"/>
                <wp:positionH relativeFrom="column">
                  <wp:posOffset>-8062</wp:posOffset>
                </wp:positionH>
                <wp:positionV relativeFrom="paragraph">
                  <wp:posOffset>0</wp:posOffset>
                </wp:positionV>
                <wp:extent cx="5764530" cy="207010"/>
                <wp:effectExtent l="0" t="0" r="7620" b="2540"/>
                <wp:wrapTight wrapText="bothSides">
                  <wp:wrapPolygon edited="0">
                    <wp:start x="0" y="0"/>
                    <wp:lineTo x="0" y="19877"/>
                    <wp:lineTo x="21557" y="19877"/>
                    <wp:lineTo x="21557"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5764530" cy="207010"/>
                        </a:xfrm>
                        <a:prstGeom prst="rect">
                          <a:avLst/>
                        </a:prstGeom>
                        <a:solidFill>
                          <a:prstClr val="white"/>
                        </a:solidFill>
                        <a:ln>
                          <a:noFill/>
                        </a:ln>
                      </wps:spPr>
                      <wps:txbx>
                        <w:txbxContent>
                          <w:p w14:paraId="01D7ACE4" w14:textId="62509343" w:rsidR="007A2F52" w:rsidRDefault="00E90DE2" w:rsidP="007A2F52">
                            <w:pPr>
                              <w:pStyle w:val="Caption"/>
                            </w:pPr>
                            <w:bookmarkStart w:id="480" w:name="_Toc50716898"/>
                            <w:r>
                              <w:t xml:space="preserve">Appendix </w:t>
                            </w:r>
                            <w:r w:rsidR="007A2F52">
                              <w:t xml:space="preserve">Table </w:t>
                            </w:r>
                            <w:r>
                              <w:t>4</w:t>
                            </w:r>
                            <w:r w:rsidR="007A2F52">
                              <w:t>: 2030 Scenario Assumptions</w:t>
                            </w:r>
                            <w:bookmarkEnd w:id="48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2641D" id="Text Box 15" o:spid="_x0000_s1029" type="#_x0000_t202" style="position:absolute;margin-left:-.65pt;margin-top:0;width:453.9pt;height:1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" stroked="f">
                <v:textbox inset="0,0,0,0">
                  <w:txbxContent>
                    <w:p w14:paraId="01D7ACE4" w14:textId="62509343" w:rsidR="007A2F52" w:rsidRDefault="00E90DE2" w:rsidP="007A2F52">
                      <w:pPr>
                        <w:pStyle w:val="Caption"/>
                      </w:pPr>
                      <w:bookmarkStart w:id="481" w:name="_Toc50716898"/>
                      <w:r>
                        <w:t xml:space="preserve">Appendix </w:t>
                      </w:r>
                      <w:r w:rsidR="007A2F52">
                        <w:t xml:space="preserve">Table </w:t>
                      </w:r>
                      <w:r>
                        <w:t>4</w:t>
                      </w:r>
                      <w:r w:rsidR="007A2F52">
                        <w:t>: 2030 Scenario Assumptions</w:t>
                      </w:r>
                      <w:bookmarkEnd w:id="481"/>
                    </w:p>
                  </w:txbxContent>
                </v:textbox>
                <w10:wrap type="tight"/>
              </v:shape>
            </w:pict>
          </mc:Fallback>
        </mc:AlternateContent>
      </w:r>
    </w:p>
    <w:p w14:paraId="1638B528" w14:textId="77777777" w:rsidR="006C3437" w:rsidRDefault="006C3437" w:rsidP="007A2F52">
      <w:pPr>
        <w:pStyle w:val="BodyText-COG"/>
      </w:pPr>
    </w:p>
    <w:p w14:paraId="68D9C47D" w14:textId="3D95C374" w:rsidR="00DA676C" w:rsidRDefault="00DA676C" w:rsidP="00DA676C">
      <w:pPr>
        <w:pStyle w:val="Level1Head-COG"/>
        <w:outlineLvl w:val="0"/>
      </w:pPr>
      <w:r>
        <w:t xml:space="preserve">  </w:t>
      </w:r>
    </w:p>
    <w:p w14:paraId="41B571C1" w14:textId="77777777" w:rsidR="00DA676C" w:rsidRPr="002F24BC" w:rsidRDefault="00DA676C" w:rsidP="00960B64">
      <w:pPr>
        <w:pStyle w:val="BodyText-COG"/>
        <w:contextualSpacing/>
      </w:pPr>
    </w:p>
    <w:sectPr w:rsidR="00DA676C" w:rsidRPr="002F24BC" w:rsidSect="007D40C5">
      <w:headerReference w:type="default" r:id="rId199"/>
      <w:footerReference w:type="default" r:id="rId20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Maia Davis" w:date="2020-08-25T14:11:00Z" w:initials="MD">
    <w:p w14:paraId="24D683C6" w14:textId="57A9482B" w:rsidR="00A224C1" w:rsidRPr="000648EB" w:rsidRDefault="00A224C1">
      <w:pPr>
        <w:pStyle w:val="CommentText"/>
        <w:rPr>
          <w:rFonts w:ascii="Franklin Gothic Book" w:hAnsi="Franklin Gothic Book"/>
        </w:rPr>
      </w:pPr>
      <w:r>
        <w:rPr>
          <w:rStyle w:val="CommentReference"/>
        </w:rPr>
        <w:annotationRef/>
      </w:r>
      <w:r w:rsidRPr="000648EB">
        <w:rPr>
          <w:rFonts w:ascii="Franklin Gothic Book" w:hAnsi="Franklin Gothic Book"/>
        </w:rPr>
        <w:t xml:space="preserve">This assumes the COG Board adopts new GHG emission reduction goals in Oct 2020.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D683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D683C6" w16cid:durableId="22EF9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74CBF" w14:textId="77777777" w:rsidR="00A224C1" w:rsidRDefault="00A224C1" w:rsidP="006223C5">
      <w:r>
        <w:separator/>
      </w:r>
    </w:p>
  </w:endnote>
  <w:endnote w:type="continuationSeparator" w:id="0">
    <w:p w14:paraId="7133ECBC" w14:textId="77777777" w:rsidR="00A224C1" w:rsidRDefault="00A224C1" w:rsidP="0062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Goudy Oldstyle 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574" w14:textId="77777777" w:rsidR="00A224C1" w:rsidRDefault="00A224C1">
    <w:pPr>
      <w:jc w:val="right"/>
    </w:pPr>
  </w:p>
  <w:p w14:paraId="18AD4928" w14:textId="77777777" w:rsidR="00A224C1" w:rsidRDefault="00A224C1" w:rsidP="00B12D8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B3D5" w14:textId="77777777" w:rsidR="00A224C1" w:rsidRDefault="00A224C1">
    <w:pPr>
      <w:pStyle w:val="Footer"/>
    </w:pPr>
    <w:r>
      <w:rPr>
        <w:noProof/>
      </w:rPr>
      <w:drawing>
        <wp:anchor distT="0" distB="0" distL="114300" distR="114300" simplePos="0" relativeHeight="251659264" behindDoc="0" locked="0" layoutInCell="1" allowOverlap="1" wp14:anchorId="12CFB919" wp14:editId="45FCB3EC">
          <wp:simplePos x="0" y="0"/>
          <wp:positionH relativeFrom="leftMargin">
            <wp:posOffset>914400</wp:posOffset>
          </wp:positionH>
          <wp:positionV relativeFrom="topMargin">
            <wp:posOffset>9034145</wp:posOffset>
          </wp:positionV>
          <wp:extent cx="2807208" cy="52120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WCOG-horiz_2Lines_RGB-v15.png"/>
                  <pic:cNvPicPr/>
                </pic:nvPicPr>
                <pic:blipFill>
                  <a:blip r:embed="rId1">
                    <a:extLst>
                      <a:ext uri="{28A0092B-C50C-407E-A947-70E740481C1C}">
                        <a14:useLocalDpi xmlns:a14="http://schemas.microsoft.com/office/drawing/2010/main" val="0"/>
                      </a:ext>
                    </a:extLst>
                  </a:blip>
                  <a:stretch>
                    <a:fillRect/>
                  </a:stretch>
                </pic:blipFill>
                <pic:spPr>
                  <a:xfrm>
                    <a:off x="0" y="0"/>
                    <a:ext cx="2807208" cy="5212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721614"/>
      <w:docPartObj>
        <w:docPartGallery w:val="Page Numbers (Bottom of Page)"/>
        <w:docPartUnique/>
      </w:docPartObj>
    </w:sdtPr>
    <w:sdtEndPr>
      <w:rPr>
        <w:noProof/>
      </w:rPr>
    </w:sdtEndPr>
    <w:sdtContent>
      <w:p w14:paraId="722996D5" w14:textId="70D7F865" w:rsidR="00A224C1" w:rsidRDefault="00A224C1">
        <w:pPr>
          <w:jc w:val="right"/>
        </w:pPr>
        <w:r>
          <w:rPr>
            <w:rStyle w:val="FooterTextForUseByPage-COGChar"/>
          </w:rPr>
          <w:t xml:space="preserve">Metropolitan Washington 2030 Climate and Energy Action Plan </w:t>
        </w:r>
        <w:proofErr w:type="gramStart"/>
        <w:r>
          <w:rPr>
            <w:rStyle w:val="FooterTextForUseByPage-COGChar"/>
          </w:rPr>
          <w:t>Appendices</w:t>
        </w:r>
        <w:r>
          <w:t xml:space="preserve">  </w:t>
        </w:r>
        <w:r w:rsidRPr="006D5258">
          <w:rPr>
            <w:color w:val="0084CD" w:themeColor="text2"/>
          </w:rPr>
          <w:t>I</w:t>
        </w:r>
        <w:proofErr w:type="gramEnd"/>
        <w:r>
          <w:t xml:space="preserve"> </w:t>
        </w:r>
        <w:r>
          <w:fldChar w:fldCharType="begin"/>
        </w:r>
        <w:r>
          <w:instrText xml:space="preserve"> PAGE   \* MERGEFORMAT </w:instrText>
        </w:r>
        <w:r>
          <w:fldChar w:fldCharType="separate"/>
        </w:r>
        <w:r>
          <w:rPr>
            <w:noProof/>
          </w:rPr>
          <w:t>2</w:t>
        </w:r>
        <w:r>
          <w:rPr>
            <w:noProof/>
          </w:rPr>
          <w:fldChar w:fldCharType="end"/>
        </w:r>
      </w:p>
    </w:sdtContent>
  </w:sdt>
  <w:p w14:paraId="408C4E15" w14:textId="77777777" w:rsidR="00A224C1" w:rsidRDefault="00A224C1" w:rsidP="00B12D87">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BA06E" w14:textId="77777777" w:rsidR="00A224C1" w:rsidRDefault="00A224C1" w:rsidP="006223C5">
      <w:r>
        <w:separator/>
      </w:r>
    </w:p>
  </w:footnote>
  <w:footnote w:type="continuationSeparator" w:id="0">
    <w:p w14:paraId="6F54BF94" w14:textId="77777777" w:rsidR="00A224C1" w:rsidRDefault="00A224C1" w:rsidP="0062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B575B" w14:textId="77777777" w:rsidR="00A224C1" w:rsidRDefault="00A2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CD3C2356"/>
    <w:lvl w:ilvl="0" w:tplc="F5E4C5FA">
      <w:start w:val="1"/>
      <w:numFmt w:val="decimal"/>
      <w:lvlText w:val="%1."/>
      <w:lvlJc w:val="left"/>
      <w:pPr>
        <w:ind w:left="72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480" w:hanging="360"/>
      </w:pPr>
      <w:rPr>
        <w:rFonts w:ascii="Symbol" w:hAnsi="Symbol" w:cs="Symbol"/>
        <w:b w:val="0"/>
        <w:bCs w:val="0"/>
        <w:w w:val="100"/>
        <w:sz w:val="24"/>
        <w:szCs w:val="24"/>
      </w:rPr>
    </w:lvl>
    <w:lvl w:ilvl="1">
      <w:numFmt w:val="bullet"/>
      <w:lvlText w:val="•"/>
      <w:lvlJc w:val="left"/>
      <w:pPr>
        <w:ind w:left="1316" w:hanging="360"/>
      </w:pPr>
    </w:lvl>
    <w:lvl w:ilvl="2">
      <w:numFmt w:val="bullet"/>
      <w:lvlText w:val="•"/>
      <w:lvlJc w:val="left"/>
      <w:pPr>
        <w:ind w:left="2152" w:hanging="360"/>
      </w:pPr>
    </w:lvl>
    <w:lvl w:ilvl="3">
      <w:numFmt w:val="bullet"/>
      <w:lvlText w:val="•"/>
      <w:lvlJc w:val="left"/>
      <w:pPr>
        <w:ind w:left="2988" w:hanging="360"/>
      </w:pPr>
    </w:lvl>
    <w:lvl w:ilvl="4">
      <w:numFmt w:val="bullet"/>
      <w:lvlText w:val="•"/>
      <w:lvlJc w:val="left"/>
      <w:pPr>
        <w:ind w:left="3824" w:hanging="360"/>
      </w:pPr>
    </w:lvl>
    <w:lvl w:ilvl="5">
      <w:numFmt w:val="bullet"/>
      <w:lvlText w:val="•"/>
      <w:lvlJc w:val="left"/>
      <w:pPr>
        <w:ind w:left="4660" w:hanging="360"/>
      </w:pPr>
    </w:lvl>
    <w:lvl w:ilvl="6">
      <w:numFmt w:val="bullet"/>
      <w:lvlText w:val="•"/>
      <w:lvlJc w:val="left"/>
      <w:pPr>
        <w:ind w:left="5496" w:hanging="360"/>
      </w:pPr>
    </w:lvl>
    <w:lvl w:ilvl="7">
      <w:numFmt w:val="bullet"/>
      <w:lvlText w:val="•"/>
      <w:lvlJc w:val="left"/>
      <w:pPr>
        <w:ind w:left="6332" w:hanging="360"/>
      </w:pPr>
    </w:lvl>
    <w:lvl w:ilvl="8">
      <w:numFmt w:val="bullet"/>
      <w:lvlText w:val="•"/>
      <w:lvlJc w:val="left"/>
      <w:pPr>
        <w:ind w:left="7168" w:hanging="360"/>
      </w:pPr>
    </w:lvl>
  </w:abstractNum>
  <w:abstractNum w:abstractNumId="2" w15:restartNumberingAfterBreak="0">
    <w:nsid w:val="02DC5632"/>
    <w:multiLevelType w:val="hybridMultilevel"/>
    <w:tmpl w:val="07689DB8"/>
    <w:lvl w:ilvl="0" w:tplc="04090003">
      <w:start w:val="1"/>
      <w:numFmt w:val="bullet"/>
      <w:lvlText w:val="o"/>
      <w:lvlJc w:val="left"/>
      <w:pPr>
        <w:tabs>
          <w:tab w:val="num" w:pos="720"/>
        </w:tabs>
        <w:ind w:left="720" w:hanging="360"/>
      </w:pPr>
      <w:rPr>
        <w:rFonts w:ascii="Courier New" w:hAnsi="Courier New" w:cs="Courier New"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D2D5A"/>
    <w:multiLevelType w:val="hybridMultilevel"/>
    <w:tmpl w:val="C3FE850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0954"/>
    <w:multiLevelType w:val="hybridMultilevel"/>
    <w:tmpl w:val="0C7A2944"/>
    <w:lvl w:ilvl="0" w:tplc="AD2C11E4">
      <w:start w:val="1"/>
      <w:numFmt w:val="bullet"/>
      <w:lvlText w:val=""/>
      <w:lvlJc w:val="left"/>
      <w:pPr>
        <w:ind w:left="719"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F61C55"/>
    <w:multiLevelType w:val="hybridMultilevel"/>
    <w:tmpl w:val="474A2F72"/>
    <w:lvl w:ilvl="0" w:tplc="22E2B58A">
      <w:start w:val="1420"/>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sz w:val="24"/>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E18AE"/>
    <w:multiLevelType w:val="hybridMultilevel"/>
    <w:tmpl w:val="EAB6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04246"/>
    <w:multiLevelType w:val="hybridMultilevel"/>
    <w:tmpl w:val="5A7A86F8"/>
    <w:lvl w:ilvl="0" w:tplc="AD2C11E4">
      <w:start w:val="1"/>
      <w:numFmt w:val="bullet"/>
      <w:lvlText w:val=""/>
      <w:lvlJc w:val="left"/>
      <w:pPr>
        <w:ind w:left="719" w:hanging="360"/>
      </w:pPr>
      <w:rPr>
        <w:rFonts w:ascii="Symbol" w:hAnsi="Symbol" w:hint="default"/>
        <w:b w:val="0"/>
        <w:i w:val="0"/>
        <w:color w:val="auto"/>
        <w:sz w:val="24"/>
      </w:rPr>
    </w:lvl>
    <w:lvl w:ilvl="1" w:tplc="EEEC7D6E">
      <w:start w:val="1"/>
      <w:numFmt w:val="lowerLetter"/>
      <w:lvlText w:val="%2."/>
      <w:lvlJc w:val="left"/>
      <w:pPr>
        <w:ind w:left="1439" w:hanging="360"/>
      </w:pPr>
      <w:rPr>
        <w:i w:val="0"/>
      </w:r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8" w15:restartNumberingAfterBreak="0">
    <w:nsid w:val="11DD763C"/>
    <w:multiLevelType w:val="hybridMultilevel"/>
    <w:tmpl w:val="4FC2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D294F"/>
    <w:multiLevelType w:val="hybridMultilevel"/>
    <w:tmpl w:val="E3E2F2E4"/>
    <w:lvl w:ilvl="0" w:tplc="29A4F454">
      <w:start w:val="1"/>
      <w:numFmt w:val="bullet"/>
      <w:lvlText w:val=""/>
      <w:lvlJc w:val="left"/>
      <w:pPr>
        <w:ind w:left="719" w:hanging="360"/>
      </w:pPr>
      <w:rPr>
        <w:rFonts w:ascii="Symbol" w:hAnsi="Symbol" w:hint="default"/>
        <w:i w:val="0"/>
      </w:rPr>
    </w:lvl>
    <w:lvl w:ilvl="1" w:tplc="04090003">
      <w:start w:val="1"/>
      <w:numFmt w:val="bullet"/>
      <w:lvlText w:val="o"/>
      <w:lvlJc w:val="left"/>
      <w:pPr>
        <w:ind w:left="1439" w:hanging="360"/>
      </w:pPr>
      <w:rPr>
        <w:rFonts w:ascii="Courier New" w:hAnsi="Courier New" w:cs="Courier New" w:hint="default"/>
        <w:i w:val="0"/>
      </w:r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10" w15:restartNumberingAfterBreak="0">
    <w:nsid w:val="13A549A9"/>
    <w:multiLevelType w:val="multilevel"/>
    <w:tmpl w:val="3D9E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B136D"/>
    <w:multiLevelType w:val="hybridMultilevel"/>
    <w:tmpl w:val="E42E5DB8"/>
    <w:lvl w:ilvl="0" w:tplc="01D474F2">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126A6"/>
    <w:multiLevelType w:val="hybridMultilevel"/>
    <w:tmpl w:val="D2943694"/>
    <w:lvl w:ilvl="0" w:tplc="AD2C11E4">
      <w:start w:val="1"/>
      <w:numFmt w:val="bullet"/>
      <w:lvlText w:val=""/>
      <w:lvlJc w:val="left"/>
      <w:pPr>
        <w:ind w:left="719"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E70A18"/>
    <w:multiLevelType w:val="hybridMultilevel"/>
    <w:tmpl w:val="E56E40C0"/>
    <w:lvl w:ilvl="0" w:tplc="01D474F2">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18609D38">
      <w:start w:val="1"/>
      <w:numFmt w:val="bullet"/>
      <w:lvlText w:val=""/>
      <w:lvlJc w:val="left"/>
      <w:pPr>
        <w:tabs>
          <w:tab w:val="num" w:pos="2160"/>
        </w:tabs>
        <w:ind w:left="2160" w:hanging="360"/>
      </w:pPr>
      <w:rPr>
        <w:rFonts w:ascii="Wingdings" w:hAnsi="Wingdings"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A499A"/>
    <w:multiLevelType w:val="hybridMultilevel"/>
    <w:tmpl w:val="D9FC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360BB"/>
    <w:multiLevelType w:val="hybridMultilevel"/>
    <w:tmpl w:val="584239A4"/>
    <w:lvl w:ilvl="0" w:tplc="B62AE498">
      <w:start w:val="1420"/>
      <w:numFmt w:val="bullet"/>
      <w:lvlText w:val=""/>
      <w:lvlJc w:val="left"/>
      <w:pPr>
        <w:tabs>
          <w:tab w:val="num" w:pos="720"/>
        </w:tabs>
        <w:ind w:left="720" w:hanging="360"/>
      </w:pPr>
      <w:rPr>
        <w:rFonts w:ascii="Wingdings" w:hAnsi="Wingdings" w:hint="default"/>
      </w:rPr>
    </w:lvl>
    <w:lvl w:ilvl="1" w:tplc="593A6AA6">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sz w:val="24"/>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27E73"/>
    <w:multiLevelType w:val="hybridMultilevel"/>
    <w:tmpl w:val="8DDE29CE"/>
    <w:lvl w:ilvl="0" w:tplc="01D474F2">
      <w:start w:val="1"/>
      <w:numFmt w:val="bullet"/>
      <w:lvlText w:val=""/>
      <w:lvlJc w:val="left"/>
      <w:pPr>
        <w:tabs>
          <w:tab w:val="num" w:pos="720"/>
        </w:tabs>
        <w:ind w:left="720" w:hanging="360"/>
      </w:pPr>
      <w:rPr>
        <w:rFonts w:ascii="Symbol" w:hAnsi="Symbol" w:hint="default"/>
        <w:color w:val="auto"/>
        <w:sz w:val="24"/>
      </w:rPr>
    </w:lvl>
    <w:lvl w:ilvl="1" w:tplc="01D474F2">
      <w:start w:val="1"/>
      <w:numFmt w:val="bullet"/>
      <w:lvlText w:val=""/>
      <w:lvlJc w:val="left"/>
      <w:pPr>
        <w:tabs>
          <w:tab w:val="num" w:pos="1440"/>
        </w:tabs>
        <w:ind w:left="1440" w:hanging="360"/>
      </w:pPr>
      <w:rPr>
        <w:rFonts w:ascii="Symbol" w:hAnsi="Symbol"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529E8"/>
    <w:multiLevelType w:val="hybridMultilevel"/>
    <w:tmpl w:val="CD409098"/>
    <w:lvl w:ilvl="0" w:tplc="01D474F2">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D3652"/>
    <w:multiLevelType w:val="hybridMultilevel"/>
    <w:tmpl w:val="33F6D4B8"/>
    <w:lvl w:ilvl="0" w:tplc="AD2C11E4">
      <w:start w:val="1"/>
      <w:numFmt w:val="bullet"/>
      <w:lvlText w:val=""/>
      <w:lvlJc w:val="left"/>
      <w:pPr>
        <w:ind w:left="719" w:hanging="360"/>
      </w:pPr>
      <w:rPr>
        <w:rFonts w:ascii="Symbol" w:hAnsi="Symbol" w:hint="default"/>
        <w:b w:val="0"/>
        <w:i w:val="0"/>
        <w:color w:val="auto"/>
        <w:sz w:val="24"/>
      </w:rPr>
    </w:lvl>
    <w:lvl w:ilvl="1" w:tplc="EEEC7D6E">
      <w:start w:val="1"/>
      <w:numFmt w:val="lowerLetter"/>
      <w:lvlText w:val="%2."/>
      <w:lvlJc w:val="left"/>
      <w:pPr>
        <w:ind w:left="1439" w:hanging="360"/>
      </w:pPr>
      <w:rPr>
        <w:i w:val="0"/>
      </w:r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19" w15:restartNumberingAfterBreak="0">
    <w:nsid w:val="3E33747B"/>
    <w:multiLevelType w:val="hybridMultilevel"/>
    <w:tmpl w:val="AD14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336F0"/>
    <w:multiLevelType w:val="hybridMultilevel"/>
    <w:tmpl w:val="6C90738A"/>
    <w:lvl w:ilvl="0" w:tplc="197AD3C6">
      <w:start w:val="1"/>
      <w:numFmt w:val="bullet"/>
      <w:lvlText w:val=""/>
      <w:lvlJc w:val="left"/>
      <w:pPr>
        <w:ind w:left="719" w:hanging="360"/>
      </w:pPr>
      <w:rPr>
        <w:rFonts w:ascii="Symbol" w:hAnsi="Symbol" w:hint="default"/>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036C5"/>
    <w:multiLevelType w:val="hybridMultilevel"/>
    <w:tmpl w:val="D806ECDE"/>
    <w:lvl w:ilvl="0" w:tplc="01D474F2">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760D1"/>
    <w:multiLevelType w:val="hybridMultilevel"/>
    <w:tmpl w:val="F6F238D6"/>
    <w:lvl w:ilvl="0" w:tplc="AD2C11E4">
      <w:start w:val="1"/>
      <w:numFmt w:val="bullet"/>
      <w:lvlText w:val=""/>
      <w:lvlJc w:val="left"/>
      <w:pPr>
        <w:ind w:left="719"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945A4E"/>
    <w:multiLevelType w:val="hybridMultilevel"/>
    <w:tmpl w:val="BFB63E18"/>
    <w:lvl w:ilvl="0" w:tplc="63F04708">
      <w:start w:val="1"/>
      <w:numFmt w:val="bullet"/>
      <w:pStyle w:val="Bulletedtext-COG"/>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303FB"/>
    <w:multiLevelType w:val="hybridMultilevel"/>
    <w:tmpl w:val="55F87FF8"/>
    <w:lvl w:ilvl="0" w:tplc="AE1A8D04">
      <w:start w:val="1"/>
      <w:numFmt w:val="bullet"/>
      <w:lvlText w:val=""/>
      <w:lvlJc w:val="left"/>
      <w:pPr>
        <w:ind w:left="719" w:hanging="360"/>
      </w:pPr>
      <w:rPr>
        <w:rFonts w:ascii="Symbol" w:hAnsi="Symbol" w:hint="default"/>
        <w:i w:val="0"/>
      </w:rPr>
    </w:lvl>
    <w:lvl w:ilvl="1" w:tplc="EEEC7D6E">
      <w:start w:val="1"/>
      <w:numFmt w:val="lowerLetter"/>
      <w:lvlText w:val="%2."/>
      <w:lvlJc w:val="left"/>
      <w:pPr>
        <w:ind w:left="1439" w:hanging="360"/>
      </w:pPr>
      <w:rPr>
        <w:i w:val="0"/>
      </w:r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25" w15:restartNumberingAfterBreak="0">
    <w:nsid w:val="4E666723"/>
    <w:multiLevelType w:val="hybridMultilevel"/>
    <w:tmpl w:val="E73447D8"/>
    <w:lvl w:ilvl="0" w:tplc="01D474F2">
      <w:start w:val="1"/>
      <w:numFmt w:val="bullet"/>
      <w:lvlText w:val=""/>
      <w:lvlJc w:val="left"/>
      <w:pPr>
        <w:tabs>
          <w:tab w:val="num" w:pos="720"/>
        </w:tabs>
        <w:ind w:left="720" w:hanging="360"/>
      </w:pPr>
      <w:rPr>
        <w:rFonts w:ascii="Symbol" w:hAnsi="Symbol" w:hint="default"/>
        <w:color w:val="auto"/>
        <w:sz w:val="24"/>
      </w:rPr>
    </w:lvl>
    <w:lvl w:ilvl="1" w:tplc="01D474F2">
      <w:start w:val="1"/>
      <w:numFmt w:val="bullet"/>
      <w:lvlText w:val=""/>
      <w:lvlJc w:val="left"/>
      <w:pPr>
        <w:tabs>
          <w:tab w:val="num" w:pos="1440"/>
        </w:tabs>
        <w:ind w:left="1440" w:hanging="360"/>
      </w:pPr>
      <w:rPr>
        <w:rFonts w:ascii="Symbol" w:hAnsi="Symbol"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color w:val="auto"/>
        <w:sz w:val="24"/>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16AF3"/>
    <w:multiLevelType w:val="hybridMultilevel"/>
    <w:tmpl w:val="42866B7A"/>
    <w:lvl w:ilvl="0" w:tplc="B62AE498">
      <w:start w:val="1420"/>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E6DDE"/>
    <w:multiLevelType w:val="hybridMultilevel"/>
    <w:tmpl w:val="4000AC9C"/>
    <w:lvl w:ilvl="0" w:tplc="01D474F2">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92886"/>
    <w:multiLevelType w:val="hybridMultilevel"/>
    <w:tmpl w:val="87D6C4E2"/>
    <w:lvl w:ilvl="0" w:tplc="AD2C11E4">
      <w:start w:val="1"/>
      <w:numFmt w:val="bullet"/>
      <w:lvlText w:val=""/>
      <w:lvlJc w:val="left"/>
      <w:pPr>
        <w:ind w:left="719"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AB2721"/>
    <w:multiLevelType w:val="hybridMultilevel"/>
    <w:tmpl w:val="26A27298"/>
    <w:lvl w:ilvl="0" w:tplc="B62AE498">
      <w:start w:val="1420"/>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sz w:val="24"/>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7F3DCD"/>
    <w:multiLevelType w:val="hybridMultilevel"/>
    <w:tmpl w:val="27DA2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AF7817"/>
    <w:multiLevelType w:val="hybridMultilevel"/>
    <w:tmpl w:val="C826FBC4"/>
    <w:lvl w:ilvl="0" w:tplc="29A4F454">
      <w:start w:val="1"/>
      <w:numFmt w:val="bullet"/>
      <w:lvlText w:val=""/>
      <w:lvlJc w:val="left"/>
      <w:pPr>
        <w:ind w:left="719" w:hanging="360"/>
      </w:pPr>
      <w:rPr>
        <w:rFonts w:ascii="Symbol" w:hAnsi="Symbol" w:hint="default"/>
        <w:i w:val="0"/>
      </w:rPr>
    </w:lvl>
    <w:lvl w:ilvl="1" w:tplc="04090003">
      <w:start w:val="1"/>
      <w:numFmt w:val="bullet"/>
      <w:lvlText w:val="o"/>
      <w:lvlJc w:val="left"/>
      <w:pPr>
        <w:ind w:left="1439" w:hanging="360"/>
      </w:pPr>
      <w:rPr>
        <w:rFonts w:ascii="Courier New" w:hAnsi="Courier New" w:cs="Courier New" w:hint="default"/>
        <w:i w:val="0"/>
      </w:r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32" w15:restartNumberingAfterBreak="0">
    <w:nsid w:val="6C361407"/>
    <w:multiLevelType w:val="hybridMultilevel"/>
    <w:tmpl w:val="FCC4A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F6678A7"/>
    <w:multiLevelType w:val="hybridMultilevel"/>
    <w:tmpl w:val="E4B223E6"/>
    <w:lvl w:ilvl="0" w:tplc="01D474F2">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F1073"/>
    <w:multiLevelType w:val="hybridMultilevel"/>
    <w:tmpl w:val="7D8A7432"/>
    <w:lvl w:ilvl="0" w:tplc="01D474F2">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CA0DB7"/>
    <w:multiLevelType w:val="hybridMultilevel"/>
    <w:tmpl w:val="BD60C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E610D"/>
    <w:multiLevelType w:val="hybridMultilevel"/>
    <w:tmpl w:val="EC6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42734"/>
    <w:multiLevelType w:val="hybridMultilevel"/>
    <w:tmpl w:val="8F589D3A"/>
    <w:lvl w:ilvl="0" w:tplc="29A4F454">
      <w:start w:val="1"/>
      <w:numFmt w:val="bullet"/>
      <w:lvlText w:val=""/>
      <w:lvlJc w:val="left"/>
      <w:pPr>
        <w:ind w:left="719" w:hanging="360"/>
      </w:pPr>
      <w:rPr>
        <w:rFonts w:ascii="Symbol" w:hAnsi="Symbol" w:hint="default"/>
        <w:i w:val="0"/>
      </w:rPr>
    </w:lvl>
    <w:lvl w:ilvl="1" w:tplc="EEEC7D6E">
      <w:start w:val="1"/>
      <w:numFmt w:val="lowerLetter"/>
      <w:lvlText w:val="%2."/>
      <w:lvlJc w:val="left"/>
      <w:pPr>
        <w:ind w:left="1439" w:hanging="360"/>
      </w:pPr>
      <w:rPr>
        <w:i w:val="0"/>
      </w:r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38" w15:restartNumberingAfterBreak="0">
    <w:nsid w:val="77293076"/>
    <w:multiLevelType w:val="hybridMultilevel"/>
    <w:tmpl w:val="E31C5B7E"/>
    <w:lvl w:ilvl="0" w:tplc="01D474F2">
      <w:start w:val="1"/>
      <w:numFmt w:val="bullet"/>
      <w:lvlText w:val=""/>
      <w:lvlJc w:val="left"/>
      <w:pPr>
        <w:tabs>
          <w:tab w:val="num" w:pos="720"/>
        </w:tabs>
        <w:ind w:left="720" w:hanging="360"/>
      </w:pPr>
      <w:rPr>
        <w:rFonts w:ascii="Symbol" w:hAnsi="Symbol" w:hint="default"/>
        <w:color w:val="auto"/>
        <w:sz w:val="24"/>
      </w:rPr>
    </w:lvl>
    <w:lvl w:ilvl="1" w:tplc="33CC680A">
      <w:start w:val="1"/>
      <w:numFmt w:val="bullet"/>
      <w:lvlText w:val=""/>
      <w:lvlJc w:val="left"/>
      <w:pPr>
        <w:tabs>
          <w:tab w:val="num" w:pos="1440"/>
        </w:tabs>
        <w:ind w:left="1440" w:hanging="360"/>
      </w:pPr>
      <w:rPr>
        <w:rFonts w:ascii="Symbol" w:hAnsi="Symbol"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6F3F9E"/>
    <w:multiLevelType w:val="hybridMultilevel"/>
    <w:tmpl w:val="15B05F78"/>
    <w:lvl w:ilvl="0" w:tplc="01D474F2">
      <w:start w:val="1"/>
      <w:numFmt w:val="bullet"/>
      <w:lvlText w:val=""/>
      <w:lvlJc w:val="left"/>
      <w:pPr>
        <w:ind w:left="719" w:hanging="360"/>
      </w:pPr>
      <w:rPr>
        <w:rFonts w:ascii="Symbol" w:hAnsi="Symbol" w:hint="default"/>
        <w:i w:val="0"/>
        <w:color w:val="auto"/>
        <w:sz w:val="24"/>
      </w:rPr>
    </w:lvl>
    <w:lvl w:ilvl="1" w:tplc="EEEC7D6E">
      <w:start w:val="1"/>
      <w:numFmt w:val="lowerLetter"/>
      <w:lvlText w:val="%2."/>
      <w:lvlJc w:val="left"/>
      <w:pPr>
        <w:ind w:left="1439" w:hanging="360"/>
      </w:pPr>
      <w:rPr>
        <w:i w:val="0"/>
      </w:r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40" w15:restartNumberingAfterBreak="0">
    <w:nsid w:val="7B7F0AEF"/>
    <w:multiLevelType w:val="hybridMultilevel"/>
    <w:tmpl w:val="380CAC62"/>
    <w:lvl w:ilvl="0" w:tplc="01D474F2">
      <w:start w:val="1"/>
      <w:numFmt w:val="bullet"/>
      <w:lvlText w:val=""/>
      <w:lvlJc w:val="left"/>
      <w:pPr>
        <w:tabs>
          <w:tab w:val="num" w:pos="720"/>
        </w:tabs>
        <w:ind w:left="720" w:hanging="360"/>
      </w:pPr>
      <w:rPr>
        <w:rFonts w:ascii="Symbol" w:hAnsi="Symbol" w:hint="default"/>
        <w:color w:val="auto"/>
        <w:sz w:val="24"/>
      </w:rPr>
    </w:lvl>
    <w:lvl w:ilvl="1" w:tplc="01D474F2">
      <w:start w:val="1"/>
      <w:numFmt w:val="bullet"/>
      <w:lvlText w:val=""/>
      <w:lvlJc w:val="left"/>
      <w:pPr>
        <w:tabs>
          <w:tab w:val="num" w:pos="1440"/>
        </w:tabs>
        <w:ind w:left="1440" w:hanging="360"/>
      </w:pPr>
      <w:rPr>
        <w:rFonts w:ascii="Symbol" w:hAnsi="Symbol" w:hint="default"/>
        <w:color w:val="auto"/>
        <w:sz w:val="24"/>
      </w:rPr>
    </w:lvl>
    <w:lvl w:ilvl="2" w:tplc="04090003">
      <w:start w:val="1"/>
      <w:numFmt w:val="bullet"/>
      <w:lvlText w:val="o"/>
      <w:lvlJc w:val="left"/>
      <w:pPr>
        <w:tabs>
          <w:tab w:val="num" w:pos="2160"/>
        </w:tabs>
        <w:ind w:left="2160" w:hanging="360"/>
      </w:pPr>
      <w:rPr>
        <w:rFonts w:ascii="Courier New" w:hAnsi="Courier New" w:cs="Courier New" w:hint="default"/>
      </w:rPr>
    </w:lvl>
    <w:lvl w:ilvl="3" w:tplc="0AA6F5FE">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29"/>
  </w:num>
  <w:num w:numId="4">
    <w:abstractNumId w:val="26"/>
  </w:num>
  <w:num w:numId="5">
    <w:abstractNumId w:val="5"/>
  </w:num>
  <w:num w:numId="6">
    <w:abstractNumId w:val="25"/>
  </w:num>
  <w:num w:numId="7">
    <w:abstractNumId w:val="8"/>
  </w:num>
  <w:num w:numId="8">
    <w:abstractNumId w:val="36"/>
  </w:num>
  <w:num w:numId="9">
    <w:abstractNumId w:val="14"/>
  </w:num>
  <w:num w:numId="10">
    <w:abstractNumId w:val="13"/>
  </w:num>
  <w:num w:numId="11">
    <w:abstractNumId w:val="40"/>
  </w:num>
  <w:num w:numId="12">
    <w:abstractNumId w:val="21"/>
  </w:num>
  <w:num w:numId="13">
    <w:abstractNumId w:val="27"/>
  </w:num>
  <w:num w:numId="14">
    <w:abstractNumId w:val="34"/>
  </w:num>
  <w:num w:numId="15">
    <w:abstractNumId w:val="11"/>
  </w:num>
  <w:num w:numId="16">
    <w:abstractNumId w:val="17"/>
  </w:num>
  <w:num w:numId="17">
    <w:abstractNumId w:val="33"/>
  </w:num>
  <w:num w:numId="18">
    <w:abstractNumId w:val="38"/>
  </w:num>
  <w:num w:numId="19">
    <w:abstractNumId w:val="15"/>
  </w:num>
  <w:num w:numId="20">
    <w:abstractNumId w:val="6"/>
  </w:num>
  <w:num w:numId="21">
    <w:abstractNumId w:val="19"/>
  </w:num>
  <w:num w:numId="22">
    <w:abstractNumId w:val="3"/>
  </w:num>
  <w:num w:numId="23">
    <w:abstractNumId w:val="35"/>
  </w:num>
  <w:num w:numId="24">
    <w:abstractNumId w:val="2"/>
  </w:num>
  <w:num w:numId="25">
    <w:abstractNumId w:val="10"/>
  </w:num>
  <w:num w:numId="26">
    <w:abstractNumId w:val="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2"/>
  </w:num>
  <w:num w:numId="38">
    <w:abstractNumId w:val="30"/>
  </w:num>
  <w:num w:numId="39">
    <w:abstractNumId w:val="4"/>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ia Davis">
    <w15:presenceInfo w15:providerId="AD" w15:userId="S::mdavis@mwcog.org::fc0b5db6-876a-41ab-aaca-983d47296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E9"/>
    <w:rsid w:val="0000103F"/>
    <w:rsid w:val="00001930"/>
    <w:rsid w:val="00007AAE"/>
    <w:rsid w:val="0001030A"/>
    <w:rsid w:val="00023D49"/>
    <w:rsid w:val="000278D5"/>
    <w:rsid w:val="00027DBF"/>
    <w:rsid w:val="000324E9"/>
    <w:rsid w:val="00064651"/>
    <w:rsid w:val="000648EB"/>
    <w:rsid w:val="00066258"/>
    <w:rsid w:val="00073673"/>
    <w:rsid w:val="00076003"/>
    <w:rsid w:val="00081CF5"/>
    <w:rsid w:val="000841BF"/>
    <w:rsid w:val="00093042"/>
    <w:rsid w:val="000935B9"/>
    <w:rsid w:val="00094511"/>
    <w:rsid w:val="000A076D"/>
    <w:rsid w:val="000B14B4"/>
    <w:rsid w:val="000B307E"/>
    <w:rsid w:val="000C04D8"/>
    <w:rsid w:val="000C64D0"/>
    <w:rsid w:val="000D1455"/>
    <w:rsid w:val="000F22F5"/>
    <w:rsid w:val="000F7043"/>
    <w:rsid w:val="000F7EFC"/>
    <w:rsid w:val="001007B3"/>
    <w:rsid w:val="00111DA5"/>
    <w:rsid w:val="00115622"/>
    <w:rsid w:val="00115A10"/>
    <w:rsid w:val="00117D89"/>
    <w:rsid w:val="001212CD"/>
    <w:rsid w:val="001328AF"/>
    <w:rsid w:val="0013785F"/>
    <w:rsid w:val="0015105C"/>
    <w:rsid w:val="00153665"/>
    <w:rsid w:val="001541EC"/>
    <w:rsid w:val="00155E31"/>
    <w:rsid w:val="00162213"/>
    <w:rsid w:val="001640E6"/>
    <w:rsid w:val="001643A9"/>
    <w:rsid w:val="00166A69"/>
    <w:rsid w:val="00186366"/>
    <w:rsid w:val="001914CF"/>
    <w:rsid w:val="001969DC"/>
    <w:rsid w:val="001A3892"/>
    <w:rsid w:val="001A39D5"/>
    <w:rsid w:val="001A5760"/>
    <w:rsid w:val="001A5861"/>
    <w:rsid w:val="001A5CC8"/>
    <w:rsid w:val="001B75B5"/>
    <w:rsid w:val="001C3EFC"/>
    <w:rsid w:val="001D11A2"/>
    <w:rsid w:val="001D5333"/>
    <w:rsid w:val="001D611D"/>
    <w:rsid w:val="001D6CDB"/>
    <w:rsid w:val="001D719A"/>
    <w:rsid w:val="001D7487"/>
    <w:rsid w:val="001E17B1"/>
    <w:rsid w:val="001E22D4"/>
    <w:rsid w:val="001E69AF"/>
    <w:rsid w:val="001E789D"/>
    <w:rsid w:val="001F0812"/>
    <w:rsid w:val="001F4481"/>
    <w:rsid w:val="001F4A04"/>
    <w:rsid w:val="00200E73"/>
    <w:rsid w:val="0020279F"/>
    <w:rsid w:val="00205FCD"/>
    <w:rsid w:val="00222169"/>
    <w:rsid w:val="002360F4"/>
    <w:rsid w:val="00250974"/>
    <w:rsid w:val="002705A1"/>
    <w:rsid w:val="00270798"/>
    <w:rsid w:val="002746A7"/>
    <w:rsid w:val="002837E6"/>
    <w:rsid w:val="0029585C"/>
    <w:rsid w:val="002A7332"/>
    <w:rsid w:val="002B3D90"/>
    <w:rsid w:val="002B5CF6"/>
    <w:rsid w:val="002C2FB0"/>
    <w:rsid w:val="002C31F9"/>
    <w:rsid w:val="002C5EF0"/>
    <w:rsid w:val="002D225C"/>
    <w:rsid w:val="002E081E"/>
    <w:rsid w:val="002F24BC"/>
    <w:rsid w:val="002F3737"/>
    <w:rsid w:val="00314874"/>
    <w:rsid w:val="003211A1"/>
    <w:rsid w:val="003217A0"/>
    <w:rsid w:val="00323282"/>
    <w:rsid w:val="0034097F"/>
    <w:rsid w:val="00345BA0"/>
    <w:rsid w:val="00352FB3"/>
    <w:rsid w:val="00360515"/>
    <w:rsid w:val="003669A3"/>
    <w:rsid w:val="00380533"/>
    <w:rsid w:val="00392B89"/>
    <w:rsid w:val="00393414"/>
    <w:rsid w:val="0039381F"/>
    <w:rsid w:val="00393D1B"/>
    <w:rsid w:val="003950E9"/>
    <w:rsid w:val="003B2A9C"/>
    <w:rsid w:val="003B4A8A"/>
    <w:rsid w:val="003C20D3"/>
    <w:rsid w:val="003C4609"/>
    <w:rsid w:val="003C7B47"/>
    <w:rsid w:val="003D110A"/>
    <w:rsid w:val="003D35DC"/>
    <w:rsid w:val="003D423B"/>
    <w:rsid w:val="003D79D8"/>
    <w:rsid w:val="003F2B6A"/>
    <w:rsid w:val="00403B17"/>
    <w:rsid w:val="004058A0"/>
    <w:rsid w:val="004071D7"/>
    <w:rsid w:val="00407492"/>
    <w:rsid w:val="00407581"/>
    <w:rsid w:val="00414058"/>
    <w:rsid w:val="00415F2B"/>
    <w:rsid w:val="00431B81"/>
    <w:rsid w:val="0043380A"/>
    <w:rsid w:val="004431FF"/>
    <w:rsid w:val="004503FC"/>
    <w:rsid w:val="004516E1"/>
    <w:rsid w:val="0045767E"/>
    <w:rsid w:val="004712B3"/>
    <w:rsid w:val="00472133"/>
    <w:rsid w:val="00482A8C"/>
    <w:rsid w:val="00490671"/>
    <w:rsid w:val="00491C12"/>
    <w:rsid w:val="00495763"/>
    <w:rsid w:val="004A018F"/>
    <w:rsid w:val="004A0F94"/>
    <w:rsid w:val="004A1CD3"/>
    <w:rsid w:val="004A542F"/>
    <w:rsid w:val="004B0097"/>
    <w:rsid w:val="004B0751"/>
    <w:rsid w:val="004B54D6"/>
    <w:rsid w:val="004C7FDC"/>
    <w:rsid w:val="004D2181"/>
    <w:rsid w:val="004E035C"/>
    <w:rsid w:val="004F0CD6"/>
    <w:rsid w:val="004F2BF6"/>
    <w:rsid w:val="004F3C16"/>
    <w:rsid w:val="005023E9"/>
    <w:rsid w:val="00505F59"/>
    <w:rsid w:val="00513890"/>
    <w:rsid w:val="00532FD4"/>
    <w:rsid w:val="00533953"/>
    <w:rsid w:val="00535B48"/>
    <w:rsid w:val="00540F3C"/>
    <w:rsid w:val="005463B5"/>
    <w:rsid w:val="005524C6"/>
    <w:rsid w:val="00557692"/>
    <w:rsid w:val="005777BB"/>
    <w:rsid w:val="00583653"/>
    <w:rsid w:val="0058514B"/>
    <w:rsid w:val="005A2261"/>
    <w:rsid w:val="005B5215"/>
    <w:rsid w:val="005C143C"/>
    <w:rsid w:val="005D55D5"/>
    <w:rsid w:val="005D7189"/>
    <w:rsid w:val="005E25FE"/>
    <w:rsid w:val="005E5E82"/>
    <w:rsid w:val="005F19E4"/>
    <w:rsid w:val="005F5B00"/>
    <w:rsid w:val="005F7220"/>
    <w:rsid w:val="00606720"/>
    <w:rsid w:val="006070F7"/>
    <w:rsid w:val="0061191D"/>
    <w:rsid w:val="00611B7B"/>
    <w:rsid w:val="00614691"/>
    <w:rsid w:val="0062047F"/>
    <w:rsid w:val="00622152"/>
    <w:rsid w:val="006223C5"/>
    <w:rsid w:val="00641202"/>
    <w:rsid w:val="00644408"/>
    <w:rsid w:val="00647BEB"/>
    <w:rsid w:val="00655899"/>
    <w:rsid w:val="00662BF9"/>
    <w:rsid w:val="00673F0B"/>
    <w:rsid w:val="0067540A"/>
    <w:rsid w:val="00675C2F"/>
    <w:rsid w:val="00677392"/>
    <w:rsid w:val="00681A99"/>
    <w:rsid w:val="006938F0"/>
    <w:rsid w:val="006A174D"/>
    <w:rsid w:val="006A381B"/>
    <w:rsid w:val="006A5371"/>
    <w:rsid w:val="006A58E2"/>
    <w:rsid w:val="006B0B6E"/>
    <w:rsid w:val="006B314B"/>
    <w:rsid w:val="006C2276"/>
    <w:rsid w:val="006C3437"/>
    <w:rsid w:val="006D58F5"/>
    <w:rsid w:val="006D7124"/>
    <w:rsid w:val="006D7F53"/>
    <w:rsid w:val="006E0ADE"/>
    <w:rsid w:val="006F0ED5"/>
    <w:rsid w:val="006F576F"/>
    <w:rsid w:val="006F5CAE"/>
    <w:rsid w:val="007006FE"/>
    <w:rsid w:val="007043D1"/>
    <w:rsid w:val="00711AD4"/>
    <w:rsid w:val="007164BA"/>
    <w:rsid w:val="007226E1"/>
    <w:rsid w:val="0072612F"/>
    <w:rsid w:val="00727D88"/>
    <w:rsid w:val="007342C4"/>
    <w:rsid w:val="00753AD1"/>
    <w:rsid w:val="00754879"/>
    <w:rsid w:val="00754FEF"/>
    <w:rsid w:val="007558AE"/>
    <w:rsid w:val="007648D9"/>
    <w:rsid w:val="0076608C"/>
    <w:rsid w:val="00780246"/>
    <w:rsid w:val="00780C2E"/>
    <w:rsid w:val="0078490A"/>
    <w:rsid w:val="007A27E0"/>
    <w:rsid w:val="007A2F52"/>
    <w:rsid w:val="007A4024"/>
    <w:rsid w:val="007A496D"/>
    <w:rsid w:val="007A69CC"/>
    <w:rsid w:val="007B49BC"/>
    <w:rsid w:val="007D07B9"/>
    <w:rsid w:val="007D1C48"/>
    <w:rsid w:val="007D3A93"/>
    <w:rsid w:val="007D40C5"/>
    <w:rsid w:val="007E32E7"/>
    <w:rsid w:val="007E4168"/>
    <w:rsid w:val="007E6644"/>
    <w:rsid w:val="007F0C66"/>
    <w:rsid w:val="007F265F"/>
    <w:rsid w:val="00800C70"/>
    <w:rsid w:val="00805454"/>
    <w:rsid w:val="00812F3E"/>
    <w:rsid w:val="00820E50"/>
    <w:rsid w:val="0082327F"/>
    <w:rsid w:val="00824F84"/>
    <w:rsid w:val="00826A78"/>
    <w:rsid w:val="00826D73"/>
    <w:rsid w:val="008304B4"/>
    <w:rsid w:val="00830FA3"/>
    <w:rsid w:val="00834F46"/>
    <w:rsid w:val="008377C6"/>
    <w:rsid w:val="00840518"/>
    <w:rsid w:val="0085591A"/>
    <w:rsid w:val="00864CE3"/>
    <w:rsid w:val="00870CEB"/>
    <w:rsid w:val="00880728"/>
    <w:rsid w:val="008817A4"/>
    <w:rsid w:val="00896C5D"/>
    <w:rsid w:val="008A113D"/>
    <w:rsid w:val="008A2CD8"/>
    <w:rsid w:val="008A3796"/>
    <w:rsid w:val="008A3C8A"/>
    <w:rsid w:val="008C0264"/>
    <w:rsid w:val="008C2617"/>
    <w:rsid w:val="008C3C6E"/>
    <w:rsid w:val="008D41B8"/>
    <w:rsid w:val="008D49E5"/>
    <w:rsid w:val="00910B7F"/>
    <w:rsid w:val="00916045"/>
    <w:rsid w:val="00920609"/>
    <w:rsid w:val="00920ACC"/>
    <w:rsid w:val="00924917"/>
    <w:rsid w:val="00926064"/>
    <w:rsid w:val="0092714B"/>
    <w:rsid w:val="0094622D"/>
    <w:rsid w:val="00946CD4"/>
    <w:rsid w:val="00950991"/>
    <w:rsid w:val="0095541A"/>
    <w:rsid w:val="0095564C"/>
    <w:rsid w:val="009556AE"/>
    <w:rsid w:val="00960B64"/>
    <w:rsid w:val="00967BC0"/>
    <w:rsid w:val="009752B0"/>
    <w:rsid w:val="0097538D"/>
    <w:rsid w:val="00976AE5"/>
    <w:rsid w:val="00977D7F"/>
    <w:rsid w:val="00983927"/>
    <w:rsid w:val="0098576B"/>
    <w:rsid w:val="00986619"/>
    <w:rsid w:val="009A3DB2"/>
    <w:rsid w:val="009B4A89"/>
    <w:rsid w:val="009C44D0"/>
    <w:rsid w:val="009D1DEA"/>
    <w:rsid w:val="009D521A"/>
    <w:rsid w:val="009E2052"/>
    <w:rsid w:val="009E725E"/>
    <w:rsid w:val="009F4261"/>
    <w:rsid w:val="00A02FA9"/>
    <w:rsid w:val="00A14B92"/>
    <w:rsid w:val="00A165B6"/>
    <w:rsid w:val="00A224C1"/>
    <w:rsid w:val="00A225D0"/>
    <w:rsid w:val="00A253B8"/>
    <w:rsid w:val="00A33014"/>
    <w:rsid w:val="00A34865"/>
    <w:rsid w:val="00A42E04"/>
    <w:rsid w:val="00A5430E"/>
    <w:rsid w:val="00A60FE2"/>
    <w:rsid w:val="00A643BC"/>
    <w:rsid w:val="00A66701"/>
    <w:rsid w:val="00A71A9C"/>
    <w:rsid w:val="00A71E21"/>
    <w:rsid w:val="00A749D5"/>
    <w:rsid w:val="00A77A01"/>
    <w:rsid w:val="00A845C0"/>
    <w:rsid w:val="00A933E3"/>
    <w:rsid w:val="00AB2FCB"/>
    <w:rsid w:val="00AB53AB"/>
    <w:rsid w:val="00AC1CE0"/>
    <w:rsid w:val="00AC3403"/>
    <w:rsid w:val="00AD7DDB"/>
    <w:rsid w:val="00AE52AF"/>
    <w:rsid w:val="00AF173A"/>
    <w:rsid w:val="00B065B4"/>
    <w:rsid w:val="00B10E87"/>
    <w:rsid w:val="00B110F2"/>
    <w:rsid w:val="00B12D87"/>
    <w:rsid w:val="00B15758"/>
    <w:rsid w:val="00B20B49"/>
    <w:rsid w:val="00B20B9F"/>
    <w:rsid w:val="00B25D7B"/>
    <w:rsid w:val="00B268BD"/>
    <w:rsid w:val="00B26F8E"/>
    <w:rsid w:val="00B51875"/>
    <w:rsid w:val="00B527A4"/>
    <w:rsid w:val="00B5416D"/>
    <w:rsid w:val="00B5589F"/>
    <w:rsid w:val="00B714CD"/>
    <w:rsid w:val="00B725E3"/>
    <w:rsid w:val="00B73849"/>
    <w:rsid w:val="00B74148"/>
    <w:rsid w:val="00B74A8F"/>
    <w:rsid w:val="00B74EFC"/>
    <w:rsid w:val="00B8651D"/>
    <w:rsid w:val="00B94D15"/>
    <w:rsid w:val="00B964D8"/>
    <w:rsid w:val="00BA4A52"/>
    <w:rsid w:val="00BB07E4"/>
    <w:rsid w:val="00BB09CC"/>
    <w:rsid w:val="00BC4FB7"/>
    <w:rsid w:val="00BD7E78"/>
    <w:rsid w:val="00BE44F7"/>
    <w:rsid w:val="00BE4DB4"/>
    <w:rsid w:val="00BE5DC1"/>
    <w:rsid w:val="00C11BBF"/>
    <w:rsid w:val="00C12982"/>
    <w:rsid w:val="00C1477A"/>
    <w:rsid w:val="00C20CA9"/>
    <w:rsid w:val="00C31AF3"/>
    <w:rsid w:val="00C35687"/>
    <w:rsid w:val="00C37B0D"/>
    <w:rsid w:val="00C41EEA"/>
    <w:rsid w:val="00C44833"/>
    <w:rsid w:val="00C50C9E"/>
    <w:rsid w:val="00C50F01"/>
    <w:rsid w:val="00C518FB"/>
    <w:rsid w:val="00C534A1"/>
    <w:rsid w:val="00C54E83"/>
    <w:rsid w:val="00C57209"/>
    <w:rsid w:val="00C744CA"/>
    <w:rsid w:val="00C75D9F"/>
    <w:rsid w:val="00C768C3"/>
    <w:rsid w:val="00C83513"/>
    <w:rsid w:val="00C837B0"/>
    <w:rsid w:val="00C9215A"/>
    <w:rsid w:val="00C93962"/>
    <w:rsid w:val="00CA066C"/>
    <w:rsid w:val="00CA0ECB"/>
    <w:rsid w:val="00CB0787"/>
    <w:rsid w:val="00CC1489"/>
    <w:rsid w:val="00CC4979"/>
    <w:rsid w:val="00CD56B8"/>
    <w:rsid w:val="00CD59B8"/>
    <w:rsid w:val="00CE2771"/>
    <w:rsid w:val="00CE59F9"/>
    <w:rsid w:val="00CF0CCE"/>
    <w:rsid w:val="00CF79E4"/>
    <w:rsid w:val="00D028E3"/>
    <w:rsid w:val="00D07B46"/>
    <w:rsid w:val="00D176AF"/>
    <w:rsid w:val="00D17922"/>
    <w:rsid w:val="00D2095D"/>
    <w:rsid w:val="00D27649"/>
    <w:rsid w:val="00D452B6"/>
    <w:rsid w:val="00D5589C"/>
    <w:rsid w:val="00D61FCB"/>
    <w:rsid w:val="00D62526"/>
    <w:rsid w:val="00D62B98"/>
    <w:rsid w:val="00D6374C"/>
    <w:rsid w:val="00D65F10"/>
    <w:rsid w:val="00D6787E"/>
    <w:rsid w:val="00D72AE8"/>
    <w:rsid w:val="00D7327C"/>
    <w:rsid w:val="00D74632"/>
    <w:rsid w:val="00D75286"/>
    <w:rsid w:val="00D81207"/>
    <w:rsid w:val="00D87DBB"/>
    <w:rsid w:val="00DA08A3"/>
    <w:rsid w:val="00DA1F1C"/>
    <w:rsid w:val="00DA676C"/>
    <w:rsid w:val="00DB5062"/>
    <w:rsid w:val="00DB7FBB"/>
    <w:rsid w:val="00DC0697"/>
    <w:rsid w:val="00DC418B"/>
    <w:rsid w:val="00DC45F8"/>
    <w:rsid w:val="00DC535E"/>
    <w:rsid w:val="00DC58DF"/>
    <w:rsid w:val="00DC6695"/>
    <w:rsid w:val="00DD7F91"/>
    <w:rsid w:val="00DE3C6B"/>
    <w:rsid w:val="00DE6416"/>
    <w:rsid w:val="00DE7796"/>
    <w:rsid w:val="00DF0E61"/>
    <w:rsid w:val="00E1334C"/>
    <w:rsid w:val="00E1424B"/>
    <w:rsid w:val="00E14928"/>
    <w:rsid w:val="00E14C87"/>
    <w:rsid w:val="00E26716"/>
    <w:rsid w:val="00E31E1C"/>
    <w:rsid w:val="00E32D5D"/>
    <w:rsid w:val="00E33F24"/>
    <w:rsid w:val="00E465B0"/>
    <w:rsid w:val="00E51A33"/>
    <w:rsid w:val="00E52995"/>
    <w:rsid w:val="00E56448"/>
    <w:rsid w:val="00E56645"/>
    <w:rsid w:val="00E575F9"/>
    <w:rsid w:val="00E57999"/>
    <w:rsid w:val="00E60DC4"/>
    <w:rsid w:val="00E614F6"/>
    <w:rsid w:val="00E6309E"/>
    <w:rsid w:val="00E670AB"/>
    <w:rsid w:val="00E70BF7"/>
    <w:rsid w:val="00E80304"/>
    <w:rsid w:val="00E85ED2"/>
    <w:rsid w:val="00E90DE2"/>
    <w:rsid w:val="00E91DB4"/>
    <w:rsid w:val="00E96529"/>
    <w:rsid w:val="00EA5359"/>
    <w:rsid w:val="00EB3264"/>
    <w:rsid w:val="00EC12DE"/>
    <w:rsid w:val="00EC4E53"/>
    <w:rsid w:val="00EC5857"/>
    <w:rsid w:val="00ED1D8A"/>
    <w:rsid w:val="00EE58A6"/>
    <w:rsid w:val="00EF58EF"/>
    <w:rsid w:val="00EF6A89"/>
    <w:rsid w:val="00F13354"/>
    <w:rsid w:val="00F171BE"/>
    <w:rsid w:val="00F229D6"/>
    <w:rsid w:val="00F25162"/>
    <w:rsid w:val="00F257DE"/>
    <w:rsid w:val="00F34675"/>
    <w:rsid w:val="00F36D33"/>
    <w:rsid w:val="00F3778E"/>
    <w:rsid w:val="00F4345E"/>
    <w:rsid w:val="00F439D4"/>
    <w:rsid w:val="00F52573"/>
    <w:rsid w:val="00F54CFE"/>
    <w:rsid w:val="00F57C31"/>
    <w:rsid w:val="00F60EA1"/>
    <w:rsid w:val="00F717F1"/>
    <w:rsid w:val="00F7249C"/>
    <w:rsid w:val="00F75231"/>
    <w:rsid w:val="00F80EA2"/>
    <w:rsid w:val="00F83C27"/>
    <w:rsid w:val="00F87DF1"/>
    <w:rsid w:val="00F902BE"/>
    <w:rsid w:val="00F914F4"/>
    <w:rsid w:val="00F919E0"/>
    <w:rsid w:val="00F92A09"/>
    <w:rsid w:val="00F97831"/>
    <w:rsid w:val="00FA05DF"/>
    <w:rsid w:val="00FA171B"/>
    <w:rsid w:val="00FA2B0B"/>
    <w:rsid w:val="00FA5C2C"/>
    <w:rsid w:val="00FB43F5"/>
    <w:rsid w:val="00FB4BBF"/>
    <w:rsid w:val="00FB7CF8"/>
    <w:rsid w:val="00FC0D0C"/>
    <w:rsid w:val="00FC620C"/>
    <w:rsid w:val="00FC71DB"/>
    <w:rsid w:val="00FD183D"/>
    <w:rsid w:val="00FD1F9B"/>
    <w:rsid w:val="00FD78F2"/>
    <w:rsid w:val="00FE101C"/>
    <w:rsid w:val="00FE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B11318"/>
  <w15:chartTrackingRefBased/>
  <w15:docId w15:val="{B1801457-2EE9-440B-8444-0EAF4C5A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17"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3"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16"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59B8"/>
    <w:rPr>
      <w:rFonts w:ascii="Franklin Gothic Demi" w:eastAsiaTheme="minorEastAsia" w:hAnsi="Franklin Gothic Demi"/>
      <w:color w:val="000000" w:themeColor="text1"/>
      <w:sz w:val="16"/>
    </w:rPr>
  </w:style>
  <w:style w:type="paragraph" w:styleId="Heading1">
    <w:name w:val="heading 1"/>
    <w:basedOn w:val="Normal"/>
    <w:link w:val="Heading1Char"/>
    <w:uiPriority w:val="9"/>
    <w:rsid w:val="00CD59B8"/>
    <w:pPr>
      <w:outlineLvl w:val="0"/>
    </w:pPr>
    <w:rPr>
      <w:rFonts w:asciiTheme="majorHAnsi" w:eastAsiaTheme="majorEastAsia" w:hAnsiTheme="majorHAnsi" w:cstheme="majorBidi"/>
      <w:bCs/>
      <w:color w:val="EA4249" w:themeColor="accent2"/>
      <w:sz w:val="120"/>
      <w:szCs w:val="32"/>
    </w:rPr>
  </w:style>
  <w:style w:type="paragraph" w:styleId="Heading2">
    <w:name w:val="heading 2"/>
    <w:basedOn w:val="Normal"/>
    <w:link w:val="Heading2Char"/>
    <w:uiPriority w:val="9"/>
    <w:qFormat/>
    <w:rsid w:val="00CD59B8"/>
    <w:pPr>
      <w:jc w:val="center"/>
      <w:outlineLvl w:val="1"/>
    </w:pPr>
    <w:rPr>
      <w:rFonts w:asciiTheme="majorHAnsi" w:eastAsiaTheme="majorEastAsia" w:hAnsiTheme="majorHAnsi" w:cstheme="majorBidi"/>
      <w:bCs/>
      <w:color w:val="EA4249" w:themeColor="accent2"/>
      <w:sz w:val="48"/>
      <w:szCs w:val="26"/>
    </w:rPr>
  </w:style>
  <w:style w:type="paragraph" w:styleId="Heading3">
    <w:name w:val="heading 3"/>
    <w:basedOn w:val="Normal"/>
    <w:link w:val="Heading3Char"/>
    <w:uiPriority w:val="9"/>
    <w:semiHidden/>
    <w:qFormat/>
    <w:rsid w:val="00CD59B8"/>
    <w:pPr>
      <w:jc w:val="center"/>
      <w:outlineLvl w:val="2"/>
    </w:pPr>
    <w:rPr>
      <w:rFonts w:asciiTheme="majorHAnsi" w:eastAsiaTheme="majorEastAsia" w:hAnsiTheme="majorHAnsi" w:cstheme="majorBidi"/>
      <w:b/>
      <w:bCs/>
      <w:color w:val="2F6B97" w:themeColor="accent1"/>
      <w:sz w:val="40"/>
    </w:rPr>
  </w:style>
  <w:style w:type="paragraph" w:styleId="Heading4">
    <w:name w:val="heading 4"/>
    <w:basedOn w:val="Normal"/>
    <w:link w:val="Heading4Char"/>
    <w:uiPriority w:val="9"/>
    <w:semiHidden/>
    <w:qFormat/>
    <w:rsid w:val="00CD59B8"/>
    <w:pPr>
      <w:outlineLvl w:val="3"/>
    </w:pPr>
    <w:rPr>
      <w:rFonts w:asciiTheme="majorHAnsi" w:eastAsiaTheme="majorEastAsia" w:hAnsiTheme="majorHAnsi" w:cstheme="majorBidi"/>
      <w:bCs/>
      <w:iCs/>
      <w:color w:val="EA4249" w:themeColor="accent2"/>
      <w:sz w:val="44"/>
    </w:rPr>
  </w:style>
  <w:style w:type="paragraph" w:styleId="Heading5">
    <w:name w:val="heading 5"/>
    <w:basedOn w:val="Normal"/>
    <w:link w:val="Heading5Char"/>
    <w:uiPriority w:val="9"/>
    <w:semiHidden/>
    <w:qFormat/>
    <w:rsid w:val="00CD59B8"/>
    <w:pPr>
      <w:outlineLvl w:val="4"/>
    </w:pPr>
    <w:rPr>
      <w:rFonts w:asciiTheme="majorHAnsi" w:eastAsiaTheme="majorEastAsia" w:hAnsiTheme="majorHAnsi" w:cstheme="majorBidi"/>
      <w:color w:val="EA4249" w:themeColor="accent2"/>
      <w:sz w:val="28"/>
    </w:rPr>
  </w:style>
  <w:style w:type="paragraph" w:styleId="Heading6">
    <w:name w:val="heading 6"/>
    <w:basedOn w:val="Normal"/>
    <w:link w:val="Heading6Char"/>
    <w:uiPriority w:val="9"/>
    <w:semiHidden/>
    <w:qFormat/>
    <w:rsid w:val="00CD59B8"/>
    <w:pPr>
      <w:outlineLvl w:val="5"/>
    </w:pPr>
    <w:rPr>
      <w:rFonts w:asciiTheme="majorHAnsi" w:eastAsiaTheme="majorEastAsia" w:hAnsiTheme="majorHAnsi" w:cstheme="majorBidi"/>
      <w:b/>
      <w:iCs/>
      <w:color w:val="FFFFFF" w:themeColor="background1"/>
    </w:rPr>
  </w:style>
  <w:style w:type="paragraph" w:styleId="Heading7">
    <w:name w:val="heading 7"/>
    <w:basedOn w:val="Normal"/>
    <w:link w:val="Heading7Char"/>
    <w:uiPriority w:val="9"/>
    <w:semiHidden/>
    <w:qFormat/>
    <w:rsid w:val="00CD59B8"/>
    <w:pPr>
      <w:outlineLvl w:val="6"/>
    </w:pPr>
    <w:rPr>
      <w:rFonts w:asciiTheme="majorHAnsi" w:eastAsiaTheme="majorEastAsia" w:hAnsiTheme="majorHAnsi" w:cstheme="majorBidi"/>
      <w:b/>
      <w:iCs/>
      <w:color w:val="2F6B97" w:themeColor="accent1"/>
    </w:rPr>
  </w:style>
  <w:style w:type="character" w:default="1" w:styleId="DefaultParagraphFont">
    <w:name w:val="Default Paragraph Font"/>
    <w:uiPriority w:val="1"/>
    <w:semiHidden/>
    <w:unhideWhenUsed/>
    <w:rsid w:val="00CD59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59B8"/>
  </w:style>
  <w:style w:type="paragraph" w:styleId="TOC1">
    <w:name w:val="toc 1"/>
    <w:aliases w:val="Table of Contents Level 1 - COG"/>
    <w:basedOn w:val="Normal"/>
    <w:next w:val="Normal"/>
    <w:uiPriority w:val="39"/>
    <w:qFormat/>
    <w:rsid w:val="00CD59B8"/>
    <w:pPr>
      <w:tabs>
        <w:tab w:val="right" w:pos="9360"/>
      </w:tabs>
      <w:spacing w:before="240" w:after="120"/>
    </w:pPr>
    <w:rPr>
      <w:rFonts w:ascii="Franklin Gothic Medium" w:hAnsi="Franklin Gothic Medium"/>
      <w:caps/>
      <w:sz w:val="22"/>
      <w:szCs w:val="22"/>
    </w:rPr>
  </w:style>
  <w:style w:type="paragraph" w:styleId="TOC2">
    <w:name w:val="toc 2"/>
    <w:aliases w:val="Table of Contents Level 2 - COG"/>
    <w:basedOn w:val="Normal"/>
    <w:next w:val="Normal"/>
    <w:uiPriority w:val="39"/>
    <w:qFormat/>
    <w:rsid w:val="00CD59B8"/>
    <w:pPr>
      <w:tabs>
        <w:tab w:val="right" w:pos="9360"/>
      </w:tabs>
    </w:pPr>
    <w:rPr>
      <w:rFonts w:ascii="Franklin Gothic Medium" w:hAnsi="Franklin Gothic Medium"/>
      <w:sz w:val="22"/>
      <w:szCs w:val="22"/>
    </w:rPr>
  </w:style>
  <w:style w:type="paragraph" w:styleId="TableofFigures">
    <w:name w:val="table of figures"/>
    <w:aliases w:val="Table of Figures Level 1 - COG"/>
    <w:basedOn w:val="Normal"/>
    <w:next w:val="Normal"/>
    <w:uiPriority w:val="99"/>
    <w:qFormat/>
    <w:rsid w:val="00CD59B8"/>
    <w:pPr>
      <w:tabs>
        <w:tab w:val="right" w:pos="9360"/>
      </w:tabs>
      <w:spacing w:before="240" w:after="120"/>
    </w:pPr>
    <w:rPr>
      <w:rFonts w:ascii="Franklin Gothic Medium" w:hAnsi="Franklin Gothic Medium"/>
      <w:sz w:val="22"/>
    </w:rPr>
  </w:style>
  <w:style w:type="paragraph" w:styleId="FootnoteText">
    <w:name w:val="footnote text"/>
    <w:aliases w:val="Footnote Text (Reference Text) - COG"/>
    <w:link w:val="FootnoteTextChar"/>
    <w:uiPriority w:val="17"/>
    <w:qFormat/>
    <w:rsid w:val="00CD59B8"/>
    <w:pPr>
      <w:spacing w:after="120" w:line="180" w:lineRule="exact"/>
      <w:ind w:left="86" w:hanging="86"/>
    </w:pPr>
    <w:rPr>
      <w:rFonts w:ascii="Franklin Gothic Book" w:eastAsiaTheme="minorEastAsia" w:hAnsi="Franklin Gothic Book"/>
      <w:color w:val="000000" w:themeColor="text1"/>
      <w:sz w:val="14"/>
      <w:szCs w:val="14"/>
    </w:rPr>
  </w:style>
  <w:style w:type="character" w:customStyle="1" w:styleId="FootnoteTextChar">
    <w:name w:val="Footnote Text Char"/>
    <w:aliases w:val="Footnote Text (Reference Text) - COG Char"/>
    <w:basedOn w:val="DefaultParagraphFont"/>
    <w:link w:val="FootnoteText"/>
    <w:uiPriority w:val="17"/>
    <w:rsid w:val="00CD59B8"/>
    <w:rPr>
      <w:rFonts w:ascii="Franklin Gothic Book" w:eastAsiaTheme="minorEastAsia" w:hAnsi="Franklin Gothic Book"/>
      <w:color w:val="000000" w:themeColor="text1"/>
      <w:sz w:val="14"/>
      <w:szCs w:val="14"/>
    </w:rPr>
  </w:style>
  <w:style w:type="character" w:customStyle="1" w:styleId="Heading1Char">
    <w:name w:val="Heading 1 Char"/>
    <w:basedOn w:val="DefaultParagraphFont"/>
    <w:link w:val="Heading1"/>
    <w:uiPriority w:val="9"/>
    <w:rsid w:val="00CD59B8"/>
    <w:rPr>
      <w:rFonts w:asciiTheme="majorHAnsi" w:eastAsiaTheme="majorEastAsia" w:hAnsiTheme="majorHAnsi" w:cstheme="majorBidi"/>
      <w:bCs/>
      <w:color w:val="EA4249" w:themeColor="accent2"/>
      <w:sz w:val="120"/>
      <w:szCs w:val="32"/>
    </w:rPr>
  </w:style>
  <w:style w:type="character" w:customStyle="1" w:styleId="Heading2Char">
    <w:name w:val="Heading 2 Char"/>
    <w:basedOn w:val="DefaultParagraphFont"/>
    <w:link w:val="Heading2"/>
    <w:uiPriority w:val="9"/>
    <w:rsid w:val="00CD59B8"/>
    <w:rPr>
      <w:rFonts w:asciiTheme="majorHAnsi" w:eastAsiaTheme="majorEastAsia" w:hAnsiTheme="majorHAnsi" w:cstheme="majorBidi"/>
      <w:bCs/>
      <w:color w:val="EA4249" w:themeColor="accent2"/>
      <w:sz w:val="48"/>
      <w:szCs w:val="26"/>
    </w:rPr>
  </w:style>
  <w:style w:type="character" w:customStyle="1" w:styleId="Heading3Char">
    <w:name w:val="Heading 3 Char"/>
    <w:basedOn w:val="DefaultParagraphFont"/>
    <w:link w:val="Heading3"/>
    <w:uiPriority w:val="9"/>
    <w:semiHidden/>
    <w:rsid w:val="00CD59B8"/>
    <w:rPr>
      <w:rFonts w:asciiTheme="majorHAnsi" w:eastAsiaTheme="majorEastAsia" w:hAnsiTheme="majorHAnsi" w:cstheme="majorBidi"/>
      <w:b/>
      <w:bCs/>
      <w:color w:val="2F6B97" w:themeColor="accent1"/>
      <w:sz w:val="40"/>
    </w:rPr>
  </w:style>
  <w:style w:type="character" w:customStyle="1" w:styleId="Heading4Char">
    <w:name w:val="Heading 4 Char"/>
    <w:basedOn w:val="DefaultParagraphFont"/>
    <w:link w:val="Heading4"/>
    <w:uiPriority w:val="9"/>
    <w:semiHidden/>
    <w:rsid w:val="00CD59B8"/>
    <w:rPr>
      <w:rFonts w:asciiTheme="majorHAnsi" w:eastAsiaTheme="majorEastAsia" w:hAnsiTheme="majorHAnsi" w:cstheme="majorBidi"/>
      <w:bCs/>
      <w:iCs/>
      <w:color w:val="EA4249" w:themeColor="accent2"/>
      <w:sz w:val="44"/>
    </w:rPr>
  </w:style>
  <w:style w:type="character" w:customStyle="1" w:styleId="Heading5Char">
    <w:name w:val="Heading 5 Char"/>
    <w:basedOn w:val="DefaultParagraphFont"/>
    <w:link w:val="Heading5"/>
    <w:uiPriority w:val="9"/>
    <w:semiHidden/>
    <w:rsid w:val="00CD59B8"/>
    <w:rPr>
      <w:rFonts w:asciiTheme="majorHAnsi" w:eastAsiaTheme="majorEastAsia" w:hAnsiTheme="majorHAnsi" w:cstheme="majorBidi"/>
      <w:color w:val="EA4249" w:themeColor="accent2"/>
      <w:sz w:val="28"/>
    </w:rPr>
  </w:style>
  <w:style w:type="character" w:customStyle="1" w:styleId="Heading6Char">
    <w:name w:val="Heading 6 Char"/>
    <w:basedOn w:val="DefaultParagraphFont"/>
    <w:link w:val="Heading6"/>
    <w:uiPriority w:val="9"/>
    <w:semiHidden/>
    <w:rsid w:val="00CD59B8"/>
    <w:rPr>
      <w:rFonts w:asciiTheme="majorHAnsi" w:eastAsiaTheme="majorEastAsia" w:hAnsiTheme="majorHAnsi" w:cstheme="majorBidi"/>
      <w:b/>
      <w:iCs/>
      <w:color w:val="FFFFFF" w:themeColor="background1"/>
      <w:sz w:val="16"/>
    </w:rPr>
  </w:style>
  <w:style w:type="character" w:customStyle="1" w:styleId="Heading7Char">
    <w:name w:val="Heading 7 Char"/>
    <w:basedOn w:val="DefaultParagraphFont"/>
    <w:link w:val="Heading7"/>
    <w:uiPriority w:val="9"/>
    <w:semiHidden/>
    <w:rsid w:val="00CD59B8"/>
    <w:rPr>
      <w:rFonts w:asciiTheme="majorHAnsi" w:eastAsiaTheme="majorEastAsia" w:hAnsiTheme="majorHAnsi" w:cstheme="majorBidi"/>
      <w:b/>
      <w:iCs/>
      <w:color w:val="2F6B97" w:themeColor="accent1"/>
      <w:sz w:val="16"/>
    </w:rPr>
  </w:style>
  <w:style w:type="paragraph" w:styleId="Footer">
    <w:name w:val="footer"/>
    <w:basedOn w:val="Normal"/>
    <w:link w:val="FooterChar"/>
    <w:uiPriority w:val="99"/>
    <w:rsid w:val="00CD59B8"/>
    <w:pPr>
      <w:tabs>
        <w:tab w:val="center" w:pos="4320"/>
        <w:tab w:val="right" w:pos="8640"/>
      </w:tabs>
    </w:pPr>
  </w:style>
  <w:style w:type="character" w:customStyle="1" w:styleId="FooterChar">
    <w:name w:val="Footer Char"/>
    <w:basedOn w:val="DefaultParagraphFont"/>
    <w:link w:val="Footer"/>
    <w:uiPriority w:val="99"/>
    <w:rsid w:val="00CD59B8"/>
    <w:rPr>
      <w:rFonts w:ascii="Franklin Gothic Demi" w:eastAsiaTheme="minorEastAsia" w:hAnsi="Franklin Gothic Demi"/>
      <w:color w:val="000000" w:themeColor="text1"/>
      <w:sz w:val="16"/>
    </w:rPr>
  </w:style>
  <w:style w:type="paragraph" w:styleId="Date">
    <w:name w:val="Date"/>
    <w:basedOn w:val="Normal"/>
    <w:link w:val="DateChar"/>
    <w:uiPriority w:val="99"/>
    <w:semiHidden/>
    <w:rsid w:val="00CD59B8"/>
    <w:pPr>
      <w:jc w:val="center"/>
    </w:pPr>
    <w:rPr>
      <w:color w:val="FFFFFF" w:themeColor="background1"/>
      <w:sz w:val="40"/>
    </w:rPr>
  </w:style>
  <w:style w:type="character" w:customStyle="1" w:styleId="DateChar">
    <w:name w:val="Date Char"/>
    <w:basedOn w:val="DefaultParagraphFont"/>
    <w:link w:val="Date"/>
    <w:uiPriority w:val="99"/>
    <w:semiHidden/>
    <w:rsid w:val="00CD59B8"/>
    <w:rPr>
      <w:rFonts w:ascii="Franklin Gothic Demi" w:eastAsiaTheme="minorEastAsia" w:hAnsi="Franklin Gothic Demi"/>
      <w:color w:val="FFFFFF" w:themeColor="background1"/>
      <w:sz w:val="40"/>
    </w:rPr>
  </w:style>
  <w:style w:type="paragraph" w:styleId="BodyText">
    <w:name w:val="Body Text"/>
    <w:basedOn w:val="Normal"/>
    <w:link w:val="BodyTextChar"/>
    <w:uiPriority w:val="99"/>
    <w:semiHidden/>
    <w:rsid w:val="00CD59B8"/>
    <w:pPr>
      <w:spacing w:after="160" w:line="264" w:lineRule="auto"/>
    </w:pPr>
    <w:rPr>
      <w:color w:val="404040" w:themeColor="text1" w:themeTint="BF"/>
    </w:rPr>
  </w:style>
  <w:style w:type="character" w:customStyle="1" w:styleId="BodyTextChar">
    <w:name w:val="Body Text Char"/>
    <w:basedOn w:val="DefaultParagraphFont"/>
    <w:link w:val="BodyText"/>
    <w:uiPriority w:val="99"/>
    <w:semiHidden/>
    <w:rsid w:val="00CD59B8"/>
    <w:rPr>
      <w:rFonts w:ascii="Franklin Gothic Demi" w:eastAsiaTheme="minorEastAsia" w:hAnsi="Franklin Gothic Demi"/>
      <w:color w:val="404040" w:themeColor="text1" w:themeTint="BF"/>
      <w:sz w:val="16"/>
    </w:rPr>
  </w:style>
  <w:style w:type="character" w:styleId="PageNumber">
    <w:name w:val="page number"/>
    <w:basedOn w:val="DefaultParagraphFont"/>
    <w:uiPriority w:val="99"/>
    <w:semiHidden/>
    <w:rsid w:val="00CD59B8"/>
    <w:rPr>
      <w:color w:val="0084CD" w:themeColor="text2"/>
      <w:sz w:val="24"/>
    </w:rPr>
  </w:style>
  <w:style w:type="paragraph" w:customStyle="1" w:styleId="CoverDate-COG">
    <w:name w:val="Cover Date - COG"/>
    <w:qFormat/>
    <w:rsid w:val="00CD59B8"/>
    <w:pPr>
      <w:spacing w:before="240" w:line="400" w:lineRule="exact"/>
      <w:contextualSpacing/>
    </w:pPr>
    <w:rPr>
      <w:rFonts w:ascii="Franklin Gothic Medium" w:eastAsiaTheme="minorEastAsia" w:hAnsi="Franklin Gothic Medium"/>
      <w:noProof/>
      <w:color w:val="2F6B97" w:themeColor="accent1"/>
      <w:sz w:val="28"/>
      <w:szCs w:val="28"/>
    </w:rPr>
  </w:style>
  <w:style w:type="paragraph" w:customStyle="1" w:styleId="PageNumber-COG">
    <w:name w:val="Page Number - COG"/>
    <w:basedOn w:val="Normal"/>
    <w:link w:val="PageNumber-COGChar"/>
    <w:uiPriority w:val="21"/>
    <w:qFormat/>
    <w:rsid w:val="00CD59B8"/>
    <w:pPr>
      <w:jc w:val="right"/>
    </w:pPr>
  </w:style>
  <w:style w:type="paragraph" w:styleId="TOCHeading">
    <w:name w:val="TOC Heading"/>
    <w:basedOn w:val="Heading1"/>
    <w:next w:val="Normal"/>
    <w:uiPriority w:val="39"/>
    <w:semiHidden/>
    <w:qFormat/>
    <w:rsid w:val="00CD59B8"/>
    <w:pPr>
      <w:keepNext/>
      <w:keepLines/>
      <w:spacing w:before="480" w:line="276" w:lineRule="auto"/>
      <w:outlineLvl w:val="9"/>
    </w:pPr>
    <w:rPr>
      <w:b/>
      <w:color w:val="234F70" w:themeColor="accent1" w:themeShade="BF"/>
      <w:sz w:val="28"/>
      <w:szCs w:val="28"/>
    </w:rPr>
  </w:style>
  <w:style w:type="paragraph" w:styleId="TOC3">
    <w:name w:val="toc 3"/>
    <w:aliases w:val="Table of Contents Level 3 - COG"/>
    <w:next w:val="BodyText-COG"/>
    <w:uiPriority w:val="39"/>
    <w:qFormat/>
    <w:rsid w:val="00CD59B8"/>
    <w:pPr>
      <w:tabs>
        <w:tab w:val="right" w:pos="9360"/>
      </w:tabs>
      <w:ind w:left="320"/>
    </w:pPr>
    <w:rPr>
      <w:rFonts w:ascii="Franklin Gothic Book" w:eastAsiaTheme="minorEastAsia" w:hAnsi="Franklin Gothic Book"/>
      <w:color w:val="000000" w:themeColor="text1"/>
      <w:sz w:val="22"/>
      <w:szCs w:val="22"/>
    </w:rPr>
  </w:style>
  <w:style w:type="paragraph" w:styleId="TOC4">
    <w:name w:val="toc 4"/>
    <w:basedOn w:val="Normal"/>
    <w:next w:val="Normal"/>
    <w:autoRedefine/>
    <w:semiHidden/>
    <w:rsid w:val="00CD59B8"/>
    <w:pPr>
      <w:ind w:left="480"/>
    </w:pPr>
    <w:rPr>
      <w:rFonts w:asciiTheme="minorHAnsi" w:hAnsiTheme="minorHAnsi"/>
      <w:sz w:val="20"/>
      <w:szCs w:val="20"/>
    </w:rPr>
  </w:style>
  <w:style w:type="paragraph" w:styleId="TOC5">
    <w:name w:val="toc 5"/>
    <w:basedOn w:val="Normal"/>
    <w:next w:val="Normal"/>
    <w:autoRedefine/>
    <w:semiHidden/>
    <w:rsid w:val="00CD59B8"/>
    <w:pPr>
      <w:ind w:left="640"/>
    </w:pPr>
    <w:rPr>
      <w:rFonts w:asciiTheme="minorHAnsi" w:hAnsiTheme="minorHAnsi"/>
      <w:sz w:val="20"/>
      <w:szCs w:val="20"/>
    </w:rPr>
  </w:style>
  <w:style w:type="paragraph" w:styleId="TOC6">
    <w:name w:val="toc 6"/>
    <w:basedOn w:val="Normal"/>
    <w:next w:val="Normal"/>
    <w:autoRedefine/>
    <w:semiHidden/>
    <w:rsid w:val="00CD59B8"/>
    <w:pPr>
      <w:ind w:left="800"/>
    </w:pPr>
    <w:rPr>
      <w:rFonts w:asciiTheme="minorHAnsi" w:hAnsiTheme="minorHAnsi"/>
      <w:sz w:val="20"/>
      <w:szCs w:val="20"/>
    </w:rPr>
  </w:style>
  <w:style w:type="paragraph" w:styleId="TOC7">
    <w:name w:val="toc 7"/>
    <w:basedOn w:val="Normal"/>
    <w:next w:val="Normal"/>
    <w:autoRedefine/>
    <w:semiHidden/>
    <w:rsid w:val="00CD59B8"/>
    <w:pPr>
      <w:ind w:left="960"/>
    </w:pPr>
    <w:rPr>
      <w:rFonts w:asciiTheme="minorHAnsi" w:hAnsiTheme="minorHAnsi"/>
      <w:sz w:val="20"/>
      <w:szCs w:val="20"/>
    </w:rPr>
  </w:style>
  <w:style w:type="paragraph" w:styleId="TOC8">
    <w:name w:val="toc 8"/>
    <w:basedOn w:val="Normal"/>
    <w:next w:val="Normal"/>
    <w:autoRedefine/>
    <w:semiHidden/>
    <w:rsid w:val="00CD59B8"/>
    <w:pPr>
      <w:ind w:left="1120"/>
    </w:pPr>
    <w:rPr>
      <w:rFonts w:asciiTheme="minorHAnsi" w:hAnsiTheme="minorHAnsi"/>
      <w:sz w:val="20"/>
      <w:szCs w:val="20"/>
    </w:rPr>
  </w:style>
  <w:style w:type="paragraph" w:customStyle="1" w:styleId="BodyText-COG">
    <w:name w:val="Body Text - COG"/>
    <w:qFormat/>
    <w:rsid w:val="00CD59B8"/>
    <w:pPr>
      <w:spacing w:line="260" w:lineRule="exact"/>
    </w:pPr>
    <w:rPr>
      <w:rFonts w:ascii="Franklin Gothic Book" w:eastAsiaTheme="minorEastAsia" w:hAnsi="Franklin Gothic Book"/>
      <w:color w:val="000000" w:themeColor="text1"/>
      <w:sz w:val="22"/>
      <w:szCs w:val="19"/>
    </w:rPr>
  </w:style>
  <w:style w:type="paragraph" w:customStyle="1" w:styleId="Level1Head-COG">
    <w:name w:val="Level 1 Head - COG"/>
    <w:next w:val="BodyText-COG"/>
    <w:uiPriority w:val="8"/>
    <w:qFormat/>
    <w:rsid w:val="00CD59B8"/>
    <w:pPr>
      <w:spacing w:before="360" w:after="120" w:line="400" w:lineRule="exact"/>
    </w:pPr>
    <w:rPr>
      <w:rFonts w:ascii="Franklin Gothic Demi" w:eastAsiaTheme="minorEastAsia" w:hAnsi="Franklin Gothic Demi"/>
      <w:caps/>
      <w:color w:val="2F6B97" w:themeColor="accent1"/>
      <w:sz w:val="40"/>
      <w:szCs w:val="40"/>
    </w:rPr>
  </w:style>
  <w:style w:type="paragraph" w:customStyle="1" w:styleId="Level2Head-COG">
    <w:name w:val="Level 2 Head - COG"/>
    <w:next w:val="BodyText-COG"/>
    <w:uiPriority w:val="9"/>
    <w:qFormat/>
    <w:rsid w:val="00CD59B8"/>
    <w:pPr>
      <w:suppressAutoHyphens/>
      <w:spacing w:before="120" w:line="360" w:lineRule="exact"/>
    </w:pPr>
    <w:rPr>
      <w:rFonts w:ascii="Franklin Gothic Medium" w:eastAsiaTheme="minorEastAsia" w:hAnsi="Franklin Gothic Medium"/>
      <w:color w:val="000000" w:themeColor="text1"/>
      <w:sz w:val="34"/>
      <w:szCs w:val="34"/>
    </w:rPr>
  </w:style>
  <w:style w:type="paragraph" w:customStyle="1" w:styleId="Bulletedtext-COG">
    <w:name w:val="Bulleted text - COG"/>
    <w:basedOn w:val="BodyText-COG"/>
    <w:next w:val="BodyText-COG"/>
    <w:qFormat/>
    <w:rsid w:val="00CD59B8"/>
    <w:pPr>
      <w:numPr>
        <w:numId w:val="1"/>
      </w:numPr>
      <w:spacing w:after="120"/>
    </w:pPr>
    <w:rPr>
      <w:szCs w:val="22"/>
    </w:rPr>
  </w:style>
  <w:style w:type="paragraph" w:customStyle="1" w:styleId="PhotoCaptionFigureSource-COG">
    <w:name w:val="Photo Caption/Figure Source - COG"/>
    <w:uiPriority w:val="13"/>
    <w:qFormat/>
    <w:rsid w:val="00CD59B8"/>
    <w:pPr>
      <w:spacing w:line="200" w:lineRule="exact"/>
    </w:pPr>
    <w:rPr>
      <w:rFonts w:ascii="Franklin Gothic Book" w:eastAsiaTheme="minorEastAsia" w:hAnsi="Franklin Gothic Book"/>
      <w:color w:val="000000" w:themeColor="text1"/>
      <w:sz w:val="16"/>
      <w:szCs w:val="16"/>
    </w:rPr>
  </w:style>
  <w:style w:type="paragraph" w:customStyle="1" w:styleId="COG-PhotoCredits">
    <w:name w:val="COG-Photo Credits"/>
    <w:basedOn w:val="PhotoCaptionFigureSource-COG"/>
    <w:uiPriority w:val="14"/>
    <w:semiHidden/>
    <w:rsid w:val="00CD59B8"/>
    <w:rPr>
      <w:i/>
      <w:iCs/>
    </w:rPr>
  </w:style>
  <w:style w:type="character" w:customStyle="1" w:styleId="PageNumber-COGChar">
    <w:name w:val="Page Number - COG Char"/>
    <w:basedOn w:val="DefaultParagraphFont"/>
    <w:link w:val="PageNumber-COG"/>
    <w:uiPriority w:val="21"/>
    <w:rsid w:val="00CD59B8"/>
    <w:rPr>
      <w:rFonts w:ascii="Franklin Gothic Demi" w:eastAsiaTheme="minorEastAsia" w:hAnsi="Franklin Gothic Demi"/>
      <w:color w:val="000000" w:themeColor="text1"/>
      <w:sz w:val="16"/>
    </w:rPr>
  </w:style>
  <w:style w:type="table" w:styleId="TableGrid">
    <w:name w:val="Table Grid"/>
    <w:basedOn w:val="TableNormal"/>
    <w:rsid w:val="00CD59B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Text-COG">
    <w:name w:val="Callout Text - COG"/>
    <w:uiPriority w:val="19"/>
    <w:qFormat/>
    <w:rsid w:val="00CD59B8"/>
    <w:pPr>
      <w:pBdr>
        <w:top w:val="single" w:sz="18" w:space="5" w:color="B0D235" w:themeColor="background2"/>
      </w:pBdr>
      <w:spacing w:line="260" w:lineRule="exact"/>
    </w:pPr>
    <w:rPr>
      <w:rFonts w:ascii="Franklin Gothic Medium" w:eastAsiaTheme="minorEastAsia" w:hAnsi="Franklin Gothic Medium"/>
      <w:color w:val="0084CD" w:themeColor="text2"/>
      <w:szCs w:val="20"/>
    </w:rPr>
  </w:style>
  <w:style w:type="paragraph" w:customStyle="1" w:styleId="FooterTextForUseByPage-COG">
    <w:name w:val="Footer Text (For Use By Page #) - COG"/>
    <w:basedOn w:val="Normal"/>
    <w:link w:val="FooterTextForUseByPage-COGChar"/>
    <w:uiPriority w:val="20"/>
    <w:qFormat/>
    <w:rsid w:val="00CD59B8"/>
    <w:pPr>
      <w:jc w:val="right"/>
    </w:pPr>
    <w:rPr>
      <w:rFonts w:ascii="Franklin Gothic Book" w:hAnsi="Franklin Gothic Book"/>
      <w:szCs w:val="16"/>
    </w:rPr>
  </w:style>
  <w:style w:type="character" w:customStyle="1" w:styleId="BodyTextBold-COG">
    <w:name w:val="Body Text Bold - COG"/>
    <w:qFormat/>
    <w:rsid w:val="00CD59B8"/>
    <w:rPr>
      <w:rFonts w:ascii="Franklin Gothic Medium" w:hAnsi="Franklin Gothic Medium"/>
      <w:b w:val="0"/>
      <w:bCs w:val="0"/>
      <w:i w:val="0"/>
      <w:iCs w:val="0"/>
      <w:caps w:val="0"/>
      <w:smallCaps w:val="0"/>
      <w:strike w:val="0"/>
      <w:dstrike w:val="0"/>
      <w:vanish w:val="0"/>
      <w:color w:val="000000" w:themeColor="text1"/>
      <w:sz w:val="22"/>
      <w:szCs w:val="22"/>
      <w:u w:val="none"/>
      <w:vertAlign w:val="baseline"/>
    </w:rPr>
  </w:style>
  <w:style w:type="character" w:customStyle="1" w:styleId="COG-FootnoteITALIC">
    <w:name w:val="COG-Footnote ITALIC"/>
    <w:basedOn w:val="FootnoteTextChar"/>
    <w:uiPriority w:val="1"/>
    <w:semiHidden/>
    <w:rsid w:val="00CD59B8"/>
    <w:rPr>
      <w:rFonts w:ascii="Franklin Gothic Book" w:eastAsiaTheme="minorEastAsia" w:hAnsi="Franklin Gothic Book"/>
      <w:i/>
      <w:iCs/>
      <w:caps w:val="0"/>
      <w:smallCaps w:val="0"/>
      <w:strike w:val="0"/>
      <w:dstrike w:val="0"/>
      <w:vanish w:val="0"/>
      <w:color w:val="000000" w:themeColor="text1"/>
      <w:kern w:val="14"/>
      <w:sz w:val="14"/>
      <w:szCs w:val="14"/>
      <w:u w:val="none"/>
      <w:vertAlign w:val="baseline"/>
    </w:rPr>
  </w:style>
  <w:style w:type="paragraph" w:customStyle="1" w:styleId="CoverTitle-COG">
    <w:name w:val="Cover Title - COG"/>
    <w:next w:val="CoverSubtitle-COG"/>
    <w:qFormat/>
    <w:rsid w:val="00CD59B8"/>
    <w:rPr>
      <w:rFonts w:ascii="Franklin Gothic Medium" w:eastAsiaTheme="minorEastAsia" w:hAnsi="Franklin Gothic Medium"/>
      <w:caps/>
      <w:color w:val="2F6B97" w:themeColor="accent1"/>
      <w:spacing w:val="-5"/>
      <w:kern w:val="10"/>
      <w:sz w:val="56"/>
      <w:szCs w:val="56"/>
      <w:lang w:eastAsia="ja-JP"/>
    </w:rPr>
  </w:style>
  <w:style w:type="paragraph" w:customStyle="1" w:styleId="CoverSubtitle-COG">
    <w:name w:val="Cover Subtitle - COG"/>
    <w:next w:val="CoverText-COG"/>
    <w:qFormat/>
    <w:rsid w:val="00CD59B8"/>
    <w:pPr>
      <w:spacing w:after="20" w:line="480" w:lineRule="exact"/>
    </w:pPr>
    <w:rPr>
      <w:rFonts w:ascii="Franklin Gothic Book" w:eastAsiaTheme="minorEastAsia" w:hAnsi="Franklin Gothic Book"/>
      <w:spacing w:val="-5"/>
      <w:sz w:val="40"/>
      <w:szCs w:val="56"/>
      <w:lang w:eastAsia="ja-JP"/>
    </w:rPr>
  </w:style>
  <w:style w:type="paragraph" w:customStyle="1" w:styleId="CoverText-COG">
    <w:name w:val="Cover Text - COG"/>
    <w:uiPriority w:val="2"/>
    <w:qFormat/>
    <w:rsid w:val="00CD59B8"/>
    <w:pPr>
      <w:spacing w:before="480" w:line="300" w:lineRule="exact"/>
    </w:pPr>
    <w:rPr>
      <w:rFonts w:ascii="Franklin Gothic Medium" w:eastAsiaTheme="minorEastAsia" w:hAnsi="Franklin Gothic Medium"/>
      <w:color w:val="7F7F7F" w:themeColor="text1" w:themeTint="80"/>
      <w:kern w:val="10"/>
      <w:sz w:val="28"/>
      <w:szCs w:val="28"/>
      <w:lang w:eastAsia="ja-JP"/>
    </w:rPr>
  </w:style>
  <w:style w:type="character" w:styleId="FootnoteReference">
    <w:name w:val="footnote reference"/>
    <w:aliases w:val="Footnote (Superscript in Text) - COG"/>
    <w:uiPriority w:val="16"/>
    <w:qFormat/>
    <w:rsid w:val="00CD59B8"/>
    <w:rPr>
      <w:rFonts w:ascii="Franklin Gothic Book" w:hAnsi="Franklin Gothic Book"/>
      <w:b w:val="0"/>
      <w:bCs w:val="0"/>
      <w:i w:val="0"/>
      <w:iCs w:val="0"/>
      <w:caps w:val="0"/>
      <w:smallCaps w:val="0"/>
      <w:strike w:val="0"/>
      <w:dstrike w:val="0"/>
      <w:vanish w:val="0"/>
      <w:color w:val="000000" w:themeColor="text1"/>
      <w:u w:val="none"/>
      <w:vertAlign w:val="superscript"/>
    </w:rPr>
  </w:style>
  <w:style w:type="paragraph" w:customStyle="1" w:styleId="Level3Head-COG">
    <w:name w:val="Level 3 Head - COG"/>
    <w:next w:val="BodyText-COG"/>
    <w:uiPriority w:val="10"/>
    <w:qFormat/>
    <w:rsid w:val="00CD59B8"/>
    <w:pPr>
      <w:suppressAutoHyphens/>
      <w:spacing w:before="120" w:line="260" w:lineRule="exact"/>
    </w:pPr>
    <w:rPr>
      <w:rFonts w:ascii="Franklin Gothic Medium" w:eastAsiaTheme="minorEastAsia" w:hAnsi="Franklin Gothic Medium"/>
      <w:caps/>
      <w:color w:val="404040" w:themeColor="text1" w:themeTint="BF"/>
      <w:sz w:val="28"/>
      <w:szCs w:val="28"/>
    </w:rPr>
  </w:style>
  <w:style w:type="paragraph" w:customStyle="1" w:styleId="Level4Head-COG">
    <w:name w:val="Level 4 Head - COG"/>
    <w:next w:val="BodyText-COG"/>
    <w:uiPriority w:val="11"/>
    <w:qFormat/>
    <w:rsid w:val="00CD59B8"/>
    <w:pPr>
      <w:suppressAutoHyphens/>
      <w:spacing w:line="260" w:lineRule="exact"/>
    </w:pPr>
    <w:rPr>
      <w:rFonts w:ascii="Franklin Gothic Medium" w:eastAsiaTheme="minorEastAsia" w:hAnsi="Franklin Gothic Medium"/>
      <w:color w:val="000000" w:themeColor="text1"/>
    </w:rPr>
  </w:style>
  <w:style w:type="paragraph" w:customStyle="1" w:styleId="Level5Head-COG">
    <w:name w:val="Level 5 Head - COG"/>
    <w:next w:val="BodyText-COG"/>
    <w:uiPriority w:val="12"/>
    <w:qFormat/>
    <w:rsid w:val="00CD59B8"/>
    <w:pPr>
      <w:suppressAutoHyphens/>
      <w:spacing w:line="200" w:lineRule="exact"/>
    </w:pPr>
    <w:rPr>
      <w:rFonts w:ascii="Franklin Gothic Demi" w:eastAsiaTheme="minorEastAsia" w:hAnsi="Franklin Gothic Demi"/>
      <w:caps/>
      <w:color w:val="000000" w:themeColor="text1"/>
      <w:sz w:val="20"/>
      <w:szCs w:val="20"/>
    </w:rPr>
  </w:style>
  <w:style w:type="paragraph" w:styleId="Caption">
    <w:name w:val="caption"/>
    <w:aliases w:val="Table/Figure Titles - COG"/>
    <w:next w:val="BodyText-COG"/>
    <w:uiPriority w:val="13"/>
    <w:qFormat/>
    <w:rsid w:val="00CD59B8"/>
    <w:pPr>
      <w:suppressAutoHyphens/>
      <w:spacing w:line="200" w:lineRule="exact"/>
    </w:pPr>
    <w:rPr>
      <w:rFonts w:ascii="Franklin Gothic Demi" w:eastAsiaTheme="minorEastAsia" w:hAnsi="Franklin Gothic Demi"/>
      <w:color w:val="000000" w:themeColor="text1"/>
      <w:sz w:val="20"/>
      <w:szCs w:val="20"/>
    </w:rPr>
  </w:style>
  <w:style w:type="paragraph" w:styleId="BalloonText">
    <w:name w:val="Balloon Text"/>
    <w:basedOn w:val="Normal"/>
    <w:link w:val="BalloonTextChar"/>
    <w:semiHidden/>
    <w:rsid w:val="00CD59B8"/>
    <w:rPr>
      <w:rFonts w:ascii="Lucida Grande" w:hAnsi="Lucida Grande" w:cs="Lucida Grande"/>
      <w:sz w:val="18"/>
      <w:szCs w:val="18"/>
    </w:rPr>
  </w:style>
  <w:style w:type="character" w:customStyle="1" w:styleId="BalloonTextChar">
    <w:name w:val="Balloon Text Char"/>
    <w:basedOn w:val="DefaultParagraphFont"/>
    <w:link w:val="BalloonText"/>
    <w:semiHidden/>
    <w:rsid w:val="00CD59B8"/>
    <w:rPr>
      <w:rFonts w:ascii="Lucida Grande" w:eastAsiaTheme="minorEastAsia" w:hAnsi="Lucida Grande" w:cs="Lucida Grande"/>
      <w:color w:val="000000" w:themeColor="text1"/>
      <w:sz w:val="18"/>
      <w:szCs w:val="18"/>
    </w:rPr>
  </w:style>
  <w:style w:type="paragraph" w:customStyle="1" w:styleId="Copyright-COG">
    <w:name w:val="Copyright - COG"/>
    <w:next w:val="BodyText-COG"/>
    <w:uiPriority w:val="7"/>
    <w:qFormat/>
    <w:rsid w:val="00CD59B8"/>
    <w:pPr>
      <w:spacing w:line="240" w:lineRule="exact"/>
    </w:pPr>
    <w:rPr>
      <w:rFonts w:ascii="Franklin Gothic Book" w:eastAsiaTheme="minorEastAsia" w:hAnsi="Franklin Gothic Book"/>
      <w:color w:val="000000" w:themeColor="text1"/>
      <w:sz w:val="16"/>
      <w:szCs w:val="16"/>
    </w:rPr>
  </w:style>
  <w:style w:type="paragraph" w:styleId="Header">
    <w:name w:val="header"/>
    <w:basedOn w:val="Normal"/>
    <w:link w:val="HeaderChar"/>
    <w:semiHidden/>
    <w:rsid w:val="00CD59B8"/>
    <w:pPr>
      <w:tabs>
        <w:tab w:val="center" w:pos="4680"/>
        <w:tab w:val="right" w:pos="9360"/>
      </w:tabs>
    </w:pPr>
  </w:style>
  <w:style w:type="character" w:customStyle="1" w:styleId="HeaderChar">
    <w:name w:val="Header Char"/>
    <w:basedOn w:val="DefaultParagraphFont"/>
    <w:link w:val="Header"/>
    <w:semiHidden/>
    <w:rsid w:val="00CD59B8"/>
    <w:rPr>
      <w:rFonts w:ascii="Franklin Gothic Demi" w:eastAsiaTheme="minorEastAsia" w:hAnsi="Franklin Gothic Demi"/>
      <w:color w:val="000000" w:themeColor="text1"/>
      <w:sz w:val="16"/>
    </w:rPr>
  </w:style>
  <w:style w:type="character" w:styleId="Hyperlink">
    <w:name w:val="Hyperlink"/>
    <w:basedOn w:val="DefaultParagraphFont"/>
    <w:rsid w:val="00CD59B8"/>
    <w:rPr>
      <w:color w:val="auto"/>
      <w:u w:val="none"/>
    </w:rPr>
  </w:style>
  <w:style w:type="paragraph" w:customStyle="1" w:styleId="TableofContentsTitle-COG">
    <w:name w:val="Table of Contents Title - COG"/>
    <w:basedOn w:val="Level1Head-COG"/>
    <w:uiPriority w:val="4"/>
    <w:qFormat/>
    <w:rsid w:val="00CD59B8"/>
  </w:style>
  <w:style w:type="character" w:customStyle="1" w:styleId="FooterTextForUseByPage-COGChar">
    <w:name w:val="Footer Text (For Use By Page #) - COG Char"/>
    <w:basedOn w:val="DefaultParagraphFont"/>
    <w:link w:val="FooterTextForUseByPage-COG"/>
    <w:uiPriority w:val="20"/>
    <w:rsid w:val="00CD59B8"/>
    <w:rPr>
      <w:rFonts w:ascii="Franklin Gothic Book" w:eastAsiaTheme="minorEastAsia" w:hAnsi="Franklin Gothic Book"/>
      <w:color w:val="000000" w:themeColor="text1"/>
      <w:sz w:val="16"/>
      <w:szCs w:val="16"/>
    </w:rPr>
  </w:style>
  <w:style w:type="paragraph" w:customStyle="1" w:styleId="Level5Head-TPB">
    <w:name w:val="Level 5 Head - TPB"/>
    <w:next w:val="Normal"/>
    <w:uiPriority w:val="12"/>
    <w:rsid w:val="00CD59B8"/>
    <w:pPr>
      <w:suppressAutoHyphens/>
      <w:spacing w:line="200" w:lineRule="exact"/>
    </w:pPr>
    <w:rPr>
      <w:rFonts w:ascii="Franklin Gothic Demi" w:eastAsiaTheme="minorEastAsia" w:hAnsi="Franklin Gothic Demi"/>
      <w:caps/>
      <w:color w:val="000000" w:themeColor="text1"/>
      <w:sz w:val="20"/>
      <w:szCs w:val="20"/>
    </w:rPr>
  </w:style>
  <w:style w:type="character" w:styleId="CommentReference">
    <w:name w:val="annotation reference"/>
    <w:basedOn w:val="DefaultParagraphFont"/>
    <w:semiHidden/>
    <w:unhideWhenUsed/>
    <w:rsid w:val="00CD59B8"/>
    <w:rPr>
      <w:sz w:val="16"/>
      <w:szCs w:val="16"/>
    </w:rPr>
  </w:style>
  <w:style w:type="paragraph" w:styleId="CommentText">
    <w:name w:val="annotation text"/>
    <w:basedOn w:val="Normal"/>
    <w:link w:val="CommentTextChar"/>
    <w:unhideWhenUsed/>
    <w:rsid w:val="00CD59B8"/>
    <w:rPr>
      <w:sz w:val="20"/>
      <w:szCs w:val="20"/>
    </w:rPr>
  </w:style>
  <w:style w:type="character" w:customStyle="1" w:styleId="CommentTextChar">
    <w:name w:val="Comment Text Char"/>
    <w:basedOn w:val="DefaultParagraphFont"/>
    <w:link w:val="CommentText"/>
    <w:rsid w:val="00CD59B8"/>
    <w:rPr>
      <w:rFonts w:ascii="Franklin Gothic Demi" w:eastAsiaTheme="minorEastAsia" w:hAnsi="Franklin Gothic Demi"/>
      <w:color w:val="000000" w:themeColor="text1"/>
      <w:sz w:val="20"/>
      <w:szCs w:val="20"/>
    </w:rPr>
  </w:style>
  <w:style w:type="paragraph" w:customStyle="1" w:styleId="BodyText-TPB">
    <w:name w:val="Body Text - TPB"/>
    <w:rsid w:val="00CD59B8"/>
    <w:pPr>
      <w:spacing w:line="260" w:lineRule="exact"/>
    </w:pPr>
    <w:rPr>
      <w:rFonts w:ascii="Franklin Gothic Book" w:eastAsiaTheme="minorEastAsia" w:hAnsi="Franklin Gothic Book"/>
      <w:color w:val="000000" w:themeColor="text1"/>
      <w:sz w:val="22"/>
      <w:szCs w:val="19"/>
    </w:rPr>
  </w:style>
  <w:style w:type="paragraph" w:styleId="ListParagraph">
    <w:name w:val="List Paragraph"/>
    <w:basedOn w:val="Normal"/>
    <w:uiPriority w:val="1"/>
    <w:qFormat/>
    <w:rsid w:val="00314874"/>
    <w:pPr>
      <w:spacing w:after="200" w:line="276" w:lineRule="auto"/>
      <w:ind w:left="720"/>
      <w:contextualSpacing/>
    </w:pPr>
    <w:rPr>
      <w:rFonts w:asciiTheme="minorHAnsi" w:eastAsiaTheme="minorHAnsi" w:hAnsiTheme="minorHAnsi"/>
      <w:color w:val="auto"/>
      <w:sz w:val="22"/>
      <w:szCs w:val="22"/>
    </w:rPr>
  </w:style>
  <w:style w:type="paragraph" w:customStyle="1" w:styleId="Default">
    <w:name w:val="Default"/>
    <w:rsid w:val="00314874"/>
    <w:pPr>
      <w:autoSpaceDE w:val="0"/>
      <w:autoSpaceDN w:val="0"/>
      <w:adjustRightInd w:val="0"/>
    </w:pPr>
    <w:rPr>
      <w:rFonts w:ascii="Verdana" w:hAnsi="Verdana" w:cs="Verdana"/>
      <w:color w:val="000000"/>
    </w:rPr>
  </w:style>
  <w:style w:type="character" w:styleId="UnresolvedMention">
    <w:name w:val="Unresolved Mention"/>
    <w:basedOn w:val="DefaultParagraphFont"/>
    <w:uiPriority w:val="99"/>
    <w:semiHidden/>
    <w:unhideWhenUsed/>
    <w:rsid w:val="00345B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5BA0"/>
    <w:rPr>
      <w:b/>
      <w:bCs/>
    </w:rPr>
  </w:style>
  <w:style w:type="character" w:customStyle="1" w:styleId="CommentSubjectChar">
    <w:name w:val="Comment Subject Char"/>
    <w:basedOn w:val="CommentTextChar"/>
    <w:link w:val="CommentSubject"/>
    <w:uiPriority w:val="99"/>
    <w:semiHidden/>
    <w:rsid w:val="00345BA0"/>
    <w:rPr>
      <w:rFonts w:ascii="Franklin Gothic Demi" w:eastAsiaTheme="minorEastAsia" w:hAnsi="Franklin Gothic Demi"/>
      <w:b/>
      <w:bCs/>
      <w:color w:val="000000" w:themeColor="text1"/>
      <w:sz w:val="20"/>
      <w:szCs w:val="20"/>
    </w:rPr>
  </w:style>
  <w:style w:type="character" w:styleId="Strong">
    <w:name w:val="Strong"/>
    <w:basedOn w:val="DefaultParagraphFont"/>
    <w:uiPriority w:val="22"/>
    <w:qFormat/>
    <w:rsid w:val="00C37B0D"/>
    <w:rPr>
      <w:b/>
      <w:bCs/>
    </w:rPr>
  </w:style>
  <w:style w:type="character" w:styleId="FollowedHyperlink">
    <w:name w:val="FollowedHyperlink"/>
    <w:basedOn w:val="DefaultParagraphFont"/>
    <w:uiPriority w:val="99"/>
    <w:semiHidden/>
    <w:unhideWhenUsed/>
    <w:rsid w:val="00FC71DB"/>
    <w:rPr>
      <w:color w:val="FFFFFF" w:themeColor="followedHyperlink"/>
      <w:u w:val="single"/>
    </w:rPr>
  </w:style>
  <w:style w:type="paragraph" w:customStyle="1" w:styleId="3Paragraph">
    <w:name w:val="3) Paragraph"/>
    <w:qFormat/>
    <w:rsid w:val="00B5589F"/>
    <w:pPr>
      <w:tabs>
        <w:tab w:val="left" w:pos="432"/>
      </w:tabs>
    </w:pPr>
    <w:rPr>
      <w:rFonts w:ascii="Franklin Gothic Book" w:eastAsiaTheme="minorEastAsia" w:hAnsi="Franklin Gothic Book" w:cs="ITCFranklinGothicStd-Book"/>
      <w:color w:val="000000" w:themeColor="text1"/>
      <w:sz w:val="22"/>
      <w:szCs w:val="22"/>
      <w:lang w:eastAsia="ja-JP"/>
    </w:rPr>
  </w:style>
  <w:style w:type="paragraph" w:customStyle="1" w:styleId="2Subhead">
    <w:name w:val="2) Subhead"/>
    <w:next w:val="3Paragraph"/>
    <w:qFormat/>
    <w:rsid w:val="00B5589F"/>
    <w:pPr>
      <w:widowControl w:val="0"/>
      <w:tabs>
        <w:tab w:val="left" w:pos="1420"/>
      </w:tabs>
      <w:suppressAutoHyphens/>
      <w:autoSpaceDE w:val="0"/>
      <w:autoSpaceDN w:val="0"/>
      <w:adjustRightInd w:val="0"/>
      <w:spacing w:before="120"/>
      <w:textAlignment w:val="center"/>
    </w:pPr>
    <w:rPr>
      <w:rFonts w:ascii="Franklin Gothic Medium" w:eastAsiaTheme="minorEastAsia" w:hAnsi="Franklin Gothic Medium" w:cs="ITCFranklinGothicStd-Hvy"/>
      <w:caps/>
      <w:color w:val="000000" w:themeColor="text1"/>
      <w:lang w:eastAsia="ja-JP"/>
    </w:rPr>
  </w:style>
  <w:style w:type="character" w:styleId="Emphasis">
    <w:name w:val="Emphasis"/>
    <w:basedOn w:val="DefaultParagraphFont"/>
    <w:uiPriority w:val="20"/>
    <w:qFormat/>
    <w:rsid w:val="00E32D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3021">
      <w:bodyDiv w:val="1"/>
      <w:marLeft w:val="0"/>
      <w:marRight w:val="0"/>
      <w:marTop w:val="0"/>
      <w:marBottom w:val="0"/>
      <w:divBdr>
        <w:top w:val="none" w:sz="0" w:space="0" w:color="auto"/>
        <w:left w:val="none" w:sz="0" w:space="0" w:color="auto"/>
        <w:bottom w:val="none" w:sz="0" w:space="0" w:color="auto"/>
        <w:right w:val="none" w:sz="0" w:space="0" w:color="auto"/>
      </w:divBdr>
    </w:div>
    <w:div w:id="14894495">
      <w:bodyDiv w:val="1"/>
      <w:marLeft w:val="0"/>
      <w:marRight w:val="0"/>
      <w:marTop w:val="0"/>
      <w:marBottom w:val="0"/>
      <w:divBdr>
        <w:top w:val="none" w:sz="0" w:space="0" w:color="auto"/>
        <w:left w:val="none" w:sz="0" w:space="0" w:color="auto"/>
        <w:bottom w:val="none" w:sz="0" w:space="0" w:color="auto"/>
        <w:right w:val="none" w:sz="0" w:space="0" w:color="auto"/>
      </w:divBdr>
    </w:div>
    <w:div w:id="46807138">
      <w:bodyDiv w:val="1"/>
      <w:marLeft w:val="0"/>
      <w:marRight w:val="0"/>
      <w:marTop w:val="0"/>
      <w:marBottom w:val="0"/>
      <w:divBdr>
        <w:top w:val="none" w:sz="0" w:space="0" w:color="auto"/>
        <w:left w:val="none" w:sz="0" w:space="0" w:color="auto"/>
        <w:bottom w:val="none" w:sz="0" w:space="0" w:color="auto"/>
        <w:right w:val="none" w:sz="0" w:space="0" w:color="auto"/>
      </w:divBdr>
    </w:div>
    <w:div w:id="57094616">
      <w:bodyDiv w:val="1"/>
      <w:marLeft w:val="0"/>
      <w:marRight w:val="0"/>
      <w:marTop w:val="0"/>
      <w:marBottom w:val="0"/>
      <w:divBdr>
        <w:top w:val="none" w:sz="0" w:space="0" w:color="auto"/>
        <w:left w:val="none" w:sz="0" w:space="0" w:color="auto"/>
        <w:bottom w:val="none" w:sz="0" w:space="0" w:color="auto"/>
        <w:right w:val="none" w:sz="0" w:space="0" w:color="auto"/>
      </w:divBdr>
    </w:div>
    <w:div w:id="63337062">
      <w:bodyDiv w:val="1"/>
      <w:marLeft w:val="0"/>
      <w:marRight w:val="0"/>
      <w:marTop w:val="0"/>
      <w:marBottom w:val="0"/>
      <w:divBdr>
        <w:top w:val="none" w:sz="0" w:space="0" w:color="auto"/>
        <w:left w:val="none" w:sz="0" w:space="0" w:color="auto"/>
        <w:bottom w:val="none" w:sz="0" w:space="0" w:color="auto"/>
        <w:right w:val="none" w:sz="0" w:space="0" w:color="auto"/>
      </w:divBdr>
    </w:div>
    <w:div w:id="123623710">
      <w:bodyDiv w:val="1"/>
      <w:marLeft w:val="0"/>
      <w:marRight w:val="0"/>
      <w:marTop w:val="0"/>
      <w:marBottom w:val="0"/>
      <w:divBdr>
        <w:top w:val="none" w:sz="0" w:space="0" w:color="auto"/>
        <w:left w:val="none" w:sz="0" w:space="0" w:color="auto"/>
        <w:bottom w:val="none" w:sz="0" w:space="0" w:color="auto"/>
        <w:right w:val="none" w:sz="0" w:space="0" w:color="auto"/>
      </w:divBdr>
    </w:div>
    <w:div w:id="146483825">
      <w:bodyDiv w:val="1"/>
      <w:marLeft w:val="0"/>
      <w:marRight w:val="0"/>
      <w:marTop w:val="0"/>
      <w:marBottom w:val="0"/>
      <w:divBdr>
        <w:top w:val="none" w:sz="0" w:space="0" w:color="auto"/>
        <w:left w:val="none" w:sz="0" w:space="0" w:color="auto"/>
        <w:bottom w:val="none" w:sz="0" w:space="0" w:color="auto"/>
        <w:right w:val="none" w:sz="0" w:space="0" w:color="auto"/>
      </w:divBdr>
    </w:div>
    <w:div w:id="150559454">
      <w:bodyDiv w:val="1"/>
      <w:marLeft w:val="0"/>
      <w:marRight w:val="0"/>
      <w:marTop w:val="0"/>
      <w:marBottom w:val="0"/>
      <w:divBdr>
        <w:top w:val="none" w:sz="0" w:space="0" w:color="auto"/>
        <w:left w:val="none" w:sz="0" w:space="0" w:color="auto"/>
        <w:bottom w:val="none" w:sz="0" w:space="0" w:color="auto"/>
        <w:right w:val="none" w:sz="0" w:space="0" w:color="auto"/>
      </w:divBdr>
    </w:div>
    <w:div w:id="181601504">
      <w:bodyDiv w:val="1"/>
      <w:marLeft w:val="0"/>
      <w:marRight w:val="0"/>
      <w:marTop w:val="0"/>
      <w:marBottom w:val="0"/>
      <w:divBdr>
        <w:top w:val="none" w:sz="0" w:space="0" w:color="auto"/>
        <w:left w:val="none" w:sz="0" w:space="0" w:color="auto"/>
        <w:bottom w:val="none" w:sz="0" w:space="0" w:color="auto"/>
        <w:right w:val="none" w:sz="0" w:space="0" w:color="auto"/>
      </w:divBdr>
    </w:div>
    <w:div w:id="226649444">
      <w:bodyDiv w:val="1"/>
      <w:marLeft w:val="0"/>
      <w:marRight w:val="0"/>
      <w:marTop w:val="0"/>
      <w:marBottom w:val="0"/>
      <w:divBdr>
        <w:top w:val="none" w:sz="0" w:space="0" w:color="auto"/>
        <w:left w:val="none" w:sz="0" w:space="0" w:color="auto"/>
        <w:bottom w:val="none" w:sz="0" w:space="0" w:color="auto"/>
        <w:right w:val="none" w:sz="0" w:space="0" w:color="auto"/>
      </w:divBdr>
    </w:div>
    <w:div w:id="228225281">
      <w:bodyDiv w:val="1"/>
      <w:marLeft w:val="0"/>
      <w:marRight w:val="0"/>
      <w:marTop w:val="0"/>
      <w:marBottom w:val="0"/>
      <w:divBdr>
        <w:top w:val="none" w:sz="0" w:space="0" w:color="auto"/>
        <w:left w:val="none" w:sz="0" w:space="0" w:color="auto"/>
        <w:bottom w:val="none" w:sz="0" w:space="0" w:color="auto"/>
        <w:right w:val="none" w:sz="0" w:space="0" w:color="auto"/>
      </w:divBdr>
    </w:div>
    <w:div w:id="231350245">
      <w:bodyDiv w:val="1"/>
      <w:marLeft w:val="0"/>
      <w:marRight w:val="0"/>
      <w:marTop w:val="0"/>
      <w:marBottom w:val="0"/>
      <w:divBdr>
        <w:top w:val="none" w:sz="0" w:space="0" w:color="auto"/>
        <w:left w:val="none" w:sz="0" w:space="0" w:color="auto"/>
        <w:bottom w:val="none" w:sz="0" w:space="0" w:color="auto"/>
        <w:right w:val="none" w:sz="0" w:space="0" w:color="auto"/>
      </w:divBdr>
    </w:div>
    <w:div w:id="277372147">
      <w:bodyDiv w:val="1"/>
      <w:marLeft w:val="0"/>
      <w:marRight w:val="0"/>
      <w:marTop w:val="0"/>
      <w:marBottom w:val="0"/>
      <w:divBdr>
        <w:top w:val="none" w:sz="0" w:space="0" w:color="auto"/>
        <w:left w:val="none" w:sz="0" w:space="0" w:color="auto"/>
        <w:bottom w:val="none" w:sz="0" w:space="0" w:color="auto"/>
        <w:right w:val="none" w:sz="0" w:space="0" w:color="auto"/>
      </w:divBdr>
    </w:div>
    <w:div w:id="293758556">
      <w:bodyDiv w:val="1"/>
      <w:marLeft w:val="0"/>
      <w:marRight w:val="0"/>
      <w:marTop w:val="0"/>
      <w:marBottom w:val="0"/>
      <w:divBdr>
        <w:top w:val="none" w:sz="0" w:space="0" w:color="auto"/>
        <w:left w:val="none" w:sz="0" w:space="0" w:color="auto"/>
        <w:bottom w:val="none" w:sz="0" w:space="0" w:color="auto"/>
        <w:right w:val="none" w:sz="0" w:space="0" w:color="auto"/>
      </w:divBdr>
    </w:div>
    <w:div w:id="342439343">
      <w:bodyDiv w:val="1"/>
      <w:marLeft w:val="0"/>
      <w:marRight w:val="0"/>
      <w:marTop w:val="0"/>
      <w:marBottom w:val="0"/>
      <w:divBdr>
        <w:top w:val="none" w:sz="0" w:space="0" w:color="auto"/>
        <w:left w:val="none" w:sz="0" w:space="0" w:color="auto"/>
        <w:bottom w:val="none" w:sz="0" w:space="0" w:color="auto"/>
        <w:right w:val="none" w:sz="0" w:space="0" w:color="auto"/>
      </w:divBdr>
    </w:div>
    <w:div w:id="388960162">
      <w:bodyDiv w:val="1"/>
      <w:marLeft w:val="0"/>
      <w:marRight w:val="0"/>
      <w:marTop w:val="0"/>
      <w:marBottom w:val="0"/>
      <w:divBdr>
        <w:top w:val="none" w:sz="0" w:space="0" w:color="auto"/>
        <w:left w:val="none" w:sz="0" w:space="0" w:color="auto"/>
        <w:bottom w:val="none" w:sz="0" w:space="0" w:color="auto"/>
        <w:right w:val="none" w:sz="0" w:space="0" w:color="auto"/>
      </w:divBdr>
    </w:div>
    <w:div w:id="435830705">
      <w:bodyDiv w:val="1"/>
      <w:marLeft w:val="0"/>
      <w:marRight w:val="0"/>
      <w:marTop w:val="0"/>
      <w:marBottom w:val="0"/>
      <w:divBdr>
        <w:top w:val="none" w:sz="0" w:space="0" w:color="auto"/>
        <w:left w:val="none" w:sz="0" w:space="0" w:color="auto"/>
        <w:bottom w:val="none" w:sz="0" w:space="0" w:color="auto"/>
        <w:right w:val="none" w:sz="0" w:space="0" w:color="auto"/>
      </w:divBdr>
    </w:div>
    <w:div w:id="504248089">
      <w:bodyDiv w:val="1"/>
      <w:marLeft w:val="0"/>
      <w:marRight w:val="0"/>
      <w:marTop w:val="0"/>
      <w:marBottom w:val="0"/>
      <w:divBdr>
        <w:top w:val="none" w:sz="0" w:space="0" w:color="auto"/>
        <w:left w:val="none" w:sz="0" w:space="0" w:color="auto"/>
        <w:bottom w:val="none" w:sz="0" w:space="0" w:color="auto"/>
        <w:right w:val="none" w:sz="0" w:space="0" w:color="auto"/>
      </w:divBdr>
    </w:div>
    <w:div w:id="524710775">
      <w:bodyDiv w:val="1"/>
      <w:marLeft w:val="0"/>
      <w:marRight w:val="0"/>
      <w:marTop w:val="0"/>
      <w:marBottom w:val="0"/>
      <w:divBdr>
        <w:top w:val="none" w:sz="0" w:space="0" w:color="auto"/>
        <w:left w:val="none" w:sz="0" w:space="0" w:color="auto"/>
        <w:bottom w:val="none" w:sz="0" w:space="0" w:color="auto"/>
        <w:right w:val="none" w:sz="0" w:space="0" w:color="auto"/>
      </w:divBdr>
    </w:div>
    <w:div w:id="525366618">
      <w:bodyDiv w:val="1"/>
      <w:marLeft w:val="0"/>
      <w:marRight w:val="0"/>
      <w:marTop w:val="0"/>
      <w:marBottom w:val="0"/>
      <w:divBdr>
        <w:top w:val="none" w:sz="0" w:space="0" w:color="auto"/>
        <w:left w:val="none" w:sz="0" w:space="0" w:color="auto"/>
        <w:bottom w:val="none" w:sz="0" w:space="0" w:color="auto"/>
        <w:right w:val="none" w:sz="0" w:space="0" w:color="auto"/>
      </w:divBdr>
    </w:div>
    <w:div w:id="570963620">
      <w:bodyDiv w:val="1"/>
      <w:marLeft w:val="0"/>
      <w:marRight w:val="0"/>
      <w:marTop w:val="0"/>
      <w:marBottom w:val="0"/>
      <w:divBdr>
        <w:top w:val="none" w:sz="0" w:space="0" w:color="auto"/>
        <w:left w:val="none" w:sz="0" w:space="0" w:color="auto"/>
        <w:bottom w:val="none" w:sz="0" w:space="0" w:color="auto"/>
        <w:right w:val="none" w:sz="0" w:space="0" w:color="auto"/>
      </w:divBdr>
    </w:div>
    <w:div w:id="586353034">
      <w:bodyDiv w:val="1"/>
      <w:marLeft w:val="0"/>
      <w:marRight w:val="0"/>
      <w:marTop w:val="0"/>
      <w:marBottom w:val="0"/>
      <w:divBdr>
        <w:top w:val="none" w:sz="0" w:space="0" w:color="auto"/>
        <w:left w:val="none" w:sz="0" w:space="0" w:color="auto"/>
        <w:bottom w:val="none" w:sz="0" w:space="0" w:color="auto"/>
        <w:right w:val="none" w:sz="0" w:space="0" w:color="auto"/>
      </w:divBdr>
    </w:div>
    <w:div w:id="613512370">
      <w:bodyDiv w:val="1"/>
      <w:marLeft w:val="0"/>
      <w:marRight w:val="0"/>
      <w:marTop w:val="0"/>
      <w:marBottom w:val="0"/>
      <w:divBdr>
        <w:top w:val="none" w:sz="0" w:space="0" w:color="auto"/>
        <w:left w:val="none" w:sz="0" w:space="0" w:color="auto"/>
        <w:bottom w:val="none" w:sz="0" w:space="0" w:color="auto"/>
        <w:right w:val="none" w:sz="0" w:space="0" w:color="auto"/>
      </w:divBdr>
    </w:div>
    <w:div w:id="628559041">
      <w:bodyDiv w:val="1"/>
      <w:marLeft w:val="0"/>
      <w:marRight w:val="0"/>
      <w:marTop w:val="0"/>
      <w:marBottom w:val="0"/>
      <w:divBdr>
        <w:top w:val="none" w:sz="0" w:space="0" w:color="auto"/>
        <w:left w:val="none" w:sz="0" w:space="0" w:color="auto"/>
        <w:bottom w:val="none" w:sz="0" w:space="0" w:color="auto"/>
        <w:right w:val="none" w:sz="0" w:space="0" w:color="auto"/>
      </w:divBdr>
    </w:div>
    <w:div w:id="727920939">
      <w:bodyDiv w:val="1"/>
      <w:marLeft w:val="0"/>
      <w:marRight w:val="0"/>
      <w:marTop w:val="0"/>
      <w:marBottom w:val="0"/>
      <w:divBdr>
        <w:top w:val="none" w:sz="0" w:space="0" w:color="auto"/>
        <w:left w:val="none" w:sz="0" w:space="0" w:color="auto"/>
        <w:bottom w:val="none" w:sz="0" w:space="0" w:color="auto"/>
        <w:right w:val="none" w:sz="0" w:space="0" w:color="auto"/>
      </w:divBdr>
    </w:div>
    <w:div w:id="738359607">
      <w:bodyDiv w:val="1"/>
      <w:marLeft w:val="0"/>
      <w:marRight w:val="0"/>
      <w:marTop w:val="0"/>
      <w:marBottom w:val="0"/>
      <w:divBdr>
        <w:top w:val="none" w:sz="0" w:space="0" w:color="auto"/>
        <w:left w:val="none" w:sz="0" w:space="0" w:color="auto"/>
        <w:bottom w:val="none" w:sz="0" w:space="0" w:color="auto"/>
        <w:right w:val="none" w:sz="0" w:space="0" w:color="auto"/>
      </w:divBdr>
    </w:div>
    <w:div w:id="749734440">
      <w:bodyDiv w:val="1"/>
      <w:marLeft w:val="0"/>
      <w:marRight w:val="0"/>
      <w:marTop w:val="0"/>
      <w:marBottom w:val="0"/>
      <w:divBdr>
        <w:top w:val="none" w:sz="0" w:space="0" w:color="auto"/>
        <w:left w:val="none" w:sz="0" w:space="0" w:color="auto"/>
        <w:bottom w:val="none" w:sz="0" w:space="0" w:color="auto"/>
        <w:right w:val="none" w:sz="0" w:space="0" w:color="auto"/>
      </w:divBdr>
    </w:div>
    <w:div w:id="774061796">
      <w:bodyDiv w:val="1"/>
      <w:marLeft w:val="0"/>
      <w:marRight w:val="0"/>
      <w:marTop w:val="0"/>
      <w:marBottom w:val="0"/>
      <w:divBdr>
        <w:top w:val="none" w:sz="0" w:space="0" w:color="auto"/>
        <w:left w:val="none" w:sz="0" w:space="0" w:color="auto"/>
        <w:bottom w:val="none" w:sz="0" w:space="0" w:color="auto"/>
        <w:right w:val="none" w:sz="0" w:space="0" w:color="auto"/>
      </w:divBdr>
    </w:div>
    <w:div w:id="775096019">
      <w:bodyDiv w:val="1"/>
      <w:marLeft w:val="0"/>
      <w:marRight w:val="0"/>
      <w:marTop w:val="0"/>
      <w:marBottom w:val="0"/>
      <w:divBdr>
        <w:top w:val="none" w:sz="0" w:space="0" w:color="auto"/>
        <w:left w:val="none" w:sz="0" w:space="0" w:color="auto"/>
        <w:bottom w:val="none" w:sz="0" w:space="0" w:color="auto"/>
        <w:right w:val="none" w:sz="0" w:space="0" w:color="auto"/>
      </w:divBdr>
    </w:div>
    <w:div w:id="775832675">
      <w:bodyDiv w:val="1"/>
      <w:marLeft w:val="0"/>
      <w:marRight w:val="0"/>
      <w:marTop w:val="0"/>
      <w:marBottom w:val="0"/>
      <w:divBdr>
        <w:top w:val="none" w:sz="0" w:space="0" w:color="auto"/>
        <w:left w:val="none" w:sz="0" w:space="0" w:color="auto"/>
        <w:bottom w:val="none" w:sz="0" w:space="0" w:color="auto"/>
        <w:right w:val="none" w:sz="0" w:space="0" w:color="auto"/>
      </w:divBdr>
    </w:div>
    <w:div w:id="791940700">
      <w:bodyDiv w:val="1"/>
      <w:marLeft w:val="0"/>
      <w:marRight w:val="0"/>
      <w:marTop w:val="0"/>
      <w:marBottom w:val="0"/>
      <w:divBdr>
        <w:top w:val="none" w:sz="0" w:space="0" w:color="auto"/>
        <w:left w:val="none" w:sz="0" w:space="0" w:color="auto"/>
        <w:bottom w:val="none" w:sz="0" w:space="0" w:color="auto"/>
        <w:right w:val="none" w:sz="0" w:space="0" w:color="auto"/>
      </w:divBdr>
    </w:div>
    <w:div w:id="796874834">
      <w:bodyDiv w:val="1"/>
      <w:marLeft w:val="0"/>
      <w:marRight w:val="0"/>
      <w:marTop w:val="0"/>
      <w:marBottom w:val="0"/>
      <w:divBdr>
        <w:top w:val="none" w:sz="0" w:space="0" w:color="auto"/>
        <w:left w:val="none" w:sz="0" w:space="0" w:color="auto"/>
        <w:bottom w:val="none" w:sz="0" w:space="0" w:color="auto"/>
        <w:right w:val="none" w:sz="0" w:space="0" w:color="auto"/>
      </w:divBdr>
    </w:div>
    <w:div w:id="812673501">
      <w:bodyDiv w:val="1"/>
      <w:marLeft w:val="0"/>
      <w:marRight w:val="0"/>
      <w:marTop w:val="0"/>
      <w:marBottom w:val="0"/>
      <w:divBdr>
        <w:top w:val="none" w:sz="0" w:space="0" w:color="auto"/>
        <w:left w:val="none" w:sz="0" w:space="0" w:color="auto"/>
        <w:bottom w:val="none" w:sz="0" w:space="0" w:color="auto"/>
        <w:right w:val="none" w:sz="0" w:space="0" w:color="auto"/>
      </w:divBdr>
    </w:div>
    <w:div w:id="826819556">
      <w:bodyDiv w:val="1"/>
      <w:marLeft w:val="0"/>
      <w:marRight w:val="0"/>
      <w:marTop w:val="0"/>
      <w:marBottom w:val="0"/>
      <w:divBdr>
        <w:top w:val="none" w:sz="0" w:space="0" w:color="auto"/>
        <w:left w:val="none" w:sz="0" w:space="0" w:color="auto"/>
        <w:bottom w:val="none" w:sz="0" w:space="0" w:color="auto"/>
        <w:right w:val="none" w:sz="0" w:space="0" w:color="auto"/>
      </w:divBdr>
    </w:div>
    <w:div w:id="857963290">
      <w:bodyDiv w:val="1"/>
      <w:marLeft w:val="0"/>
      <w:marRight w:val="0"/>
      <w:marTop w:val="0"/>
      <w:marBottom w:val="0"/>
      <w:divBdr>
        <w:top w:val="none" w:sz="0" w:space="0" w:color="auto"/>
        <w:left w:val="none" w:sz="0" w:space="0" w:color="auto"/>
        <w:bottom w:val="none" w:sz="0" w:space="0" w:color="auto"/>
        <w:right w:val="none" w:sz="0" w:space="0" w:color="auto"/>
      </w:divBdr>
    </w:div>
    <w:div w:id="936862348">
      <w:bodyDiv w:val="1"/>
      <w:marLeft w:val="0"/>
      <w:marRight w:val="0"/>
      <w:marTop w:val="0"/>
      <w:marBottom w:val="0"/>
      <w:divBdr>
        <w:top w:val="none" w:sz="0" w:space="0" w:color="auto"/>
        <w:left w:val="none" w:sz="0" w:space="0" w:color="auto"/>
        <w:bottom w:val="none" w:sz="0" w:space="0" w:color="auto"/>
        <w:right w:val="none" w:sz="0" w:space="0" w:color="auto"/>
      </w:divBdr>
    </w:div>
    <w:div w:id="976450359">
      <w:bodyDiv w:val="1"/>
      <w:marLeft w:val="0"/>
      <w:marRight w:val="0"/>
      <w:marTop w:val="0"/>
      <w:marBottom w:val="0"/>
      <w:divBdr>
        <w:top w:val="none" w:sz="0" w:space="0" w:color="auto"/>
        <w:left w:val="none" w:sz="0" w:space="0" w:color="auto"/>
        <w:bottom w:val="none" w:sz="0" w:space="0" w:color="auto"/>
        <w:right w:val="none" w:sz="0" w:space="0" w:color="auto"/>
      </w:divBdr>
    </w:div>
    <w:div w:id="1003047104">
      <w:bodyDiv w:val="1"/>
      <w:marLeft w:val="0"/>
      <w:marRight w:val="0"/>
      <w:marTop w:val="0"/>
      <w:marBottom w:val="0"/>
      <w:divBdr>
        <w:top w:val="none" w:sz="0" w:space="0" w:color="auto"/>
        <w:left w:val="none" w:sz="0" w:space="0" w:color="auto"/>
        <w:bottom w:val="none" w:sz="0" w:space="0" w:color="auto"/>
        <w:right w:val="none" w:sz="0" w:space="0" w:color="auto"/>
      </w:divBdr>
    </w:div>
    <w:div w:id="1025784896">
      <w:bodyDiv w:val="1"/>
      <w:marLeft w:val="0"/>
      <w:marRight w:val="0"/>
      <w:marTop w:val="0"/>
      <w:marBottom w:val="0"/>
      <w:divBdr>
        <w:top w:val="none" w:sz="0" w:space="0" w:color="auto"/>
        <w:left w:val="none" w:sz="0" w:space="0" w:color="auto"/>
        <w:bottom w:val="none" w:sz="0" w:space="0" w:color="auto"/>
        <w:right w:val="none" w:sz="0" w:space="0" w:color="auto"/>
      </w:divBdr>
    </w:div>
    <w:div w:id="1076783704">
      <w:bodyDiv w:val="1"/>
      <w:marLeft w:val="0"/>
      <w:marRight w:val="0"/>
      <w:marTop w:val="0"/>
      <w:marBottom w:val="0"/>
      <w:divBdr>
        <w:top w:val="none" w:sz="0" w:space="0" w:color="auto"/>
        <w:left w:val="none" w:sz="0" w:space="0" w:color="auto"/>
        <w:bottom w:val="none" w:sz="0" w:space="0" w:color="auto"/>
        <w:right w:val="none" w:sz="0" w:space="0" w:color="auto"/>
      </w:divBdr>
    </w:div>
    <w:div w:id="1084960315">
      <w:bodyDiv w:val="1"/>
      <w:marLeft w:val="0"/>
      <w:marRight w:val="0"/>
      <w:marTop w:val="0"/>
      <w:marBottom w:val="0"/>
      <w:divBdr>
        <w:top w:val="none" w:sz="0" w:space="0" w:color="auto"/>
        <w:left w:val="none" w:sz="0" w:space="0" w:color="auto"/>
        <w:bottom w:val="none" w:sz="0" w:space="0" w:color="auto"/>
        <w:right w:val="none" w:sz="0" w:space="0" w:color="auto"/>
      </w:divBdr>
    </w:div>
    <w:div w:id="1108692882">
      <w:bodyDiv w:val="1"/>
      <w:marLeft w:val="0"/>
      <w:marRight w:val="0"/>
      <w:marTop w:val="0"/>
      <w:marBottom w:val="0"/>
      <w:divBdr>
        <w:top w:val="none" w:sz="0" w:space="0" w:color="auto"/>
        <w:left w:val="none" w:sz="0" w:space="0" w:color="auto"/>
        <w:bottom w:val="none" w:sz="0" w:space="0" w:color="auto"/>
        <w:right w:val="none" w:sz="0" w:space="0" w:color="auto"/>
      </w:divBdr>
    </w:div>
    <w:div w:id="1119106692">
      <w:bodyDiv w:val="1"/>
      <w:marLeft w:val="0"/>
      <w:marRight w:val="0"/>
      <w:marTop w:val="0"/>
      <w:marBottom w:val="0"/>
      <w:divBdr>
        <w:top w:val="none" w:sz="0" w:space="0" w:color="auto"/>
        <w:left w:val="none" w:sz="0" w:space="0" w:color="auto"/>
        <w:bottom w:val="none" w:sz="0" w:space="0" w:color="auto"/>
        <w:right w:val="none" w:sz="0" w:space="0" w:color="auto"/>
      </w:divBdr>
    </w:div>
    <w:div w:id="1128475995">
      <w:bodyDiv w:val="1"/>
      <w:marLeft w:val="0"/>
      <w:marRight w:val="0"/>
      <w:marTop w:val="0"/>
      <w:marBottom w:val="0"/>
      <w:divBdr>
        <w:top w:val="none" w:sz="0" w:space="0" w:color="auto"/>
        <w:left w:val="none" w:sz="0" w:space="0" w:color="auto"/>
        <w:bottom w:val="none" w:sz="0" w:space="0" w:color="auto"/>
        <w:right w:val="none" w:sz="0" w:space="0" w:color="auto"/>
      </w:divBdr>
    </w:div>
    <w:div w:id="1140998347">
      <w:bodyDiv w:val="1"/>
      <w:marLeft w:val="0"/>
      <w:marRight w:val="0"/>
      <w:marTop w:val="0"/>
      <w:marBottom w:val="0"/>
      <w:divBdr>
        <w:top w:val="none" w:sz="0" w:space="0" w:color="auto"/>
        <w:left w:val="none" w:sz="0" w:space="0" w:color="auto"/>
        <w:bottom w:val="none" w:sz="0" w:space="0" w:color="auto"/>
        <w:right w:val="none" w:sz="0" w:space="0" w:color="auto"/>
      </w:divBdr>
    </w:div>
    <w:div w:id="1142306812">
      <w:bodyDiv w:val="1"/>
      <w:marLeft w:val="0"/>
      <w:marRight w:val="0"/>
      <w:marTop w:val="0"/>
      <w:marBottom w:val="0"/>
      <w:divBdr>
        <w:top w:val="none" w:sz="0" w:space="0" w:color="auto"/>
        <w:left w:val="none" w:sz="0" w:space="0" w:color="auto"/>
        <w:bottom w:val="none" w:sz="0" w:space="0" w:color="auto"/>
        <w:right w:val="none" w:sz="0" w:space="0" w:color="auto"/>
      </w:divBdr>
    </w:div>
    <w:div w:id="1158300891">
      <w:bodyDiv w:val="1"/>
      <w:marLeft w:val="0"/>
      <w:marRight w:val="0"/>
      <w:marTop w:val="0"/>
      <w:marBottom w:val="0"/>
      <w:divBdr>
        <w:top w:val="none" w:sz="0" w:space="0" w:color="auto"/>
        <w:left w:val="none" w:sz="0" w:space="0" w:color="auto"/>
        <w:bottom w:val="none" w:sz="0" w:space="0" w:color="auto"/>
        <w:right w:val="none" w:sz="0" w:space="0" w:color="auto"/>
      </w:divBdr>
    </w:div>
    <w:div w:id="1205026124">
      <w:bodyDiv w:val="1"/>
      <w:marLeft w:val="0"/>
      <w:marRight w:val="0"/>
      <w:marTop w:val="0"/>
      <w:marBottom w:val="0"/>
      <w:divBdr>
        <w:top w:val="none" w:sz="0" w:space="0" w:color="auto"/>
        <w:left w:val="none" w:sz="0" w:space="0" w:color="auto"/>
        <w:bottom w:val="none" w:sz="0" w:space="0" w:color="auto"/>
        <w:right w:val="none" w:sz="0" w:space="0" w:color="auto"/>
      </w:divBdr>
    </w:div>
    <w:div w:id="1278025004">
      <w:bodyDiv w:val="1"/>
      <w:marLeft w:val="0"/>
      <w:marRight w:val="0"/>
      <w:marTop w:val="0"/>
      <w:marBottom w:val="0"/>
      <w:divBdr>
        <w:top w:val="none" w:sz="0" w:space="0" w:color="auto"/>
        <w:left w:val="none" w:sz="0" w:space="0" w:color="auto"/>
        <w:bottom w:val="none" w:sz="0" w:space="0" w:color="auto"/>
        <w:right w:val="none" w:sz="0" w:space="0" w:color="auto"/>
      </w:divBdr>
    </w:div>
    <w:div w:id="1316110437">
      <w:bodyDiv w:val="1"/>
      <w:marLeft w:val="0"/>
      <w:marRight w:val="0"/>
      <w:marTop w:val="0"/>
      <w:marBottom w:val="0"/>
      <w:divBdr>
        <w:top w:val="none" w:sz="0" w:space="0" w:color="auto"/>
        <w:left w:val="none" w:sz="0" w:space="0" w:color="auto"/>
        <w:bottom w:val="none" w:sz="0" w:space="0" w:color="auto"/>
        <w:right w:val="none" w:sz="0" w:space="0" w:color="auto"/>
      </w:divBdr>
    </w:div>
    <w:div w:id="1328171035">
      <w:bodyDiv w:val="1"/>
      <w:marLeft w:val="0"/>
      <w:marRight w:val="0"/>
      <w:marTop w:val="0"/>
      <w:marBottom w:val="0"/>
      <w:divBdr>
        <w:top w:val="none" w:sz="0" w:space="0" w:color="auto"/>
        <w:left w:val="none" w:sz="0" w:space="0" w:color="auto"/>
        <w:bottom w:val="none" w:sz="0" w:space="0" w:color="auto"/>
        <w:right w:val="none" w:sz="0" w:space="0" w:color="auto"/>
      </w:divBdr>
    </w:div>
    <w:div w:id="1352876055">
      <w:bodyDiv w:val="1"/>
      <w:marLeft w:val="0"/>
      <w:marRight w:val="0"/>
      <w:marTop w:val="0"/>
      <w:marBottom w:val="0"/>
      <w:divBdr>
        <w:top w:val="none" w:sz="0" w:space="0" w:color="auto"/>
        <w:left w:val="none" w:sz="0" w:space="0" w:color="auto"/>
        <w:bottom w:val="none" w:sz="0" w:space="0" w:color="auto"/>
        <w:right w:val="none" w:sz="0" w:space="0" w:color="auto"/>
      </w:divBdr>
    </w:div>
    <w:div w:id="1435858196">
      <w:bodyDiv w:val="1"/>
      <w:marLeft w:val="0"/>
      <w:marRight w:val="0"/>
      <w:marTop w:val="0"/>
      <w:marBottom w:val="0"/>
      <w:divBdr>
        <w:top w:val="none" w:sz="0" w:space="0" w:color="auto"/>
        <w:left w:val="none" w:sz="0" w:space="0" w:color="auto"/>
        <w:bottom w:val="none" w:sz="0" w:space="0" w:color="auto"/>
        <w:right w:val="none" w:sz="0" w:space="0" w:color="auto"/>
      </w:divBdr>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68543834">
      <w:bodyDiv w:val="1"/>
      <w:marLeft w:val="0"/>
      <w:marRight w:val="0"/>
      <w:marTop w:val="0"/>
      <w:marBottom w:val="0"/>
      <w:divBdr>
        <w:top w:val="none" w:sz="0" w:space="0" w:color="auto"/>
        <w:left w:val="none" w:sz="0" w:space="0" w:color="auto"/>
        <w:bottom w:val="none" w:sz="0" w:space="0" w:color="auto"/>
        <w:right w:val="none" w:sz="0" w:space="0" w:color="auto"/>
      </w:divBdr>
    </w:div>
    <w:div w:id="1469013617">
      <w:bodyDiv w:val="1"/>
      <w:marLeft w:val="0"/>
      <w:marRight w:val="0"/>
      <w:marTop w:val="0"/>
      <w:marBottom w:val="0"/>
      <w:divBdr>
        <w:top w:val="none" w:sz="0" w:space="0" w:color="auto"/>
        <w:left w:val="none" w:sz="0" w:space="0" w:color="auto"/>
        <w:bottom w:val="none" w:sz="0" w:space="0" w:color="auto"/>
        <w:right w:val="none" w:sz="0" w:space="0" w:color="auto"/>
      </w:divBdr>
    </w:div>
    <w:div w:id="1478304573">
      <w:bodyDiv w:val="1"/>
      <w:marLeft w:val="0"/>
      <w:marRight w:val="0"/>
      <w:marTop w:val="0"/>
      <w:marBottom w:val="0"/>
      <w:divBdr>
        <w:top w:val="none" w:sz="0" w:space="0" w:color="auto"/>
        <w:left w:val="none" w:sz="0" w:space="0" w:color="auto"/>
        <w:bottom w:val="none" w:sz="0" w:space="0" w:color="auto"/>
        <w:right w:val="none" w:sz="0" w:space="0" w:color="auto"/>
      </w:divBdr>
    </w:div>
    <w:div w:id="1493179703">
      <w:bodyDiv w:val="1"/>
      <w:marLeft w:val="0"/>
      <w:marRight w:val="0"/>
      <w:marTop w:val="0"/>
      <w:marBottom w:val="0"/>
      <w:divBdr>
        <w:top w:val="none" w:sz="0" w:space="0" w:color="auto"/>
        <w:left w:val="none" w:sz="0" w:space="0" w:color="auto"/>
        <w:bottom w:val="none" w:sz="0" w:space="0" w:color="auto"/>
        <w:right w:val="none" w:sz="0" w:space="0" w:color="auto"/>
      </w:divBdr>
    </w:div>
    <w:div w:id="1561742898">
      <w:bodyDiv w:val="1"/>
      <w:marLeft w:val="0"/>
      <w:marRight w:val="0"/>
      <w:marTop w:val="0"/>
      <w:marBottom w:val="0"/>
      <w:divBdr>
        <w:top w:val="none" w:sz="0" w:space="0" w:color="auto"/>
        <w:left w:val="none" w:sz="0" w:space="0" w:color="auto"/>
        <w:bottom w:val="none" w:sz="0" w:space="0" w:color="auto"/>
        <w:right w:val="none" w:sz="0" w:space="0" w:color="auto"/>
      </w:divBdr>
    </w:div>
    <w:div w:id="1568684595">
      <w:bodyDiv w:val="1"/>
      <w:marLeft w:val="0"/>
      <w:marRight w:val="0"/>
      <w:marTop w:val="0"/>
      <w:marBottom w:val="0"/>
      <w:divBdr>
        <w:top w:val="none" w:sz="0" w:space="0" w:color="auto"/>
        <w:left w:val="none" w:sz="0" w:space="0" w:color="auto"/>
        <w:bottom w:val="none" w:sz="0" w:space="0" w:color="auto"/>
        <w:right w:val="none" w:sz="0" w:space="0" w:color="auto"/>
      </w:divBdr>
    </w:div>
    <w:div w:id="1665353755">
      <w:bodyDiv w:val="1"/>
      <w:marLeft w:val="0"/>
      <w:marRight w:val="0"/>
      <w:marTop w:val="0"/>
      <w:marBottom w:val="0"/>
      <w:divBdr>
        <w:top w:val="none" w:sz="0" w:space="0" w:color="auto"/>
        <w:left w:val="none" w:sz="0" w:space="0" w:color="auto"/>
        <w:bottom w:val="none" w:sz="0" w:space="0" w:color="auto"/>
        <w:right w:val="none" w:sz="0" w:space="0" w:color="auto"/>
      </w:divBdr>
    </w:div>
    <w:div w:id="1690791156">
      <w:bodyDiv w:val="1"/>
      <w:marLeft w:val="0"/>
      <w:marRight w:val="0"/>
      <w:marTop w:val="0"/>
      <w:marBottom w:val="0"/>
      <w:divBdr>
        <w:top w:val="none" w:sz="0" w:space="0" w:color="auto"/>
        <w:left w:val="none" w:sz="0" w:space="0" w:color="auto"/>
        <w:bottom w:val="none" w:sz="0" w:space="0" w:color="auto"/>
        <w:right w:val="none" w:sz="0" w:space="0" w:color="auto"/>
      </w:divBdr>
    </w:div>
    <w:div w:id="1752387422">
      <w:bodyDiv w:val="1"/>
      <w:marLeft w:val="0"/>
      <w:marRight w:val="0"/>
      <w:marTop w:val="0"/>
      <w:marBottom w:val="0"/>
      <w:divBdr>
        <w:top w:val="none" w:sz="0" w:space="0" w:color="auto"/>
        <w:left w:val="none" w:sz="0" w:space="0" w:color="auto"/>
        <w:bottom w:val="none" w:sz="0" w:space="0" w:color="auto"/>
        <w:right w:val="none" w:sz="0" w:space="0" w:color="auto"/>
      </w:divBdr>
    </w:div>
    <w:div w:id="1793010639">
      <w:bodyDiv w:val="1"/>
      <w:marLeft w:val="0"/>
      <w:marRight w:val="0"/>
      <w:marTop w:val="0"/>
      <w:marBottom w:val="0"/>
      <w:divBdr>
        <w:top w:val="none" w:sz="0" w:space="0" w:color="auto"/>
        <w:left w:val="none" w:sz="0" w:space="0" w:color="auto"/>
        <w:bottom w:val="none" w:sz="0" w:space="0" w:color="auto"/>
        <w:right w:val="none" w:sz="0" w:space="0" w:color="auto"/>
      </w:divBdr>
    </w:div>
    <w:div w:id="1814711265">
      <w:bodyDiv w:val="1"/>
      <w:marLeft w:val="0"/>
      <w:marRight w:val="0"/>
      <w:marTop w:val="0"/>
      <w:marBottom w:val="0"/>
      <w:divBdr>
        <w:top w:val="none" w:sz="0" w:space="0" w:color="auto"/>
        <w:left w:val="none" w:sz="0" w:space="0" w:color="auto"/>
        <w:bottom w:val="none" w:sz="0" w:space="0" w:color="auto"/>
        <w:right w:val="none" w:sz="0" w:space="0" w:color="auto"/>
      </w:divBdr>
    </w:div>
    <w:div w:id="1821801156">
      <w:bodyDiv w:val="1"/>
      <w:marLeft w:val="0"/>
      <w:marRight w:val="0"/>
      <w:marTop w:val="0"/>
      <w:marBottom w:val="0"/>
      <w:divBdr>
        <w:top w:val="none" w:sz="0" w:space="0" w:color="auto"/>
        <w:left w:val="none" w:sz="0" w:space="0" w:color="auto"/>
        <w:bottom w:val="none" w:sz="0" w:space="0" w:color="auto"/>
        <w:right w:val="none" w:sz="0" w:space="0" w:color="auto"/>
      </w:divBdr>
    </w:div>
    <w:div w:id="1882203761">
      <w:bodyDiv w:val="1"/>
      <w:marLeft w:val="0"/>
      <w:marRight w:val="0"/>
      <w:marTop w:val="0"/>
      <w:marBottom w:val="0"/>
      <w:divBdr>
        <w:top w:val="none" w:sz="0" w:space="0" w:color="auto"/>
        <w:left w:val="none" w:sz="0" w:space="0" w:color="auto"/>
        <w:bottom w:val="none" w:sz="0" w:space="0" w:color="auto"/>
        <w:right w:val="none" w:sz="0" w:space="0" w:color="auto"/>
      </w:divBdr>
    </w:div>
    <w:div w:id="1904675676">
      <w:bodyDiv w:val="1"/>
      <w:marLeft w:val="0"/>
      <w:marRight w:val="0"/>
      <w:marTop w:val="0"/>
      <w:marBottom w:val="0"/>
      <w:divBdr>
        <w:top w:val="none" w:sz="0" w:space="0" w:color="auto"/>
        <w:left w:val="none" w:sz="0" w:space="0" w:color="auto"/>
        <w:bottom w:val="none" w:sz="0" w:space="0" w:color="auto"/>
        <w:right w:val="none" w:sz="0" w:space="0" w:color="auto"/>
      </w:divBdr>
    </w:div>
    <w:div w:id="1918051817">
      <w:bodyDiv w:val="1"/>
      <w:marLeft w:val="0"/>
      <w:marRight w:val="0"/>
      <w:marTop w:val="0"/>
      <w:marBottom w:val="0"/>
      <w:divBdr>
        <w:top w:val="none" w:sz="0" w:space="0" w:color="auto"/>
        <w:left w:val="none" w:sz="0" w:space="0" w:color="auto"/>
        <w:bottom w:val="none" w:sz="0" w:space="0" w:color="auto"/>
        <w:right w:val="none" w:sz="0" w:space="0" w:color="auto"/>
      </w:divBdr>
    </w:div>
    <w:div w:id="1927617533">
      <w:bodyDiv w:val="1"/>
      <w:marLeft w:val="0"/>
      <w:marRight w:val="0"/>
      <w:marTop w:val="0"/>
      <w:marBottom w:val="0"/>
      <w:divBdr>
        <w:top w:val="none" w:sz="0" w:space="0" w:color="auto"/>
        <w:left w:val="none" w:sz="0" w:space="0" w:color="auto"/>
        <w:bottom w:val="none" w:sz="0" w:space="0" w:color="auto"/>
        <w:right w:val="none" w:sz="0" w:space="0" w:color="auto"/>
      </w:divBdr>
    </w:div>
    <w:div w:id="1933320490">
      <w:bodyDiv w:val="1"/>
      <w:marLeft w:val="0"/>
      <w:marRight w:val="0"/>
      <w:marTop w:val="0"/>
      <w:marBottom w:val="0"/>
      <w:divBdr>
        <w:top w:val="none" w:sz="0" w:space="0" w:color="auto"/>
        <w:left w:val="none" w:sz="0" w:space="0" w:color="auto"/>
        <w:bottom w:val="none" w:sz="0" w:space="0" w:color="auto"/>
        <w:right w:val="none" w:sz="0" w:space="0" w:color="auto"/>
      </w:divBdr>
    </w:div>
    <w:div w:id="1939873498">
      <w:bodyDiv w:val="1"/>
      <w:marLeft w:val="0"/>
      <w:marRight w:val="0"/>
      <w:marTop w:val="0"/>
      <w:marBottom w:val="0"/>
      <w:divBdr>
        <w:top w:val="none" w:sz="0" w:space="0" w:color="auto"/>
        <w:left w:val="none" w:sz="0" w:space="0" w:color="auto"/>
        <w:bottom w:val="none" w:sz="0" w:space="0" w:color="auto"/>
        <w:right w:val="none" w:sz="0" w:space="0" w:color="auto"/>
      </w:divBdr>
    </w:div>
    <w:div w:id="1940136694">
      <w:bodyDiv w:val="1"/>
      <w:marLeft w:val="0"/>
      <w:marRight w:val="0"/>
      <w:marTop w:val="0"/>
      <w:marBottom w:val="0"/>
      <w:divBdr>
        <w:top w:val="none" w:sz="0" w:space="0" w:color="auto"/>
        <w:left w:val="none" w:sz="0" w:space="0" w:color="auto"/>
        <w:bottom w:val="none" w:sz="0" w:space="0" w:color="auto"/>
        <w:right w:val="none" w:sz="0" w:space="0" w:color="auto"/>
      </w:divBdr>
    </w:div>
    <w:div w:id="1944340337">
      <w:bodyDiv w:val="1"/>
      <w:marLeft w:val="0"/>
      <w:marRight w:val="0"/>
      <w:marTop w:val="0"/>
      <w:marBottom w:val="0"/>
      <w:divBdr>
        <w:top w:val="none" w:sz="0" w:space="0" w:color="auto"/>
        <w:left w:val="none" w:sz="0" w:space="0" w:color="auto"/>
        <w:bottom w:val="none" w:sz="0" w:space="0" w:color="auto"/>
        <w:right w:val="none" w:sz="0" w:space="0" w:color="auto"/>
      </w:divBdr>
    </w:div>
    <w:div w:id="1980837072">
      <w:bodyDiv w:val="1"/>
      <w:marLeft w:val="0"/>
      <w:marRight w:val="0"/>
      <w:marTop w:val="0"/>
      <w:marBottom w:val="0"/>
      <w:divBdr>
        <w:top w:val="none" w:sz="0" w:space="0" w:color="auto"/>
        <w:left w:val="none" w:sz="0" w:space="0" w:color="auto"/>
        <w:bottom w:val="none" w:sz="0" w:space="0" w:color="auto"/>
        <w:right w:val="none" w:sz="0" w:space="0" w:color="auto"/>
      </w:divBdr>
    </w:div>
    <w:div w:id="2004551907">
      <w:bodyDiv w:val="1"/>
      <w:marLeft w:val="0"/>
      <w:marRight w:val="0"/>
      <w:marTop w:val="0"/>
      <w:marBottom w:val="0"/>
      <w:divBdr>
        <w:top w:val="none" w:sz="0" w:space="0" w:color="auto"/>
        <w:left w:val="none" w:sz="0" w:space="0" w:color="auto"/>
        <w:bottom w:val="none" w:sz="0" w:space="0" w:color="auto"/>
        <w:right w:val="none" w:sz="0" w:space="0" w:color="auto"/>
      </w:divBdr>
    </w:div>
    <w:div w:id="2099399333">
      <w:bodyDiv w:val="1"/>
      <w:marLeft w:val="0"/>
      <w:marRight w:val="0"/>
      <w:marTop w:val="0"/>
      <w:marBottom w:val="0"/>
      <w:divBdr>
        <w:top w:val="none" w:sz="0" w:space="0" w:color="auto"/>
        <w:left w:val="none" w:sz="0" w:space="0" w:color="auto"/>
        <w:bottom w:val="none" w:sz="0" w:space="0" w:color="auto"/>
        <w:right w:val="none" w:sz="0" w:space="0" w:color="auto"/>
      </w:divBdr>
    </w:div>
    <w:div w:id="2121561329">
      <w:bodyDiv w:val="1"/>
      <w:marLeft w:val="0"/>
      <w:marRight w:val="0"/>
      <w:marTop w:val="0"/>
      <w:marBottom w:val="0"/>
      <w:divBdr>
        <w:top w:val="none" w:sz="0" w:space="0" w:color="auto"/>
        <w:left w:val="none" w:sz="0" w:space="0" w:color="auto"/>
        <w:bottom w:val="none" w:sz="0" w:space="0" w:color="auto"/>
        <w:right w:val="none" w:sz="0" w:space="0" w:color="auto"/>
      </w:divBdr>
    </w:div>
    <w:div w:id="21265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hwa.dot.gov/environment/environmental_justice/publications/reference_guide_2015/fhwahep15035..pdf" TargetMode="External"/><Relationship Id="rId21" Type="http://schemas.openxmlformats.org/officeDocument/2006/relationships/hyperlink" Target="https://www.usgs.gov/faqs/what-carbon-sequestration?qt-news_science_products=0" TargetMode="External"/><Relationship Id="rId42" Type="http://schemas.openxmlformats.org/officeDocument/2006/relationships/hyperlink" Target="https://cadmusgroup.com/papers-reports/pathways-to-ev-preparing-cities-for-the-transition-to-electric-vehicles/" TargetMode="External"/><Relationship Id="rId63" Type="http://schemas.openxmlformats.org/officeDocument/2006/relationships/hyperlink" Target="https://www.cdc.gov/disasters/extremeheat/heat_guide.html" TargetMode="External"/><Relationship Id="rId84" Type="http://schemas.openxmlformats.org/officeDocument/2006/relationships/hyperlink" Target="https://www.nssl.noaa.gov/education/svrwx101/lightning/" TargetMode="External"/><Relationship Id="rId138" Type="http://schemas.openxmlformats.org/officeDocument/2006/relationships/hyperlink" Target="https://www.greenbeltmd.gov/government/departments-con-t/public-works/green-steps-sustainability/sustainable-plan-framework" TargetMode="External"/><Relationship Id="rId159" Type="http://schemas.openxmlformats.org/officeDocument/2006/relationships/hyperlink" Target="https://www.mwcog.org/regionforward/" TargetMode="External"/><Relationship Id="rId170" Type="http://schemas.openxmlformats.org/officeDocument/2006/relationships/hyperlink" Target="https://www.usclimatealliance.org/" TargetMode="External"/><Relationship Id="rId191" Type="http://schemas.openxmlformats.org/officeDocument/2006/relationships/hyperlink" Target="https://lis.virginia.gov/cgi-bin/legp604.exe?201+sum+SB1027" TargetMode="External"/><Relationship Id="rId196" Type="http://schemas.openxmlformats.org/officeDocument/2006/relationships/image" Target="media/image4.emf"/><Relationship Id="rId200" Type="http://schemas.openxmlformats.org/officeDocument/2006/relationships/footer" Target="footer3.xml"/><Relationship Id="rId16" Type="http://schemas.openxmlformats.org/officeDocument/2006/relationships/hyperlink" Target="https://www.ipcc.ch/site/assets/uploads/2018/02/WGIIAR5-AnnexII_FINAL.pdf" TargetMode="External"/><Relationship Id="rId107" Type="http://schemas.openxmlformats.org/officeDocument/2006/relationships/hyperlink" Target="https://www.usdn.org/resilience-hubs.html" TargetMode="External"/><Relationship Id="rId11" Type="http://schemas.openxmlformats.org/officeDocument/2006/relationships/hyperlink" Target="https://19january2017snapshot.epa.gov/climatechange/glossary-climate-change-terms_.html" TargetMode="External"/><Relationship Id="rId32" Type="http://schemas.openxmlformats.org/officeDocument/2006/relationships/hyperlink" Target="https://www.mwcog.org/documents/2016/3/2/integrated-community-energy-task-force-reports-/" TargetMode="External"/><Relationship Id="rId37" Type="http://schemas.openxmlformats.org/officeDocument/2006/relationships/hyperlink" Target="https://www.sierraclub.org/sites/www.sierraclub.org/files/sce/southeastern-pennsylvania-group/Paula/MCG-Pathways-to-100-Energy-Supply-Transformation-Primer-for-Cities%281%29.pdf" TargetMode="External"/><Relationship Id="rId53" Type="http://schemas.openxmlformats.org/officeDocument/2006/relationships/hyperlink" Target="https://www.epa.gov/sites/production/files/2017-06/documents/guide_action_full.pdf" TargetMode="External"/><Relationship Id="rId58" Type="http://schemas.openxmlformats.org/officeDocument/2006/relationships/hyperlink" Target="https://www.epa.gov/environmentaljustice" TargetMode="External"/><Relationship Id="rId74" Type="http://schemas.openxmlformats.org/officeDocument/2006/relationships/hyperlink" Target="https://www.investopedia.com/terms/g/green-bond.asp" TargetMode="External"/><Relationship Id="rId79" Type="http://schemas.openxmlformats.org/officeDocument/2006/relationships/hyperlink" Target="https://oceanservice.noaa.gov/facts/hurricane.html" TargetMode="External"/><Relationship Id="rId102" Type="http://schemas.openxmlformats.org/officeDocument/2006/relationships/hyperlink" Target="https://icleiusa.org/publications/us-community-protocol/" TargetMode="External"/><Relationship Id="rId123" Type="http://schemas.openxmlformats.org/officeDocument/2006/relationships/hyperlink" Target="https://ww2.arb.ca.gov/about/glossary?keywords=&amp;page=5" TargetMode="External"/><Relationship Id="rId128" Type="http://schemas.microsoft.com/office/2011/relationships/commentsExtended" Target="commentsExtended.xml"/><Relationship Id="rId144" Type="http://schemas.openxmlformats.org/officeDocument/2006/relationships/hyperlink" Target="http://documents.takomaparkmd.gov/initiatives/sustainability/2014-sustainable-energy-action-plan.pdf" TargetMode="External"/><Relationship Id="rId149" Type="http://schemas.openxmlformats.org/officeDocument/2006/relationships/hyperlink" Target="https://www.montgomerycountymd.gov/COUNCIL/Resources/Files/res/2017/20171205_18-974.pdf" TargetMode="External"/><Relationship Id="rId5" Type="http://schemas.openxmlformats.org/officeDocument/2006/relationships/webSettings" Target="webSettings.xml"/><Relationship Id="rId90" Type="http://schemas.openxmlformats.org/officeDocument/2006/relationships/hyperlink" Target="https://www.nrel.gov/research/re-net-zero-buildings.html" TargetMode="External"/><Relationship Id="rId95" Type="http://schemas.openxmlformats.org/officeDocument/2006/relationships/hyperlink" Target="https://www.sierraclub.org/sites/www.sierraclub.org/files/sce/southeastern-pennsylvania-group/Paula/MCG-Pathways-to-100-Energy-Supply-Transformation-Primer-for-Cities%281%29.pdf" TargetMode="External"/><Relationship Id="rId160" Type="http://schemas.openxmlformats.org/officeDocument/2006/relationships/hyperlink" Target="https://www.globalcovenantofmayors.org/" TargetMode="External"/><Relationship Id="rId165" Type="http://schemas.openxmlformats.org/officeDocument/2006/relationships/hyperlink" Target="https://www.c40.org/" TargetMode="External"/><Relationship Id="rId181" Type="http://schemas.openxmlformats.org/officeDocument/2006/relationships/hyperlink" Target="https://mde.maryland.gov/programs/Air/ClimateChange/RGGI/Pages/index-old.aspx" TargetMode="External"/><Relationship Id="rId186" Type="http://schemas.openxmlformats.org/officeDocument/2006/relationships/hyperlink" Target="http://mgaleg.maryland.gov/webmga/frmMain.aspx?id=hb1453&amp;stab=01&amp;pid=billpage&amp;tab=subject3&amp;ys=2018RS" TargetMode="External"/><Relationship Id="rId22" Type="http://schemas.openxmlformats.org/officeDocument/2006/relationships/hyperlink" Target="https://www.worldbank.org/en/programs/pricing-carbon" TargetMode="External"/><Relationship Id="rId27" Type="http://schemas.openxmlformats.org/officeDocument/2006/relationships/hyperlink" Target="https://www.epa.gov/greeningepa/renewable-energy-epa" TargetMode="External"/><Relationship Id="rId43" Type="http://schemas.openxmlformats.org/officeDocument/2006/relationships/hyperlink" Target="https://www.chargepoint.com/blog/contractors-guide-ev-ready-building-codes/" TargetMode="External"/><Relationship Id="rId48" Type="http://schemas.openxmlformats.org/officeDocument/2006/relationships/hyperlink" Target="https://www.bbc.com/news/science-environment-11833685" TargetMode="External"/><Relationship Id="rId64" Type="http://schemas.openxmlformats.org/officeDocument/2006/relationships/hyperlink" Target="https://www.nssl.noaa.gov/education/svrwx101/winter/types/" TargetMode="External"/><Relationship Id="rId69" Type="http://schemas.openxmlformats.org/officeDocument/2006/relationships/hyperlink" Target="https://www.epa.gov/smartgrowth/green-building-standards" TargetMode="External"/><Relationship Id="rId113" Type="http://schemas.openxmlformats.org/officeDocument/2006/relationships/hyperlink" Target="https://www.nrel.gov/state-local-tribal/blog/posts/solar-ready-building-design-a-summary-of-technical-considerations.html" TargetMode="External"/><Relationship Id="rId118" Type="http://schemas.openxmlformats.org/officeDocument/2006/relationships/hyperlink" Target="https://www.epa.gov/heatislands/learn-about-heat-islands" TargetMode="External"/><Relationship Id="rId134" Type="http://schemas.openxmlformats.org/officeDocument/2006/relationships/hyperlink" Target="http://doee.dc.gov/sites/default/files/dc/sites/ddoe/publication/attachments/ClimateOfOpportunity_web.pdf" TargetMode="External"/><Relationship Id="rId139" Type="http://schemas.openxmlformats.org/officeDocument/2006/relationships/hyperlink" Target="https://www.rockvillemd.gov/203/Rockville-2040-Comprehensive-Plan-Update" TargetMode="External"/><Relationship Id="rId80" Type="http://schemas.openxmlformats.org/officeDocument/2006/relationships/hyperlink" Target="https://cadmusgroup.com/papers-reports/pathways-to-ev-preparing-cities-for-the-transition-to-electric-vehicles/" TargetMode="External"/><Relationship Id="rId85" Type="http://schemas.openxmlformats.org/officeDocument/2006/relationships/hyperlink" Target="https://living-future.org/programs-overview/" TargetMode="External"/><Relationship Id="rId150" Type="http://schemas.openxmlformats.org/officeDocument/2006/relationships/hyperlink" Target="https://www.montgomerycountymd.gov/COUNCIL/Resources/Files/res/2017/20171205_18-974.pdf" TargetMode="External"/><Relationship Id="rId155" Type="http://schemas.openxmlformats.org/officeDocument/2006/relationships/hyperlink" Target="https://www.alexandriava.gov/Eco-City" TargetMode="External"/><Relationship Id="rId171" Type="http://schemas.openxmlformats.org/officeDocument/2006/relationships/hyperlink" Target="https://www.rggi.org/" TargetMode="External"/><Relationship Id="rId176" Type="http://schemas.openxmlformats.org/officeDocument/2006/relationships/hyperlink" Target="https://www.buildgreendc.org/laws-regs" TargetMode="External"/><Relationship Id="rId192" Type="http://schemas.openxmlformats.org/officeDocument/2006/relationships/hyperlink" Target="http://icleiusa.org/publications/us-community-protocol/" TargetMode="External"/><Relationship Id="rId197" Type="http://schemas.openxmlformats.org/officeDocument/2006/relationships/image" Target="media/image5.emf"/><Relationship Id="rId201" Type="http://schemas.openxmlformats.org/officeDocument/2006/relationships/fontTable" Target="fontTable.xml"/><Relationship Id="rId12" Type="http://schemas.openxmlformats.org/officeDocument/2006/relationships/hyperlink" Target="https://www.globalcovenantofmayors.org/wp-content/uploads/2019/08/Data-TWG_Reporting-Framework_GUIDENCE-NOTE_FINAL.pdf" TargetMode="External"/><Relationship Id="rId17" Type="http://schemas.openxmlformats.org/officeDocument/2006/relationships/hyperlink" Target="https://icleiusa.org/publications/us-community-protocol/" TargetMode="External"/><Relationship Id="rId33" Type="http://schemas.openxmlformats.org/officeDocument/2006/relationships/hyperlink" Target="https://www.epa.gov/greenpower/community-choice-aggregation" TargetMode="External"/><Relationship Id="rId38" Type="http://schemas.openxmlformats.org/officeDocument/2006/relationships/hyperlink" Target="https://www.sierraclub.org/sites/www.sierraclub.org/files/sce/southeastern-pennsylvania-group/Paula/MCG-Pathways-to-100-Energy-Supply-Transformation-Primer-for-Cities%281%29.pdf" TargetMode="External"/><Relationship Id="rId59" Type="http://schemas.openxmlformats.org/officeDocument/2006/relationships/hyperlink" Target="https://www.naacp.org/wp-content/uploads/2016/04/ClimateToolkit_FINAL.pdf" TargetMode="External"/><Relationship Id="rId103" Type="http://schemas.openxmlformats.org/officeDocument/2006/relationships/hyperlink" Target="https://washingtongasdcclimatebusinessplan.com/wp-content/uploads/2020/04/200316-WGL-RNG-Report-FINAL.pdf" TargetMode="External"/><Relationship Id="rId108" Type="http://schemas.openxmlformats.org/officeDocument/2006/relationships/hyperlink" Target="https://afdc.energy.gov/conserve/ridesharing.html" TargetMode="External"/><Relationship Id="rId124" Type="http://schemas.openxmlformats.org/officeDocument/2006/relationships/hyperlink" Target="https://www.zevstates.us/zev-faq/" TargetMode="External"/><Relationship Id="rId129" Type="http://schemas.microsoft.com/office/2016/09/relationships/commentsIds" Target="commentsIds.xml"/><Relationship Id="rId54" Type="http://schemas.openxmlformats.org/officeDocument/2006/relationships/hyperlink" Target="https://www.energy.gov/eere/analysis/energy-intensity-indicators-efficiency-vs-intensity" TargetMode="External"/><Relationship Id="rId70" Type="http://schemas.openxmlformats.org/officeDocument/2006/relationships/hyperlink" Target="https://archive.epa.gov/climatechange/kids/glossary.html" TargetMode="External"/><Relationship Id="rId75" Type="http://schemas.openxmlformats.org/officeDocument/2006/relationships/hyperlink" Target="https://www.energy.gov/energysaver/grid-connected-renewable-energy-systems" TargetMode="External"/><Relationship Id="rId91" Type="http://schemas.openxmlformats.org/officeDocument/2006/relationships/hyperlink" Target="https://www.nrel.gov/docs/fy06osti/39833.pdf" TargetMode="External"/><Relationship Id="rId96" Type="http://schemas.openxmlformats.org/officeDocument/2006/relationships/hyperlink" Target="https://www.globalcovenantofmayors.org/wp-content/uploads/2019/08/Data-TWG_Reporting-Framework_GUIDENCE-NOTE_FINAL.pdf" TargetMode="External"/><Relationship Id="rId140" Type="http://schemas.openxmlformats.org/officeDocument/2006/relationships/hyperlink" Target="http://sm-site-persistent-prod.s3.amazonaws.com/fileadmin/cicbase/documents/2015/6/12/14341402702514.pdf" TargetMode="External"/><Relationship Id="rId145" Type="http://schemas.openxmlformats.org/officeDocument/2006/relationships/hyperlink" Target="http://www.takomapark.info/library/reference/environment/greenhouse.pdf" TargetMode="External"/><Relationship Id="rId161" Type="http://schemas.openxmlformats.org/officeDocument/2006/relationships/hyperlink" Target="https://www.theclimatemobilization.org/climate-emergency-campaign" TargetMode="External"/><Relationship Id="rId166" Type="http://schemas.openxmlformats.org/officeDocument/2006/relationships/hyperlink" Target="https://carbonneutralcities.org/" TargetMode="External"/><Relationship Id="rId182" Type="http://schemas.openxmlformats.org/officeDocument/2006/relationships/hyperlink" Target="https://mde.maryland.gov/programs/Air/MobileSources/Pages/CleanCars.aspx" TargetMode="External"/><Relationship Id="rId187" Type="http://schemas.openxmlformats.org/officeDocument/2006/relationships/hyperlink" Target="https://www.energycodes.gov/adoption/states/marylan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reports.weforum.org/toward-the-circular-economy-accelerating-the-scale-up-across-global-supply-chains/from-linear-to-circular-accelerating-a-proven-concept/" TargetMode="External"/><Relationship Id="rId28" Type="http://schemas.openxmlformats.org/officeDocument/2006/relationships/hyperlink" Target="https://icleiusa.org/publications/us-community-protocol/" TargetMode="External"/><Relationship Id="rId49" Type="http://schemas.openxmlformats.org/officeDocument/2006/relationships/hyperlink" Target="https://www.ipcc.ch/site/assets/uploads/2018/02/WGIIAR5-AnnexII_FINAL.pdf" TargetMode="External"/><Relationship Id="rId114" Type="http://schemas.openxmlformats.org/officeDocument/2006/relationships/hyperlink" Target="https://www.nhc.noaa.gov/surge/" TargetMode="External"/><Relationship Id="rId119" Type="http://schemas.openxmlformats.org/officeDocument/2006/relationships/hyperlink" Target="https://www.transportation.gov/mission/health/vmt-capita" TargetMode="External"/><Relationship Id="rId44" Type="http://schemas.openxmlformats.org/officeDocument/2006/relationships/hyperlink" Target="https://mrelectric.com/what-is-evse" TargetMode="External"/><Relationship Id="rId60" Type="http://schemas.openxmlformats.org/officeDocument/2006/relationships/hyperlink" Target="https://innovation.luskin.ucla.edu/environmental-equity/" TargetMode="External"/><Relationship Id="rId65" Type="http://schemas.openxmlformats.org/officeDocument/2006/relationships/hyperlink" Target="https://www.weather.gov/mrx/flood_and_flash" TargetMode="External"/><Relationship Id="rId81" Type="http://schemas.openxmlformats.org/officeDocument/2006/relationships/hyperlink" Target="https://www.globalcovenantofmayors.org/wp-content/uploads/2019/08/Data-TWG_Reporting-Framework_GUIDENCE-NOTE_FINAL.pdf" TargetMode="External"/><Relationship Id="rId86" Type="http://schemas.openxmlformats.org/officeDocument/2006/relationships/hyperlink" Target="https://www.mwcog.org/documents/2016/3/2/integrated-community-energy-task-force-reports-/" TargetMode="External"/><Relationship Id="rId130" Type="http://schemas.openxmlformats.org/officeDocument/2006/relationships/hyperlink" Target="https://www.mwcog.org/documents/2017/03/23/regional-climate-and-energy-action-plan-climate--energy-climate-change-energy/" TargetMode="External"/><Relationship Id="rId135" Type="http://schemas.openxmlformats.org/officeDocument/2006/relationships/hyperlink" Target="https://www.cityofbowie.org/DocumentCenter/View/10102/2020_CAP" TargetMode="External"/><Relationship Id="rId151" Type="http://schemas.openxmlformats.org/officeDocument/2006/relationships/hyperlink" Target="https://www.wsscwater.com/water-quality--watershed-informa/environmental-protection-and-sus/green-energy/greenhouse-gas-action-plan.html" TargetMode="External"/><Relationship Id="rId156" Type="http://schemas.openxmlformats.org/officeDocument/2006/relationships/hyperlink" Target="http://alexandriava.gov/uploadedFiles/tes/eco-city/DraftEnergyClimateActionPlan03.14.2011.pdf" TargetMode="External"/><Relationship Id="rId177" Type="http://schemas.openxmlformats.org/officeDocument/2006/relationships/hyperlink" Target="https://doee.dc.gov/publication/clean-and-affordable-energy-act-2008" TargetMode="External"/><Relationship Id="rId198" Type="http://schemas.openxmlformats.org/officeDocument/2006/relationships/hyperlink" Target="https://www.mwcog.org/transportation/planning-areas/air-quality-and-environment/air-quality-conformity/" TargetMode="External"/><Relationship Id="rId172" Type="http://schemas.openxmlformats.org/officeDocument/2006/relationships/hyperlink" Target="https://www.transportationandclimate.org/" TargetMode="External"/><Relationship Id="rId193" Type="http://schemas.openxmlformats.org/officeDocument/2006/relationships/hyperlink" Target="https://ghgprotocol.org/greenhouse-gas-protocol-accounting-reporting-standard-cities" TargetMode="External"/><Relationship Id="rId202" Type="http://schemas.microsoft.com/office/2011/relationships/people" Target="people.xml"/><Relationship Id="rId13" Type="http://schemas.openxmlformats.org/officeDocument/2006/relationships/hyperlink" Target="https://www.epa.gov/anaerobic-digestion/basic-information-about-anaerobic-digestion-ad" TargetMode="External"/><Relationship Id="rId18" Type="http://schemas.openxmlformats.org/officeDocument/2006/relationships/hyperlink" Target="http://www.sustainabledc.org/wp-content/uploads/2019/04/sdc-2.0-Edits-V5_web.pdf" TargetMode="External"/><Relationship Id="rId39" Type="http://schemas.openxmlformats.org/officeDocument/2006/relationships/hyperlink" Target="https://www.cdc.gov/nceh/drought/default.htm" TargetMode="External"/><Relationship Id="rId109" Type="http://schemas.openxmlformats.org/officeDocument/2006/relationships/hyperlink" Target="https://www.globalcovenantofmayors.org/wp-content/uploads/2019/08/Data-TWG_Reporting-Framework_GUIDENCE-NOTE_FINAL.pdf" TargetMode="External"/><Relationship Id="rId34" Type="http://schemas.openxmlformats.org/officeDocument/2006/relationships/hyperlink" Target="https://www.sierraclub.org/sites/www.sierraclub.org/files/sce/southeastern-pennsylvania-group/Paula/MCG-Pathways-to-100-Energy-Supply-Transformation-Primer-for-Cities%281%29.pdf" TargetMode="External"/><Relationship Id="rId50" Type="http://schemas.openxmlformats.org/officeDocument/2006/relationships/hyperlink" Target="https://www.mwcog.org/transportation/planning-areas/land-use-coordination/scenario-planning/wwit/" TargetMode="External"/><Relationship Id="rId55" Type="http://schemas.openxmlformats.org/officeDocument/2006/relationships/hyperlink" Target="https://www.covenantofmayors.eu/support/energy-poverty.html" TargetMode="External"/><Relationship Id="rId76" Type="http://schemas.openxmlformats.org/officeDocument/2006/relationships/hyperlink" Target="https://www.globalcovenantofmayors.org/wp-content/uploads/2019/08/Data-TWG_Reporting-Framework_GUIDENCE-NOTE_FINAL.pdf" TargetMode="External"/><Relationship Id="rId97" Type="http://schemas.openxmlformats.org/officeDocument/2006/relationships/hyperlink" Target="https://www.energy.gov/eere/slsc/property-assessed-clean-energy-programs" TargetMode="External"/><Relationship Id="rId104" Type="http://schemas.openxmlformats.org/officeDocument/2006/relationships/hyperlink" Target="https://www.nrel.gov/state-local-tribal/basics-portfolio-standards.html" TargetMode="External"/><Relationship Id="rId120" Type="http://schemas.openxmlformats.org/officeDocument/2006/relationships/hyperlink" Target="https://www.globalcovenantofmayors.org/wp-content/uploads/2019/08/Data-TWG_Reporting-Framework_GUIDENCE-NOTE_FINAL.pdf" TargetMode="External"/><Relationship Id="rId125" Type="http://schemas.openxmlformats.org/officeDocument/2006/relationships/hyperlink" Target="http://zwia.org/zero-waste-definition/" TargetMode="External"/><Relationship Id="rId141" Type="http://schemas.openxmlformats.org/officeDocument/2006/relationships/hyperlink" Target="http://www.rockvillemd.gov/DocumentCenter/View/550" TargetMode="External"/><Relationship Id="rId146" Type="http://schemas.openxmlformats.org/officeDocument/2006/relationships/hyperlink" Target="https://www.frederickcountymd.gov/DocumentCenter/View/327246/072120-Climate-Emergency-Resolution-6-19" TargetMode="External"/><Relationship Id="rId167" Type="http://schemas.openxmlformats.org/officeDocument/2006/relationships/hyperlink" Target="https://www.sierraclub.org/ready-for-100/campaign" TargetMode="External"/><Relationship Id="rId188" Type="http://schemas.openxmlformats.org/officeDocument/2006/relationships/hyperlink" Target="https://www.energycodes.gov/adoption/states/virginia" TargetMode="External"/><Relationship Id="rId7" Type="http://schemas.openxmlformats.org/officeDocument/2006/relationships/endnotes" Target="endnotes.xml"/><Relationship Id="rId71" Type="http://schemas.openxmlformats.org/officeDocument/2006/relationships/hyperlink" Target="https://icleiusa.org/publications/us-community-protocol/" TargetMode="External"/><Relationship Id="rId92" Type="http://schemas.openxmlformats.org/officeDocument/2006/relationships/hyperlink" Target="https://www.epa.gov/sites/production/files/2018-03/documents/gpp_guide_recs_offsets.pdf" TargetMode="External"/><Relationship Id="rId162" Type="http://schemas.openxmlformats.org/officeDocument/2006/relationships/hyperlink" Target="https://www.wearestillin.com/" TargetMode="External"/><Relationship Id="rId183" Type="http://schemas.openxmlformats.org/officeDocument/2006/relationships/hyperlink" Target="https://dgs.maryland.gov/Pages/GreenBuilding/Regulations.aspx" TargetMode="External"/><Relationship Id="rId2" Type="http://schemas.openxmlformats.org/officeDocument/2006/relationships/numbering" Target="numbering.xml"/><Relationship Id="rId29" Type="http://schemas.openxmlformats.org/officeDocument/2006/relationships/hyperlink" Target="https://19january2017snapshot.epa.gov/climatechange/climate-change-basic-information_.html" TargetMode="External"/><Relationship Id="rId24" Type="http://schemas.openxmlformats.org/officeDocument/2006/relationships/hyperlink" Target="https://www.ellenmacarthurfoundation.org/circular-economy/concept" TargetMode="External"/><Relationship Id="rId40" Type="http://schemas.openxmlformats.org/officeDocument/2006/relationships/hyperlink" Target="https://earthcraft.org/who-is-earthcraft/" TargetMode="External"/><Relationship Id="rId45" Type="http://schemas.openxmlformats.org/officeDocument/2006/relationships/hyperlink" Target="https://www.co.imperial.ca.us/AirPollution/Attainment%20Plans/CURRENT%20SIP%20CHAPTERS/OZONE/Chapter%206%20Emission%20Forecast%20Updated%20Nov%2019,%202008.pdf" TargetMode="External"/><Relationship Id="rId66" Type="http://schemas.openxmlformats.org/officeDocument/2006/relationships/hyperlink" Target="https://www.weather.gov/mrx/flood_and_flash" TargetMode="External"/><Relationship Id="rId87" Type="http://schemas.openxmlformats.org/officeDocument/2006/relationships/hyperlink" Target="https://19january2017snapshot.epa.gov/climatechange/glossary-climate-change-terms_.html" TargetMode="External"/><Relationship Id="rId110" Type="http://schemas.openxmlformats.org/officeDocument/2006/relationships/hyperlink" Target="https://www.nssl.noaa.gov/education/svrwx101/floods/types/" TargetMode="External"/><Relationship Id="rId115" Type="http://schemas.openxmlformats.org/officeDocument/2006/relationships/hyperlink" Target="https://rmi.org/insight/virtual-power-purchase-agreement/" TargetMode="External"/><Relationship Id="rId131" Type="http://schemas.openxmlformats.org/officeDocument/2006/relationships/hyperlink" Target="http://www.sustainabledc.org/wp-content/uploads/2019/04/sdc-2.0-Edits-V4_web.pdf" TargetMode="External"/><Relationship Id="rId136" Type="http://schemas.openxmlformats.org/officeDocument/2006/relationships/hyperlink" Target="https://www.cityofbowie.org/DocumentCenter/View/2829/2015CAP?bidId=" TargetMode="External"/><Relationship Id="rId157" Type="http://schemas.openxmlformats.org/officeDocument/2006/relationships/hyperlink" Target="http://fallschurchva.gov/DocumentCenter/View/8654/10b6-TR17-11-GHG-Emissions-Reduction-Staff-Report?bidId=" TargetMode="External"/><Relationship Id="rId178" Type="http://schemas.openxmlformats.org/officeDocument/2006/relationships/hyperlink" Target="https://doee.dc.gov/publication/clean-cars-act-2008" TargetMode="External"/><Relationship Id="rId61" Type="http://schemas.openxmlformats.org/officeDocument/2006/relationships/hyperlink" Target="https://www.mwcog.org/transportation/planning-areas/fairness-and-accessibility/environmental-justice/equity-emphasis-areas/" TargetMode="External"/><Relationship Id="rId82" Type="http://schemas.openxmlformats.org/officeDocument/2006/relationships/hyperlink" Target="https://www.unenvironment.org/news-and-stories/press-release/kigali-amendment-hits-milestone-100th-ratification-boosting-climate" TargetMode="External"/><Relationship Id="rId152" Type="http://schemas.openxmlformats.org/officeDocument/2006/relationships/hyperlink" Target="https://environment.arlingtonva.us/energy/community-energy-plan-cep/" TargetMode="External"/><Relationship Id="rId173" Type="http://schemas.openxmlformats.org/officeDocument/2006/relationships/hyperlink" Target="https://www.usgbc.org/leed/rating-systems/leed-for-cities" TargetMode="External"/><Relationship Id="rId194" Type="http://schemas.openxmlformats.org/officeDocument/2006/relationships/image" Target="media/image2.emf"/><Relationship Id="rId199" Type="http://schemas.openxmlformats.org/officeDocument/2006/relationships/header" Target="header1.xml"/><Relationship Id="rId203" Type="http://schemas.openxmlformats.org/officeDocument/2006/relationships/theme" Target="theme/theme1.xml"/><Relationship Id="rId19" Type="http://schemas.openxmlformats.org/officeDocument/2006/relationships/hyperlink" Target="https://cleantechrising.com/whats-the-difference-between-carbon-neutral-zero-carbon-and-negative-emissions/" TargetMode="External"/><Relationship Id="rId14" Type="http://schemas.openxmlformats.org/officeDocument/2006/relationships/hyperlink" Target="https://www.nrel.gov/docs/fy19osti/74426.pdf" TargetMode="External"/><Relationship Id="rId30" Type="http://schemas.openxmlformats.org/officeDocument/2006/relationships/hyperlink" Target="https://www.nssl.noaa.gov/education/svrwx101/floods/types/" TargetMode="External"/><Relationship Id="rId35" Type="http://schemas.openxmlformats.org/officeDocument/2006/relationships/hyperlink" Target="https://www.globalcovenantofmayors.org/wp-content/uploads/2019/08/Data-TWG_Reporting-Framework_GUIDENCE-NOTE_FINAL.pdf" TargetMode="External"/><Relationship Id="rId56" Type="http://schemas.openxmlformats.org/officeDocument/2006/relationships/hyperlink" Target="https://www.energystar.gov/about" TargetMode="External"/><Relationship Id="rId77" Type="http://schemas.openxmlformats.org/officeDocument/2006/relationships/hyperlink" Target="https://www.cdc.gov/climateandhealth/pubs/extreme-heat-guidebook.pdf" TargetMode="External"/><Relationship Id="rId100" Type="http://schemas.openxmlformats.org/officeDocument/2006/relationships/hyperlink" Target="https://www.sierraclub.org/sites/www.sierraclub.org/files/sce/southeastern-pennsylvania-group/Paula/MCG-Pathways-to-100-Energy-Supply-Transformation-Primer-for-Cities%281%29.pdf" TargetMode="External"/><Relationship Id="rId105" Type="http://schemas.openxmlformats.org/officeDocument/2006/relationships/hyperlink" Target="https://www.globalcovenantofmayors.org/wp-content/uploads/2019/08/Data-TWG_Reporting-Framework_GUIDENCE-NOTE_FINAL.pdf" TargetMode="External"/><Relationship Id="rId126" Type="http://schemas.openxmlformats.org/officeDocument/2006/relationships/hyperlink" Target="https://www.mwcog.org/documents/2017/03/23/regional-climate-and-energy-action-plan-climate--energy-climate-change-energy/" TargetMode="External"/><Relationship Id="rId147" Type="http://schemas.openxmlformats.org/officeDocument/2006/relationships/hyperlink" Target="https://frederickcountymd.gov/DocumentCenter/View/298543/SustainabilityPlan07012017?bidId=" TargetMode="External"/><Relationship Id="rId168" Type="http://schemas.openxmlformats.org/officeDocument/2006/relationships/hyperlink" Target="https://www.worldgbc.org/thecommitment" TargetMode="External"/><Relationship Id="rId8" Type="http://schemas.openxmlformats.org/officeDocument/2006/relationships/footer" Target="footer1.xml"/><Relationship Id="rId51" Type="http://schemas.openxmlformats.org/officeDocument/2006/relationships/hyperlink" Target="https://www.worldbank.org/en/programs/pricing-carbon" TargetMode="External"/><Relationship Id="rId72" Type="http://schemas.openxmlformats.org/officeDocument/2006/relationships/hyperlink" Target="https://icleiusa.org/publications/us-community-protocol/" TargetMode="External"/><Relationship Id="rId93" Type="http://schemas.openxmlformats.org/officeDocument/2006/relationships/hyperlink" Target="https://www.epa.gov/recycle/composting-home" TargetMode="External"/><Relationship Id="rId98" Type="http://schemas.openxmlformats.org/officeDocument/2006/relationships/hyperlink" Target="https://www.epa.gov/recycle/recycling-basics" TargetMode="External"/><Relationship Id="rId121" Type="http://schemas.openxmlformats.org/officeDocument/2006/relationships/hyperlink" Target="https://www.globalcovenantofmayors.org/wp-content/uploads/2019/04/FINAL_Data-TWG_Reporting-Framework_website_FINAL-13-Sept-2018_for-translation.pdf" TargetMode="External"/><Relationship Id="rId142" Type="http://schemas.openxmlformats.org/officeDocument/2006/relationships/hyperlink" Target="https://takomaparkmd.gov/news/the-city-of-takoma-park-declares-a-climate-emergency/" TargetMode="External"/><Relationship Id="rId163" Type="http://schemas.openxmlformats.org/officeDocument/2006/relationships/hyperlink" Target="http://climatemayors.org/" TargetMode="External"/><Relationship Id="rId184" Type="http://schemas.openxmlformats.org/officeDocument/2006/relationships/hyperlink" Target="https://www.psc.state.md.us/electricity/empower-maryland/" TargetMode="External"/><Relationship Id="rId189" Type="http://schemas.openxmlformats.org/officeDocument/2006/relationships/hyperlink" Target="https://lis.virginia.gov/cgi-bin/legp604.exe?181+sum+SB966" TargetMode="External"/><Relationship Id="rId3" Type="http://schemas.openxmlformats.org/officeDocument/2006/relationships/styles" Target="styles.xml"/><Relationship Id="rId25" Type="http://schemas.openxmlformats.org/officeDocument/2006/relationships/hyperlink" Target="https://web.archive.org/web/20160327113927/http:/www.unep.org/greeneconomy/AboutGEI/WhatisGEI/tabid/29784/Default.aspx" TargetMode="External"/><Relationship Id="rId46" Type="http://schemas.openxmlformats.org/officeDocument/2006/relationships/hyperlink" Target="https://ww2.arb.ca.gov/about/glossary?f%5B0%5D=name%3AE" TargetMode="External"/><Relationship Id="rId67" Type="http://schemas.openxmlformats.org/officeDocument/2006/relationships/hyperlink" Target="https://www.epa.gov/emc/method-22-visual-determination-fugitive-emissions" TargetMode="External"/><Relationship Id="rId116" Type="http://schemas.openxmlformats.org/officeDocument/2006/relationships/hyperlink" Target="https://leveltenenergy.com/blog/energy-procurement/virtual-power-purchase-agreements/" TargetMode="External"/><Relationship Id="rId137" Type="http://schemas.openxmlformats.org/officeDocument/2006/relationships/hyperlink" Target="https://www.cityoffrederickmd.gov/DocumentCenter/View/17972/20-07-Concerning-Climate-Emergency" TargetMode="External"/><Relationship Id="rId158" Type="http://schemas.openxmlformats.org/officeDocument/2006/relationships/hyperlink" Target="http://www.pwcgov.org/government/dept/publicworks/documents/12714.pdf" TargetMode="External"/><Relationship Id="rId20" Type="http://schemas.openxmlformats.org/officeDocument/2006/relationships/hyperlink" Target="https://www.europarl.europa.eu/news/en/headlines/society/20190926STO62270/what-is-carbon-neutrality-and-how-can-it-be-achieved-by-2050" TargetMode="External"/><Relationship Id="rId41" Type="http://schemas.openxmlformats.org/officeDocument/2006/relationships/hyperlink" Target="https://www.epa.gov/greenpower/us-electricity-grid-markets" TargetMode="External"/><Relationship Id="rId62" Type="http://schemas.openxmlformats.org/officeDocument/2006/relationships/hyperlink" Target="https://www.globalcovenantofmayors.org/wp-content/uploads/2019/08/Data-TWG_Reporting-Framework_GUIDENCE-NOTE_FINAL.pdf" TargetMode="External"/><Relationship Id="rId83" Type="http://schemas.openxmlformats.org/officeDocument/2006/relationships/hyperlink" Target="http://leed.usgbc.org/leed.html" TargetMode="External"/><Relationship Id="rId88" Type="http://schemas.openxmlformats.org/officeDocument/2006/relationships/hyperlink" Target="https://www.sierraclub.org/sites/www.sierraclub.org/files/sce/southeastern-pennsylvania-group/Paula/MCG-Pathways-to-100-Energy-Supply-Transformation-Primer-for-Cities%281%29.pdf" TargetMode="External"/><Relationship Id="rId111" Type="http://schemas.openxmlformats.org/officeDocument/2006/relationships/hyperlink" Target="https://www.nssl.noaa.gov/education/svrwx101/thunderstorms/" TargetMode="External"/><Relationship Id="rId132" Type="http://schemas.openxmlformats.org/officeDocument/2006/relationships/hyperlink" Target="http://doee.dc.gov/sites/default/files/dc/sites/ddoe/publication/attachments/Clean_Energy_DC_Summary_Report_2016_FINAL_single_pages.pdf" TargetMode="External"/><Relationship Id="rId153" Type="http://schemas.openxmlformats.org/officeDocument/2006/relationships/hyperlink" Target="https://arlingtonva.s3.dualstack.us-east-1.amazonaws.com/wp-content/uploads/sites/13/2015/08/Arlingtons-Community-Energy-Plan.pdf" TargetMode="External"/><Relationship Id="rId174" Type="http://schemas.openxmlformats.org/officeDocument/2006/relationships/hyperlink" Target="http://sustainablemaryland.com/" TargetMode="External"/><Relationship Id="rId179" Type="http://schemas.openxmlformats.org/officeDocument/2006/relationships/hyperlink" Target="https://www.sustainabledc.org/in-dc/legislation/" TargetMode="External"/><Relationship Id="rId195" Type="http://schemas.openxmlformats.org/officeDocument/2006/relationships/image" Target="media/image3.emf"/><Relationship Id="rId190" Type="http://schemas.openxmlformats.org/officeDocument/2006/relationships/hyperlink" Target="https://www.deq.virginia.gov/ConnectWithDEQ/NewsReleases/CarbonRule.aspx" TargetMode="External"/><Relationship Id="rId15" Type="http://schemas.openxmlformats.org/officeDocument/2006/relationships/hyperlink" Target="https://www.energy.gov/eere/slsc/building-energy-use-benchmarking" TargetMode="External"/><Relationship Id="rId36" Type="http://schemas.openxmlformats.org/officeDocument/2006/relationships/hyperlink" Target="https://www.dhs.gov/topic/critical-infrastructure-security" TargetMode="External"/><Relationship Id="rId57" Type="http://schemas.openxmlformats.org/officeDocument/2006/relationships/hyperlink" Target="https://www.energystar.gov/buildings/facility-owners-and-managers/existing-buildings/use-portfolio-manager/understand-metrics/what-energy" TargetMode="External"/><Relationship Id="rId106" Type="http://schemas.openxmlformats.org/officeDocument/2006/relationships/hyperlink" Target="https://19january2017snapshot.epa.gov/climatechange/glossary-climate-change-terms_.html" TargetMode="External"/><Relationship Id="rId127" Type="http://schemas.openxmlformats.org/officeDocument/2006/relationships/comments" Target="comments.xml"/><Relationship Id="rId10" Type="http://schemas.openxmlformats.org/officeDocument/2006/relationships/hyperlink" Target="https://www.globalcovenantofmayors.org/wp-content/uploads/2019/08/Data-TWG_Reporting-Framework_GUIDENCE-NOTE_FINAL.pdf" TargetMode="External"/><Relationship Id="rId31" Type="http://schemas.openxmlformats.org/officeDocument/2006/relationships/hyperlink" Target="https://19january2017snapshot.epa.gov/climatechange/glossary-climate-change-terms_.html" TargetMode="External"/><Relationship Id="rId52" Type="http://schemas.openxmlformats.org/officeDocument/2006/relationships/hyperlink" Target="https://www.globalcovenantofmayors.org/our-initiatives/data4cities/common-global-reporting-framework/" TargetMode="External"/><Relationship Id="rId73" Type="http://schemas.openxmlformats.org/officeDocument/2006/relationships/hyperlink" Target="http://coalitionforgreencapital.com/whats-a-green-bank-html/" TargetMode="External"/><Relationship Id="rId78" Type="http://schemas.openxmlformats.org/officeDocument/2006/relationships/hyperlink" Target="https://scijinks.gov/heat/" TargetMode="External"/><Relationship Id="rId94" Type="http://schemas.openxmlformats.org/officeDocument/2006/relationships/hyperlink" Target="https://www.phius.org/about/mission-history" TargetMode="External"/><Relationship Id="rId99" Type="http://schemas.openxmlformats.org/officeDocument/2006/relationships/hyperlink" Target="https://www.epa.gov/sites/production/files/2017-06/documents/guide_action_full.pdf" TargetMode="External"/><Relationship Id="rId101" Type="http://schemas.openxmlformats.org/officeDocument/2006/relationships/hyperlink" Target="https://www.epa.gov/sites/production/files/2018-03/documents/gpp_guide_recs_offsets.pdf" TargetMode="External"/><Relationship Id="rId122" Type="http://schemas.openxmlformats.org/officeDocument/2006/relationships/hyperlink" Target="https://www.eia.gov/energyexplained/biomass/waste-to-energy.php" TargetMode="External"/><Relationship Id="rId143" Type="http://schemas.openxmlformats.org/officeDocument/2006/relationships/hyperlink" Target="https://documents.takomaparkmd.gov/government/city-council/agendas/2020/council-20200304-1.pdf" TargetMode="External"/><Relationship Id="rId148" Type="http://schemas.openxmlformats.org/officeDocument/2006/relationships/hyperlink" Target="https://frederickcountymd.gov/DocumentCenter/View/16111/Sustainable-Action-Plan-for-County-Ops_Final072" TargetMode="External"/><Relationship Id="rId164" Type="http://schemas.openxmlformats.org/officeDocument/2006/relationships/hyperlink" Target="https://www.usmayors.org/mayors-climate-protection-center/" TargetMode="External"/><Relationship Id="rId169" Type="http://schemas.openxmlformats.org/officeDocument/2006/relationships/hyperlink" Target="https://www.under2coalition.org/" TargetMode="External"/><Relationship Id="rId185" Type="http://schemas.openxmlformats.org/officeDocument/2006/relationships/hyperlink" Target="https://mde.maryland.gov/programs/Air/ClimateChange/Pages/Reports.aspx" TargetMode="Externa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yperlink" Target="http://lims.dccouncil.us/Legislation/B22-0904?FromSearchResults=true" TargetMode="External"/><Relationship Id="rId26" Type="http://schemas.openxmlformats.org/officeDocument/2006/relationships/hyperlink" Target="https://www.mwcog.org/file.aspx?&amp;A=9yBe6bIwrcYcps5mh55wEjaw369MlbXkhcptFfIhjvU%3d" TargetMode="External"/><Relationship Id="rId47" Type="http://schemas.openxmlformats.org/officeDocument/2006/relationships/hyperlink" Target="https://icleiusa.org/publications/us-community-protocol/" TargetMode="External"/><Relationship Id="rId68" Type="http://schemas.openxmlformats.org/officeDocument/2006/relationships/hyperlink" Target="https://icleiusa.org/publications/us-community-protocol/" TargetMode="External"/><Relationship Id="rId89" Type="http://schemas.openxmlformats.org/officeDocument/2006/relationships/hyperlink" Target="https://aceee.org/files/proceedings/2016/data/papers/10_1034.pdf" TargetMode="External"/><Relationship Id="rId112" Type="http://schemas.openxmlformats.org/officeDocument/2006/relationships/hyperlink" Target="https://www.solarunitedneighbors.org/co-ops/" TargetMode="External"/><Relationship Id="rId133" Type="http://schemas.openxmlformats.org/officeDocument/2006/relationships/hyperlink" Target="http://www.sustainabledc.org/wp-content/uploads/2017/02/Web-Ready-File-2.6.17.pdf" TargetMode="External"/><Relationship Id="rId154" Type="http://schemas.openxmlformats.org/officeDocument/2006/relationships/hyperlink" Target="https://www.alexdems.org/sites/default/files/adc_2019_alexandria_emergency_climate_mobilization.pdf" TargetMode="External"/><Relationship Id="rId175" Type="http://schemas.openxmlformats.org/officeDocument/2006/relationships/hyperlink" Target="http://www.gogreenv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wcog.org\dfs\Common%20COG\oc\Microsoft%20Office%20Templates\COG,%20TPB%20Report%20Templates\COG%20Report%20Template%20A.dotx"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084CD"/>
      </a:dk2>
      <a:lt2>
        <a:srgbClr val="B0D235"/>
      </a:lt2>
      <a:accent1>
        <a:srgbClr val="2F6B97"/>
      </a:accent1>
      <a:accent2>
        <a:srgbClr val="EA4249"/>
      </a:accent2>
      <a:accent3>
        <a:srgbClr val="FAA434"/>
      </a:accent3>
      <a:accent4>
        <a:srgbClr val="546670"/>
      </a:accent4>
      <a:accent5>
        <a:srgbClr val="FFFFFF"/>
      </a:accent5>
      <a:accent6>
        <a:srgbClr val="FFFFFF"/>
      </a:accent6>
      <a:hlink>
        <a:srgbClr val="0000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D197-4B27-456A-B60D-C504C370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 Report Template A.dotx</Template>
  <TotalTime>1292</TotalTime>
  <Pages>58</Pages>
  <Words>22123</Words>
  <Characters>126102</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Davis</dc:creator>
  <cp:keywords/>
  <dc:description/>
  <cp:lastModifiedBy>Maia Davis</cp:lastModifiedBy>
  <cp:revision>34</cp:revision>
  <dcterms:created xsi:type="dcterms:W3CDTF">2020-09-15T17:12:00Z</dcterms:created>
  <dcterms:modified xsi:type="dcterms:W3CDTF">2020-09-16T14:43:00Z</dcterms:modified>
</cp:coreProperties>
</file>