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66F4AD4" w14:textId="55317F8B" w:rsidR="00CA16E8" w:rsidRPr="00F01ADF" w:rsidRDefault="00957592" w:rsidP="00E60E57">
      <w:pPr>
        <w:ind w:left="2160"/>
        <w:rPr>
          <w:b/>
          <w:sz w:val="22"/>
          <w:szCs w:val="22"/>
          <w:u w:val="single"/>
        </w:rPr>
      </w:pPr>
      <w:r w:rsidRPr="00F01ADF">
        <w:rPr>
          <w:noProof/>
          <w:u w:val="single"/>
        </w:rPr>
        <mc:AlternateContent>
          <mc:Choice Requires="wps">
            <w:drawing>
              <wp:anchor distT="0" distB="0" distL="114300" distR="114300" simplePos="0" relativeHeight="251658240" behindDoc="0" locked="0" layoutInCell="1" allowOverlap="1" wp14:anchorId="166F4ADB" wp14:editId="166F4ADC">
                <wp:simplePos x="0" y="0"/>
                <wp:positionH relativeFrom="column">
                  <wp:posOffset>-485775</wp:posOffset>
                </wp:positionH>
                <wp:positionV relativeFrom="paragraph">
                  <wp:posOffset>-39370</wp:posOffset>
                </wp:positionV>
                <wp:extent cx="1371600" cy="38265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26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F4AE9" w14:textId="77777777" w:rsidR="00957592" w:rsidRPr="000A1DA8" w:rsidRDefault="00957592" w:rsidP="005D52C3">
                            <w:pPr>
                              <w:spacing w:line="276" w:lineRule="auto"/>
                              <w:rPr>
                                <w:rFonts w:ascii="Myriad Pro" w:hAnsi="Myriad Pro"/>
                                <w:i/>
                                <w:color w:val="404040"/>
                                <w:sz w:val="18"/>
                                <w:szCs w:val="18"/>
                              </w:rPr>
                            </w:pPr>
                            <w:r w:rsidRPr="000A1DA8">
                              <w:rPr>
                                <w:rFonts w:ascii="Myriad Pro" w:hAnsi="Myriad Pro"/>
                                <w:i/>
                                <w:color w:val="404040"/>
                                <w:sz w:val="18"/>
                                <w:szCs w:val="18"/>
                              </w:rPr>
                              <w:t>District of Columbia</w:t>
                            </w:r>
                            <w:r w:rsidRPr="000A1DA8">
                              <w:rPr>
                                <w:rFonts w:ascii="Myriad Pro" w:hAnsi="Myriad Pro"/>
                                <w:i/>
                                <w:color w:val="404040"/>
                                <w:sz w:val="18"/>
                                <w:szCs w:val="18"/>
                              </w:rPr>
                              <w:cr/>
                              <w:t>Bladensburg*</w:t>
                            </w:r>
                            <w:r w:rsidRPr="000A1DA8">
                              <w:rPr>
                                <w:rFonts w:ascii="Myriad Pro" w:hAnsi="Myriad Pro"/>
                                <w:i/>
                                <w:color w:val="404040"/>
                                <w:sz w:val="18"/>
                                <w:szCs w:val="18"/>
                              </w:rPr>
                              <w:cr/>
                              <w:t>Bowie</w:t>
                            </w:r>
                            <w:r w:rsidRPr="000A1DA8">
                              <w:rPr>
                                <w:rFonts w:ascii="Myriad Pro" w:hAnsi="Myriad Pro"/>
                                <w:i/>
                                <w:color w:val="404040"/>
                                <w:sz w:val="18"/>
                                <w:szCs w:val="18"/>
                              </w:rPr>
                              <w:cr/>
                              <w:t>Charles County</w:t>
                            </w:r>
                            <w:r w:rsidRPr="000A1DA8">
                              <w:rPr>
                                <w:rFonts w:ascii="Myriad Pro" w:hAnsi="Myriad Pro"/>
                                <w:i/>
                                <w:color w:val="404040"/>
                                <w:sz w:val="18"/>
                                <w:szCs w:val="18"/>
                              </w:rPr>
                              <w:br/>
                              <w:t>College Park</w:t>
                            </w:r>
                            <w:r w:rsidRPr="000A1DA8">
                              <w:rPr>
                                <w:rFonts w:ascii="Myriad Pro" w:hAnsi="Myriad Pro"/>
                                <w:i/>
                                <w:color w:val="404040"/>
                                <w:sz w:val="18"/>
                                <w:szCs w:val="18"/>
                              </w:rPr>
                              <w:cr/>
                              <w:t>Frederick</w:t>
                            </w:r>
                            <w:r w:rsidRPr="000A1DA8">
                              <w:rPr>
                                <w:rFonts w:ascii="Myriad Pro" w:hAnsi="Myriad Pro"/>
                                <w:i/>
                                <w:color w:val="404040"/>
                                <w:sz w:val="18"/>
                                <w:szCs w:val="18"/>
                              </w:rPr>
                              <w:cr/>
                              <w:t>Frederick County</w:t>
                            </w:r>
                            <w:r w:rsidRPr="000A1DA8">
                              <w:rPr>
                                <w:rFonts w:ascii="Myriad Pro" w:hAnsi="Myriad Pro"/>
                                <w:i/>
                                <w:color w:val="404040"/>
                                <w:sz w:val="18"/>
                                <w:szCs w:val="18"/>
                              </w:rPr>
                              <w:cr/>
                              <w:t>Gaithersburg</w:t>
                            </w:r>
                            <w:r w:rsidRPr="000A1DA8">
                              <w:rPr>
                                <w:rFonts w:ascii="Myriad Pro" w:hAnsi="Myriad Pro"/>
                                <w:i/>
                                <w:color w:val="404040"/>
                                <w:sz w:val="18"/>
                                <w:szCs w:val="18"/>
                              </w:rPr>
                              <w:cr/>
                              <w:t>Greenbelt</w:t>
                            </w:r>
                            <w:r w:rsidRPr="000A1DA8">
                              <w:rPr>
                                <w:rFonts w:ascii="Myriad Pro" w:hAnsi="Myriad Pro"/>
                                <w:i/>
                                <w:color w:val="404040"/>
                                <w:sz w:val="18"/>
                                <w:szCs w:val="18"/>
                              </w:rPr>
                              <w:cr/>
                              <w:t>Montgomery County</w:t>
                            </w:r>
                            <w:r w:rsidRPr="000A1DA8">
                              <w:rPr>
                                <w:rFonts w:ascii="Myriad Pro" w:hAnsi="Myriad Pro"/>
                                <w:i/>
                                <w:color w:val="404040"/>
                                <w:sz w:val="18"/>
                                <w:szCs w:val="18"/>
                              </w:rPr>
                              <w:cr/>
                              <w:t>Prince George’s County</w:t>
                            </w:r>
                            <w:r w:rsidRPr="000A1DA8">
                              <w:rPr>
                                <w:rFonts w:ascii="Myriad Pro" w:hAnsi="Myriad Pro"/>
                                <w:i/>
                                <w:color w:val="404040"/>
                                <w:sz w:val="18"/>
                                <w:szCs w:val="18"/>
                              </w:rPr>
                              <w:cr/>
                              <w:t>Rockville</w:t>
                            </w:r>
                            <w:r w:rsidRPr="000A1DA8">
                              <w:rPr>
                                <w:rFonts w:ascii="Myriad Pro" w:hAnsi="Myriad Pro"/>
                                <w:i/>
                                <w:color w:val="404040"/>
                                <w:sz w:val="18"/>
                                <w:szCs w:val="18"/>
                              </w:rPr>
                              <w:cr/>
                              <w:t>Takoma Park</w:t>
                            </w:r>
                            <w:r w:rsidRPr="000A1DA8">
                              <w:rPr>
                                <w:rFonts w:ascii="Myriad Pro" w:hAnsi="Myriad Pro"/>
                                <w:i/>
                                <w:color w:val="404040"/>
                                <w:sz w:val="18"/>
                                <w:szCs w:val="18"/>
                              </w:rPr>
                              <w:cr/>
                              <w:t>Alexandria</w:t>
                            </w:r>
                            <w:r w:rsidRPr="000A1DA8">
                              <w:rPr>
                                <w:rFonts w:ascii="Myriad Pro" w:hAnsi="Myriad Pro"/>
                                <w:i/>
                                <w:color w:val="404040"/>
                                <w:sz w:val="18"/>
                                <w:szCs w:val="18"/>
                              </w:rPr>
                              <w:cr/>
                              <w:t>Arlington County</w:t>
                            </w:r>
                            <w:r w:rsidRPr="000A1DA8">
                              <w:rPr>
                                <w:rFonts w:ascii="Myriad Pro" w:hAnsi="Myriad Pro"/>
                                <w:i/>
                                <w:color w:val="404040"/>
                                <w:sz w:val="18"/>
                                <w:szCs w:val="18"/>
                              </w:rPr>
                              <w:cr/>
                              <w:t>Fairfax</w:t>
                            </w:r>
                            <w:r w:rsidRPr="000A1DA8">
                              <w:rPr>
                                <w:rFonts w:ascii="Myriad Pro" w:hAnsi="Myriad Pro"/>
                                <w:i/>
                                <w:color w:val="404040"/>
                                <w:sz w:val="18"/>
                                <w:szCs w:val="18"/>
                              </w:rPr>
                              <w:cr/>
                              <w:t>Fairfax County</w:t>
                            </w:r>
                            <w:r w:rsidRPr="000A1DA8">
                              <w:rPr>
                                <w:rFonts w:ascii="Myriad Pro" w:hAnsi="Myriad Pro"/>
                                <w:i/>
                                <w:color w:val="404040"/>
                                <w:sz w:val="18"/>
                                <w:szCs w:val="18"/>
                              </w:rPr>
                              <w:cr/>
                              <w:t>Falls Church</w:t>
                            </w:r>
                            <w:r w:rsidRPr="000A1DA8">
                              <w:rPr>
                                <w:rFonts w:ascii="Myriad Pro" w:hAnsi="Myriad Pro"/>
                                <w:i/>
                                <w:color w:val="404040"/>
                                <w:sz w:val="18"/>
                                <w:szCs w:val="18"/>
                              </w:rPr>
                              <w:cr/>
                              <w:t>Loudoun County</w:t>
                            </w:r>
                            <w:r w:rsidRPr="000A1DA8">
                              <w:rPr>
                                <w:rFonts w:ascii="Myriad Pro" w:hAnsi="Myriad Pro"/>
                                <w:i/>
                                <w:color w:val="404040"/>
                                <w:sz w:val="18"/>
                                <w:szCs w:val="18"/>
                              </w:rPr>
                              <w:cr/>
                              <w:t>Manassas</w:t>
                            </w:r>
                            <w:r w:rsidRPr="000A1DA8">
                              <w:rPr>
                                <w:rFonts w:ascii="Myriad Pro" w:hAnsi="Myriad Pro"/>
                                <w:i/>
                                <w:color w:val="404040"/>
                                <w:sz w:val="18"/>
                                <w:szCs w:val="18"/>
                              </w:rPr>
                              <w:cr/>
                              <w:t>Manassas Park</w:t>
                            </w:r>
                            <w:r w:rsidRPr="000A1DA8">
                              <w:rPr>
                                <w:rFonts w:ascii="Myriad Pro" w:hAnsi="Myriad Pro"/>
                                <w:i/>
                                <w:color w:val="404040"/>
                                <w:sz w:val="18"/>
                                <w:szCs w:val="18"/>
                              </w:rPr>
                              <w:cr/>
                              <w:t>Prince William County</w:t>
                            </w:r>
                            <w:r w:rsidRPr="000A1DA8">
                              <w:rPr>
                                <w:rFonts w:ascii="Myriad Pro" w:hAnsi="Myriad Pro"/>
                                <w:i/>
                                <w:color w:val="404040"/>
                                <w:sz w:val="18"/>
                                <w:szCs w:val="18"/>
                              </w:rPr>
                              <w:cr/>
                            </w:r>
                            <w:r w:rsidRPr="000A1DA8">
                              <w:rPr>
                                <w:rFonts w:ascii="Myriad Pro" w:hAnsi="Myriad Pro"/>
                                <w:i/>
                                <w:color w:val="404040"/>
                                <w:sz w:val="18"/>
                                <w:szCs w:val="18"/>
                              </w:rPr>
                              <w:cr/>
                              <w:t>*Adjunct Member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8.25pt;margin-top:-3.1pt;width:108pt;height:30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" stroked="f">
                <v:textbox style="mso-fit-shape-to-text:t">
                  <w:txbxContent>
                    <w:p w:rsidR="00957592" w:rsidRPr="000A1DA8" w:rsidRDefault="00957592" w:rsidP="005D52C3">
                      <w:pPr>
                        <w:spacing w:line="276" w:lineRule="auto"/>
                        <w:rPr>
                          <w:rFonts w:ascii="Myriad Pro" w:hAnsi="Myriad Pro"/>
                          <w:i/>
                          <w:color w:val="404040"/>
                          <w:sz w:val="18"/>
                          <w:szCs w:val="18"/>
                        </w:rPr>
                      </w:pPr>
                      <w:r w:rsidRPr="000A1DA8">
                        <w:rPr>
                          <w:rFonts w:ascii="Myriad Pro" w:hAnsi="Myriad Pro"/>
                          <w:i/>
                          <w:color w:val="404040"/>
                          <w:sz w:val="18"/>
                          <w:szCs w:val="18"/>
                        </w:rPr>
                        <w:t>District of Columbia</w:t>
                      </w:r>
                      <w:r w:rsidRPr="000A1DA8">
                        <w:rPr>
                          <w:rFonts w:ascii="Myriad Pro" w:hAnsi="Myriad Pro"/>
                          <w:i/>
                          <w:color w:val="404040"/>
                          <w:sz w:val="18"/>
                          <w:szCs w:val="18"/>
                        </w:rPr>
                        <w:cr/>
                        <w:t>Bladensburg*</w:t>
                      </w:r>
                      <w:r w:rsidRPr="000A1DA8">
                        <w:rPr>
                          <w:rFonts w:ascii="Myriad Pro" w:hAnsi="Myriad Pro"/>
                          <w:i/>
                          <w:color w:val="404040"/>
                          <w:sz w:val="18"/>
                          <w:szCs w:val="18"/>
                        </w:rPr>
                        <w:cr/>
                        <w:t>Bowie</w:t>
                      </w:r>
                      <w:r w:rsidRPr="000A1DA8">
                        <w:rPr>
                          <w:rFonts w:ascii="Myriad Pro" w:hAnsi="Myriad Pro"/>
                          <w:i/>
                          <w:color w:val="404040"/>
                          <w:sz w:val="18"/>
                          <w:szCs w:val="18"/>
                        </w:rPr>
                        <w:cr/>
                        <w:t>Charles County</w:t>
                      </w:r>
                      <w:r w:rsidRPr="000A1DA8">
                        <w:rPr>
                          <w:rFonts w:ascii="Myriad Pro" w:hAnsi="Myriad Pro"/>
                          <w:i/>
                          <w:color w:val="404040"/>
                          <w:sz w:val="18"/>
                          <w:szCs w:val="18"/>
                        </w:rPr>
                        <w:br/>
                        <w:t>College Park</w:t>
                      </w:r>
                      <w:r w:rsidRPr="000A1DA8">
                        <w:rPr>
                          <w:rFonts w:ascii="Myriad Pro" w:hAnsi="Myriad Pro"/>
                          <w:i/>
                          <w:color w:val="404040"/>
                          <w:sz w:val="18"/>
                          <w:szCs w:val="18"/>
                        </w:rPr>
                        <w:cr/>
                        <w:t>Frederick</w:t>
                      </w:r>
                      <w:r w:rsidRPr="000A1DA8">
                        <w:rPr>
                          <w:rFonts w:ascii="Myriad Pro" w:hAnsi="Myriad Pro"/>
                          <w:i/>
                          <w:color w:val="404040"/>
                          <w:sz w:val="18"/>
                          <w:szCs w:val="18"/>
                        </w:rPr>
                        <w:cr/>
                        <w:t>Frederick County</w:t>
                      </w:r>
                      <w:r w:rsidRPr="000A1DA8">
                        <w:rPr>
                          <w:rFonts w:ascii="Myriad Pro" w:hAnsi="Myriad Pro"/>
                          <w:i/>
                          <w:color w:val="404040"/>
                          <w:sz w:val="18"/>
                          <w:szCs w:val="18"/>
                        </w:rPr>
                        <w:cr/>
                        <w:t>Gaithersburg</w:t>
                      </w:r>
                      <w:r w:rsidRPr="000A1DA8">
                        <w:rPr>
                          <w:rFonts w:ascii="Myriad Pro" w:hAnsi="Myriad Pro"/>
                          <w:i/>
                          <w:color w:val="404040"/>
                          <w:sz w:val="18"/>
                          <w:szCs w:val="18"/>
                        </w:rPr>
                        <w:cr/>
                        <w:t>Greenbelt</w:t>
                      </w:r>
                      <w:r w:rsidRPr="000A1DA8">
                        <w:rPr>
                          <w:rFonts w:ascii="Myriad Pro" w:hAnsi="Myriad Pro"/>
                          <w:i/>
                          <w:color w:val="404040"/>
                          <w:sz w:val="18"/>
                          <w:szCs w:val="18"/>
                        </w:rPr>
                        <w:cr/>
                        <w:t>Montgomery County</w:t>
                      </w:r>
                      <w:r w:rsidRPr="000A1DA8">
                        <w:rPr>
                          <w:rFonts w:ascii="Myriad Pro" w:hAnsi="Myriad Pro"/>
                          <w:i/>
                          <w:color w:val="404040"/>
                          <w:sz w:val="18"/>
                          <w:szCs w:val="18"/>
                        </w:rPr>
                        <w:cr/>
                        <w:t>Prince George’s County</w:t>
                      </w:r>
                      <w:r w:rsidRPr="000A1DA8">
                        <w:rPr>
                          <w:rFonts w:ascii="Myriad Pro" w:hAnsi="Myriad Pro"/>
                          <w:i/>
                          <w:color w:val="404040"/>
                          <w:sz w:val="18"/>
                          <w:szCs w:val="18"/>
                        </w:rPr>
                        <w:cr/>
                        <w:t>Rockville</w:t>
                      </w:r>
                      <w:r w:rsidRPr="000A1DA8">
                        <w:rPr>
                          <w:rFonts w:ascii="Myriad Pro" w:hAnsi="Myriad Pro"/>
                          <w:i/>
                          <w:color w:val="404040"/>
                          <w:sz w:val="18"/>
                          <w:szCs w:val="18"/>
                        </w:rPr>
                        <w:cr/>
                        <w:t>Takoma Park</w:t>
                      </w:r>
                      <w:r w:rsidRPr="000A1DA8">
                        <w:rPr>
                          <w:rFonts w:ascii="Myriad Pro" w:hAnsi="Myriad Pro"/>
                          <w:i/>
                          <w:color w:val="404040"/>
                          <w:sz w:val="18"/>
                          <w:szCs w:val="18"/>
                        </w:rPr>
                        <w:cr/>
                        <w:t>Alexandria</w:t>
                      </w:r>
                      <w:r w:rsidRPr="000A1DA8">
                        <w:rPr>
                          <w:rFonts w:ascii="Myriad Pro" w:hAnsi="Myriad Pro"/>
                          <w:i/>
                          <w:color w:val="404040"/>
                          <w:sz w:val="18"/>
                          <w:szCs w:val="18"/>
                        </w:rPr>
                        <w:cr/>
                        <w:t>Arlington County</w:t>
                      </w:r>
                      <w:r w:rsidRPr="000A1DA8">
                        <w:rPr>
                          <w:rFonts w:ascii="Myriad Pro" w:hAnsi="Myriad Pro"/>
                          <w:i/>
                          <w:color w:val="404040"/>
                          <w:sz w:val="18"/>
                          <w:szCs w:val="18"/>
                        </w:rPr>
                        <w:cr/>
                        <w:t>Fairfax</w:t>
                      </w:r>
                      <w:r w:rsidRPr="000A1DA8">
                        <w:rPr>
                          <w:rFonts w:ascii="Myriad Pro" w:hAnsi="Myriad Pro"/>
                          <w:i/>
                          <w:color w:val="404040"/>
                          <w:sz w:val="18"/>
                          <w:szCs w:val="18"/>
                        </w:rPr>
                        <w:cr/>
                        <w:t>Fairfax County</w:t>
                      </w:r>
                      <w:r w:rsidRPr="000A1DA8">
                        <w:rPr>
                          <w:rFonts w:ascii="Myriad Pro" w:hAnsi="Myriad Pro"/>
                          <w:i/>
                          <w:color w:val="404040"/>
                          <w:sz w:val="18"/>
                          <w:szCs w:val="18"/>
                        </w:rPr>
                        <w:cr/>
                        <w:t>Falls Church</w:t>
                      </w:r>
                      <w:r w:rsidRPr="000A1DA8">
                        <w:rPr>
                          <w:rFonts w:ascii="Myriad Pro" w:hAnsi="Myriad Pro"/>
                          <w:i/>
                          <w:color w:val="404040"/>
                          <w:sz w:val="18"/>
                          <w:szCs w:val="18"/>
                        </w:rPr>
                        <w:cr/>
                        <w:t>Loudoun County</w:t>
                      </w:r>
                      <w:r w:rsidRPr="000A1DA8">
                        <w:rPr>
                          <w:rFonts w:ascii="Myriad Pro" w:hAnsi="Myriad Pro"/>
                          <w:i/>
                          <w:color w:val="404040"/>
                          <w:sz w:val="18"/>
                          <w:szCs w:val="18"/>
                        </w:rPr>
                        <w:cr/>
                        <w:t>Manassas</w:t>
                      </w:r>
                      <w:r w:rsidRPr="000A1DA8">
                        <w:rPr>
                          <w:rFonts w:ascii="Myriad Pro" w:hAnsi="Myriad Pro"/>
                          <w:i/>
                          <w:color w:val="404040"/>
                          <w:sz w:val="18"/>
                          <w:szCs w:val="18"/>
                        </w:rPr>
                        <w:cr/>
                        <w:t>Manassas Park</w:t>
                      </w:r>
                      <w:r w:rsidRPr="000A1DA8">
                        <w:rPr>
                          <w:rFonts w:ascii="Myriad Pro" w:hAnsi="Myriad Pro"/>
                          <w:i/>
                          <w:color w:val="404040"/>
                          <w:sz w:val="18"/>
                          <w:szCs w:val="18"/>
                        </w:rPr>
                        <w:cr/>
                        <w:t>Prince William County</w:t>
                      </w:r>
                      <w:r w:rsidRPr="000A1DA8">
                        <w:rPr>
                          <w:rFonts w:ascii="Myriad Pro" w:hAnsi="Myriad Pro"/>
                          <w:i/>
                          <w:color w:val="404040"/>
                          <w:sz w:val="18"/>
                          <w:szCs w:val="18"/>
                        </w:rPr>
                        <w:cr/>
                      </w:r>
                      <w:r w:rsidRPr="000A1DA8">
                        <w:rPr>
                          <w:rFonts w:ascii="Myriad Pro" w:hAnsi="Myriad Pro"/>
                          <w:i/>
                          <w:color w:val="404040"/>
                          <w:sz w:val="18"/>
                          <w:szCs w:val="18"/>
                        </w:rPr>
                        <w:cr/>
                        <w:t>*Adjunct Member</w:t>
                      </w:r>
                    </w:p>
                  </w:txbxContent>
                </v:textbox>
              </v:shape>
            </w:pict>
          </mc:Fallback>
        </mc:AlternateContent>
      </w:r>
      <w:r w:rsidR="00F01ADF" w:rsidRPr="00F01ADF">
        <w:rPr>
          <w:b/>
          <w:sz w:val="22"/>
          <w:szCs w:val="22"/>
          <w:u w:val="single"/>
        </w:rPr>
        <w:t xml:space="preserve">COG </w:t>
      </w:r>
      <w:r w:rsidR="007E122A">
        <w:rPr>
          <w:b/>
          <w:sz w:val="22"/>
          <w:szCs w:val="22"/>
          <w:u w:val="single"/>
        </w:rPr>
        <w:t>Emergency</w:t>
      </w:r>
      <w:r w:rsidR="00017AC5">
        <w:rPr>
          <w:b/>
          <w:sz w:val="22"/>
          <w:szCs w:val="22"/>
          <w:u w:val="single"/>
        </w:rPr>
        <w:t xml:space="preserve"> </w:t>
      </w:r>
      <w:r w:rsidR="007E122A">
        <w:rPr>
          <w:b/>
          <w:sz w:val="22"/>
          <w:szCs w:val="22"/>
          <w:u w:val="single"/>
        </w:rPr>
        <w:t>Managers</w:t>
      </w:r>
      <w:r w:rsidR="00017AC5">
        <w:rPr>
          <w:b/>
          <w:sz w:val="22"/>
          <w:szCs w:val="22"/>
          <w:u w:val="single"/>
        </w:rPr>
        <w:t xml:space="preserve"> Committee</w:t>
      </w:r>
    </w:p>
    <w:p w14:paraId="1E6F207E" w14:textId="283E4822" w:rsidR="00F01ADF" w:rsidRDefault="00F01ADF" w:rsidP="00F01ADF">
      <w:pPr>
        <w:rPr>
          <w:b/>
          <w:sz w:val="22"/>
          <w:szCs w:val="22"/>
        </w:rPr>
      </w:pPr>
      <w:r>
        <w:rPr>
          <w:b/>
          <w:sz w:val="22"/>
          <w:szCs w:val="22"/>
        </w:rPr>
        <w:tab/>
      </w:r>
    </w:p>
    <w:p w14:paraId="78620954" w14:textId="5BDD3905" w:rsidR="00F01ADF" w:rsidRDefault="00F01ADF" w:rsidP="00F01ADF">
      <w:pPr>
        <w:rPr>
          <w:b/>
          <w:sz w:val="22"/>
          <w:szCs w:val="22"/>
        </w:rPr>
      </w:pPr>
      <w:r>
        <w:rPr>
          <w:b/>
          <w:sz w:val="22"/>
          <w:szCs w:val="22"/>
        </w:rPr>
        <w:tab/>
      </w:r>
      <w:r>
        <w:rPr>
          <w:b/>
          <w:sz w:val="22"/>
          <w:szCs w:val="22"/>
        </w:rPr>
        <w:tab/>
      </w:r>
    </w:p>
    <w:p w14:paraId="23885BA6" w14:textId="1E8B1D0B" w:rsidR="00F01ADF" w:rsidRDefault="00F01ADF" w:rsidP="00F01ADF">
      <w:pPr>
        <w:rPr>
          <w:b/>
          <w:i/>
          <w:sz w:val="22"/>
          <w:szCs w:val="22"/>
        </w:rPr>
      </w:pPr>
      <w:r>
        <w:rPr>
          <w:b/>
          <w:sz w:val="22"/>
          <w:szCs w:val="22"/>
        </w:rPr>
        <w:tab/>
      </w:r>
      <w:r>
        <w:rPr>
          <w:b/>
          <w:sz w:val="22"/>
          <w:szCs w:val="22"/>
        </w:rPr>
        <w:tab/>
      </w:r>
      <w:r w:rsidRPr="00F01ADF">
        <w:rPr>
          <w:b/>
          <w:i/>
          <w:sz w:val="22"/>
          <w:szCs w:val="22"/>
        </w:rPr>
        <w:t>2014 Accomplishments:</w:t>
      </w:r>
    </w:p>
    <w:p w14:paraId="68813E3D" w14:textId="77777777" w:rsidR="003C15EA" w:rsidRPr="00F01ADF" w:rsidRDefault="003C15EA" w:rsidP="00F01ADF">
      <w:pPr>
        <w:rPr>
          <w:b/>
          <w:i/>
          <w:sz w:val="22"/>
          <w:szCs w:val="22"/>
        </w:rPr>
      </w:pPr>
    </w:p>
    <w:p w14:paraId="4B402435" w14:textId="4EF653E6" w:rsidR="006C4284" w:rsidRDefault="006C4284" w:rsidP="00634498">
      <w:pPr>
        <w:pStyle w:val="ListParagraph"/>
        <w:numPr>
          <w:ilvl w:val="0"/>
          <w:numId w:val="1"/>
        </w:numPr>
        <w:rPr>
          <w:sz w:val="22"/>
          <w:szCs w:val="22"/>
        </w:rPr>
      </w:pPr>
      <w:r>
        <w:rPr>
          <w:sz w:val="22"/>
          <w:szCs w:val="22"/>
        </w:rPr>
        <w:t>Coordinated the Regional Planners to facilitate the completion of the 2014 NCR Threat and Hazard Identification and Risk Assessment (THIRA).</w:t>
      </w:r>
    </w:p>
    <w:p w14:paraId="5A1E1E7F" w14:textId="7B1F1B38" w:rsidR="00D65352" w:rsidRDefault="00D65352" w:rsidP="00634498">
      <w:pPr>
        <w:pStyle w:val="ListParagraph"/>
        <w:numPr>
          <w:ilvl w:val="0"/>
          <w:numId w:val="1"/>
        </w:numPr>
        <w:rPr>
          <w:sz w:val="22"/>
          <w:szCs w:val="22"/>
        </w:rPr>
      </w:pPr>
      <w:r>
        <w:rPr>
          <w:sz w:val="22"/>
          <w:szCs w:val="22"/>
        </w:rPr>
        <w:t xml:space="preserve">Continued to develop </w:t>
      </w:r>
      <w:r w:rsidR="006C4284">
        <w:rPr>
          <w:sz w:val="22"/>
          <w:szCs w:val="22"/>
        </w:rPr>
        <w:t>regional</w:t>
      </w:r>
      <w:r>
        <w:rPr>
          <w:sz w:val="22"/>
          <w:szCs w:val="22"/>
        </w:rPr>
        <w:t xml:space="preserve"> dashboard capabilities so that </w:t>
      </w:r>
      <w:r w:rsidR="006C4284">
        <w:rPr>
          <w:sz w:val="22"/>
          <w:szCs w:val="22"/>
        </w:rPr>
        <w:t>senior officials</w:t>
      </w:r>
      <w:r>
        <w:rPr>
          <w:sz w:val="22"/>
          <w:szCs w:val="22"/>
        </w:rPr>
        <w:t xml:space="preserve"> can utilize stronger tools for </w:t>
      </w:r>
      <w:r w:rsidR="006C4284">
        <w:rPr>
          <w:sz w:val="22"/>
          <w:szCs w:val="22"/>
        </w:rPr>
        <w:t>maintaining situational awareness.</w:t>
      </w:r>
    </w:p>
    <w:p w14:paraId="048A74D4" w14:textId="1F0F3C8A" w:rsidR="00D65352" w:rsidRDefault="00D65352" w:rsidP="00634498">
      <w:pPr>
        <w:pStyle w:val="ListParagraph"/>
        <w:numPr>
          <w:ilvl w:val="0"/>
          <w:numId w:val="1"/>
        </w:numPr>
        <w:rPr>
          <w:sz w:val="22"/>
          <w:szCs w:val="22"/>
        </w:rPr>
      </w:pPr>
      <w:r>
        <w:rPr>
          <w:sz w:val="22"/>
          <w:szCs w:val="22"/>
        </w:rPr>
        <w:t>Conducted three school preparedness workshops</w:t>
      </w:r>
      <w:r w:rsidR="004544B5">
        <w:rPr>
          <w:sz w:val="22"/>
          <w:szCs w:val="22"/>
        </w:rPr>
        <w:t xml:space="preserve"> involving senior officials from regional schools to educate them on important considerations for school preparedness plans.  </w:t>
      </w:r>
    </w:p>
    <w:p w14:paraId="10AF613D" w14:textId="6F64D080" w:rsidR="00D65352" w:rsidRDefault="00B84150" w:rsidP="00634498">
      <w:pPr>
        <w:pStyle w:val="ListParagraph"/>
        <w:numPr>
          <w:ilvl w:val="0"/>
          <w:numId w:val="1"/>
        </w:numPr>
        <w:rPr>
          <w:sz w:val="22"/>
          <w:szCs w:val="22"/>
        </w:rPr>
      </w:pPr>
      <w:r>
        <w:rPr>
          <w:sz w:val="22"/>
          <w:szCs w:val="22"/>
        </w:rPr>
        <w:t>Collaborated with water utility personnel to examine regional planning for large scale water outages, including the need to update regional water outage plans, the review of existing plans and capabilities, and the major elements to be considered in updating the regional plan for a water outage.</w:t>
      </w:r>
    </w:p>
    <w:p w14:paraId="65FA4FD0" w14:textId="6091D829" w:rsidR="00D65352" w:rsidRDefault="00D65352" w:rsidP="00634498">
      <w:pPr>
        <w:pStyle w:val="ListParagraph"/>
        <w:numPr>
          <w:ilvl w:val="0"/>
          <w:numId w:val="1"/>
        </w:numPr>
        <w:rPr>
          <w:sz w:val="22"/>
          <w:szCs w:val="22"/>
        </w:rPr>
      </w:pPr>
      <w:r>
        <w:rPr>
          <w:sz w:val="22"/>
          <w:szCs w:val="22"/>
        </w:rPr>
        <w:t>Collabor</w:t>
      </w:r>
      <w:r w:rsidR="00B84150">
        <w:rPr>
          <w:sz w:val="22"/>
          <w:szCs w:val="22"/>
        </w:rPr>
        <w:t>ated with the Chief Information</w:t>
      </w:r>
      <w:r>
        <w:rPr>
          <w:sz w:val="22"/>
          <w:szCs w:val="22"/>
        </w:rPr>
        <w:t xml:space="preserve"> Officers and Chief Information Security Officers to develop a </w:t>
      </w:r>
      <w:r w:rsidR="00355BCF">
        <w:rPr>
          <w:sz w:val="22"/>
          <w:szCs w:val="22"/>
        </w:rPr>
        <w:t xml:space="preserve">draft </w:t>
      </w:r>
      <w:r>
        <w:rPr>
          <w:sz w:val="22"/>
          <w:szCs w:val="22"/>
        </w:rPr>
        <w:t xml:space="preserve">Cybersecurity </w:t>
      </w:r>
      <w:r w:rsidR="00355BCF">
        <w:rPr>
          <w:sz w:val="22"/>
          <w:szCs w:val="22"/>
        </w:rPr>
        <w:t>annex to Regional Emergency Coordination Plan that will be tested by a series of cybersecurity workshops.</w:t>
      </w:r>
    </w:p>
    <w:p w14:paraId="18C7C307" w14:textId="53C86E66" w:rsidR="00B84150" w:rsidRPr="006C4284" w:rsidRDefault="007D630D" w:rsidP="006C4284">
      <w:pPr>
        <w:pStyle w:val="ListParagraph"/>
        <w:numPr>
          <w:ilvl w:val="0"/>
          <w:numId w:val="1"/>
        </w:numPr>
        <w:rPr>
          <w:sz w:val="22"/>
          <w:szCs w:val="22"/>
        </w:rPr>
      </w:pPr>
      <w:r>
        <w:rPr>
          <w:sz w:val="22"/>
          <w:szCs w:val="22"/>
        </w:rPr>
        <w:t xml:space="preserve">Worked with Federal partners from FEMA to conduct a Catastrophic </w:t>
      </w:r>
      <w:r w:rsidR="00B84150">
        <w:rPr>
          <w:sz w:val="22"/>
          <w:szCs w:val="22"/>
        </w:rPr>
        <w:t>Aviation</w:t>
      </w:r>
      <w:r>
        <w:rPr>
          <w:sz w:val="22"/>
          <w:szCs w:val="22"/>
        </w:rPr>
        <w:t xml:space="preserve"> Incident Response</w:t>
      </w:r>
      <w:r w:rsidR="00B84150">
        <w:rPr>
          <w:sz w:val="22"/>
          <w:szCs w:val="22"/>
        </w:rPr>
        <w:t xml:space="preserve"> T</w:t>
      </w:r>
      <w:r>
        <w:rPr>
          <w:sz w:val="22"/>
          <w:szCs w:val="22"/>
        </w:rPr>
        <w:t>abletop Exercise to discuss and review the coordination efforts required in response to a catastrophic aviation incident in the NCR.</w:t>
      </w:r>
    </w:p>
    <w:p w14:paraId="4894EC15" w14:textId="0B9F8B5B" w:rsidR="00F24986" w:rsidRDefault="007E122A" w:rsidP="00634498">
      <w:pPr>
        <w:pStyle w:val="ListParagraph"/>
        <w:numPr>
          <w:ilvl w:val="0"/>
          <w:numId w:val="1"/>
        </w:numPr>
        <w:rPr>
          <w:sz w:val="22"/>
          <w:szCs w:val="22"/>
        </w:rPr>
      </w:pPr>
      <w:r>
        <w:rPr>
          <w:sz w:val="22"/>
          <w:szCs w:val="22"/>
        </w:rPr>
        <w:t xml:space="preserve">Worked with regional personnel to obtain the DNDO’s </w:t>
      </w:r>
      <w:proofErr w:type="gramStart"/>
      <w:r>
        <w:rPr>
          <w:sz w:val="22"/>
          <w:szCs w:val="22"/>
        </w:rPr>
        <w:t>Securing</w:t>
      </w:r>
      <w:proofErr w:type="gramEnd"/>
      <w:r>
        <w:rPr>
          <w:sz w:val="22"/>
          <w:szCs w:val="22"/>
        </w:rPr>
        <w:t xml:space="preserve"> the Cities (STC) grant award</w:t>
      </w:r>
      <w:r w:rsidR="00AC5ADE">
        <w:rPr>
          <w:sz w:val="22"/>
          <w:szCs w:val="22"/>
        </w:rPr>
        <w:t xml:space="preserve"> which </w:t>
      </w:r>
      <w:r>
        <w:rPr>
          <w:sz w:val="22"/>
          <w:szCs w:val="22"/>
        </w:rPr>
        <w:t>is intended to enhance</w:t>
      </w:r>
      <w:r w:rsidR="00AD63A4">
        <w:rPr>
          <w:sz w:val="22"/>
          <w:szCs w:val="22"/>
        </w:rPr>
        <w:t xml:space="preserve"> the region’s capabilities to detect a</w:t>
      </w:r>
      <w:r>
        <w:rPr>
          <w:sz w:val="22"/>
          <w:szCs w:val="22"/>
        </w:rPr>
        <w:t>nd protect against radiological/</w:t>
      </w:r>
      <w:r w:rsidR="00AD63A4">
        <w:rPr>
          <w:sz w:val="22"/>
          <w:szCs w:val="22"/>
        </w:rPr>
        <w:t>nuclear threats to the NCR.</w:t>
      </w:r>
    </w:p>
    <w:p w14:paraId="0E47542F" w14:textId="1C238F7A" w:rsidR="002A1587" w:rsidRDefault="003D12E3" w:rsidP="00634498">
      <w:pPr>
        <w:pStyle w:val="ListParagraph"/>
        <w:numPr>
          <w:ilvl w:val="0"/>
          <w:numId w:val="1"/>
        </w:numPr>
        <w:rPr>
          <w:sz w:val="22"/>
          <w:szCs w:val="22"/>
        </w:rPr>
      </w:pPr>
      <w:r>
        <w:rPr>
          <w:sz w:val="22"/>
          <w:szCs w:val="22"/>
        </w:rPr>
        <w:t>Conducted</w:t>
      </w:r>
      <w:r w:rsidR="008839E9">
        <w:rPr>
          <w:sz w:val="22"/>
          <w:szCs w:val="22"/>
        </w:rPr>
        <w:t xml:space="preserve"> planning</w:t>
      </w:r>
      <w:r>
        <w:rPr>
          <w:sz w:val="22"/>
          <w:szCs w:val="22"/>
        </w:rPr>
        <w:t xml:space="preserve"> efforts</w:t>
      </w:r>
      <w:r w:rsidR="008839E9">
        <w:rPr>
          <w:sz w:val="22"/>
          <w:szCs w:val="22"/>
        </w:rPr>
        <w:t xml:space="preserve"> for the 2</w:t>
      </w:r>
      <w:r>
        <w:rPr>
          <w:sz w:val="22"/>
          <w:szCs w:val="22"/>
        </w:rPr>
        <w:t>015 World Police and Fire Games</w:t>
      </w:r>
      <w:r w:rsidR="007D52E2">
        <w:rPr>
          <w:sz w:val="22"/>
          <w:szCs w:val="22"/>
        </w:rPr>
        <w:t>.</w:t>
      </w:r>
    </w:p>
    <w:p w14:paraId="681CBFC8" w14:textId="77777777" w:rsidR="00F01ADF" w:rsidRDefault="00F01ADF" w:rsidP="00F01ADF">
      <w:pPr>
        <w:rPr>
          <w:sz w:val="22"/>
          <w:szCs w:val="22"/>
        </w:rPr>
      </w:pPr>
    </w:p>
    <w:p w14:paraId="31F6429C" w14:textId="4C46341F" w:rsidR="00F01ADF" w:rsidRPr="00F01ADF" w:rsidRDefault="00F01ADF" w:rsidP="00F01ADF">
      <w:pPr>
        <w:rPr>
          <w:b/>
          <w:i/>
          <w:sz w:val="22"/>
          <w:szCs w:val="22"/>
        </w:rPr>
      </w:pPr>
      <w:r>
        <w:rPr>
          <w:sz w:val="22"/>
          <w:szCs w:val="22"/>
        </w:rPr>
        <w:tab/>
      </w:r>
      <w:r>
        <w:rPr>
          <w:sz w:val="22"/>
          <w:szCs w:val="22"/>
        </w:rPr>
        <w:tab/>
      </w:r>
      <w:r w:rsidRPr="00F01ADF">
        <w:rPr>
          <w:b/>
          <w:i/>
          <w:sz w:val="22"/>
          <w:szCs w:val="22"/>
        </w:rPr>
        <w:t>2015 Work Plan Priorities:</w:t>
      </w:r>
    </w:p>
    <w:p w14:paraId="5313B781" w14:textId="2E152565" w:rsidR="00F01ADF" w:rsidRDefault="00F01ADF" w:rsidP="00F01ADF">
      <w:pPr>
        <w:rPr>
          <w:sz w:val="22"/>
          <w:szCs w:val="22"/>
        </w:rPr>
      </w:pPr>
    </w:p>
    <w:p w14:paraId="6486D615" w14:textId="68F9034B" w:rsidR="00EB4542" w:rsidRDefault="00EB4542" w:rsidP="00FE4D92">
      <w:pPr>
        <w:pStyle w:val="ListParagraph"/>
        <w:numPr>
          <w:ilvl w:val="0"/>
          <w:numId w:val="2"/>
        </w:numPr>
        <w:rPr>
          <w:sz w:val="22"/>
          <w:szCs w:val="22"/>
        </w:rPr>
      </w:pPr>
      <w:r>
        <w:rPr>
          <w:sz w:val="22"/>
          <w:szCs w:val="22"/>
        </w:rPr>
        <w:t>Continue to leverage existing assets and look for opportunities to expand the capabilities of the regional dashboard for situational awareness.</w:t>
      </w:r>
    </w:p>
    <w:p w14:paraId="798A7BCE" w14:textId="6E4F16B8" w:rsidR="00D65352" w:rsidRDefault="00EB4542" w:rsidP="00EB4542">
      <w:pPr>
        <w:pStyle w:val="ListParagraph"/>
        <w:numPr>
          <w:ilvl w:val="0"/>
          <w:numId w:val="2"/>
        </w:numPr>
        <w:rPr>
          <w:sz w:val="22"/>
          <w:szCs w:val="22"/>
        </w:rPr>
      </w:pPr>
      <w:r>
        <w:rPr>
          <w:sz w:val="22"/>
          <w:szCs w:val="22"/>
        </w:rPr>
        <w:t>Collaborate with Fire Chiefs, Police Chiefs, and other necessary disciplines to ensure a robust regional training and exercise plan focusing on the highest priority areas in need of training.</w:t>
      </w:r>
    </w:p>
    <w:p w14:paraId="6B27934B" w14:textId="5145AB16" w:rsidR="00EB4542" w:rsidRPr="00EB4542" w:rsidRDefault="00EB4542" w:rsidP="00EB4542">
      <w:pPr>
        <w:pStyle w:val="ListParagraph"/>
        <w:numPr>
          <w:ilvl w:val="0"/>
          <w:numId w:val="2"/>
        </w:numPr>
        <w:rPr>
          <w:sz w:val="22"/>
          <w:szCs w:val="22"/>
        </w:rPr>
      </w:pPr>
      <w:r>
        <w:rPr>
          <w:sz w:val="22"/>
          <w:szCs w:val="22"/>
        </w:rPr>
        <w:t xml:space="preserve">Establish a planning calendar indicating the highest planning priorities for the Regional Planners.    </w:t>
      </w:r>
    </w:p>
    <w:p w14:paraId="52804CBB" w14:textId="46B7ED2C" w:rsidR="00FC0467" w:rsidRDefault="00AF1AA1" w:rsidP="00FE4D92">
      <w:pPr>
        <w:pStyle w:val="ListParagraph"/>
        <w:numPr>
          <w:ilvl w:val="0"/>
          <w:numId w:val="2"/>
        </w:numPr>
        <w:rPr>
          <w:sz w:val="22"/>
          <w:szCs w:val="22"/>
        </w:rPr>
      </w:pPr>
      <w:r>
        <w:rPr>
          <w:sz w:val="22"/>
          <w:szCs w:val="22"/>
        </w:rPr>
        <w:t xml:space="preserve">Finalize all necessary </w:t>
      </w:r>
      <w:r w:rsidR="00FC0467">
        <w:rPr>
          <w:sz w:val="22"/>
          <w:szCs w:val="22"/>
        </w:rPr>
        <w:t>plan</w:t>
      </w:r>
      <w:r>
        <w:rPr>
          <w:sz w:val="22"/>
          <w:szCs w:val="22"/>
        </w:rPr>
        <w:t>s</w:t>
      </w:r>
      <w:r w:rsidR="00FC0467">
        <w:rPr>
          <w:sz w:val="22"/>
          <w:szCs w:val="22"/>
        </w:rPr>
        <w:t xml:space="preserve"> for</w:t>
      </w:r>
      <w:r>
        <w:rPr>
          <w:sz w:val="22"/>
          <w:szCs w:val="22"/>
        </w:rPr>
        <w:t xml:space="preserve"> the</w:t>
      </w:r>
      <w:r w:rsidR="00FC0467">
        <w:rPr>
          <w:sz w:val="22"/>
          <w:szCs w:val="22"/>
        </w:rPr>
        <w:t xml:space="preserve"> 2015 World Police and Fire Game</w:t>
      </w:r>
      <w:r>
        <w:rPr>
          <w:sz w:val="22"/>
          <w:szCs w:val="22"/>
        </w:rPr>
        <w:t>s.</w:t>
      </w:r>
    </w:p>
    <w:p w14:paraId="62596FD1" w14:textId="77777777" w:rsidR="007D52E2" w:rsidRDefault="007D52E2" w:rsidP="007D52E2">
      <w:pPr>
        <w:pStyle w:val="ListParagraph"/>
        <w:ind w:left="2160"/>
        <w:rPr>
          <w:sz w:val="22"/>
          <w:szCs w:val="22"/>
        </w:rPr>
      </w:pPr>
    </w:p>
    <w:p w14:paraId="5B16CC95" w14:textId="3CB685F0" w:rsidR="00F01ADF" w:rsidRDefault="00F01ADF" w:rsidP="00F01ADF">
      <w:pPr>
        <w:rPr>
          <w:sz w:val="22"/>
          <w:szCs w:val="22"/>
        </w:rPr>
      </w:pPr>
      <w:r>
        <w:rPr>
          <w:sz w:val="22"/>
          <w:szCs w:val="22"/>
        </w:rPr>
        <w:tab/>
      </w:r>
      <w:r>
        <w:rPr>
          <w:sz w:val="22"/>
          <w:szCs w:val="22"/>
        </w:rPr>
        <w:tab/>
      </w:r>
    </w:p>
    <w:p w14:paraId="769F5290" w14:textId="77777777" w:rsidR="00F01ADF" w:rsidRDefault="00F01ADF" w:rsidP="00F01ADF">
      <w:pPr>
        <w:rPr>
          <w:sz w:val="22"/>
          <w:szCs w:val="22"/>
        </w:rPr>
      </w:pPr>
    </w:p>
    <w:p w14:paraId="102114A7" w14:textId="1555E9A4" w:rsidR="00F01ADF" w:rsidRDefault="00F01ADF" w:rsidP="00F01ADF">
      <w:pPr>
        <w:jc w:val="both"/>
        <w:rPr>
          <w:sz w:val="22"/>
          <w:szCs w:val="22"/>
        </w:rPr>
      </w:pPr>
      <w:r>
        <w:rPr>
          <w:sz w:val="22"/>
          <w:szCs w:val="22"/>
        </w:rPr>
        <w:tab/>
      </w:r>
      <w:r>
        <w:rPr>
          <w:sz w:val="22"/>
          <w:szCs w:val="22"/>
        </w:rPr>
        <w:tab/>
      </w:r>
    </w:p>
    <w:p w14:paraId="166F4ADA" w14:textId="25CF23D7" w:rsidR="00CA16E8" w:rsidRPr="00CA16E8" w:rsidRDefault="00AF1AA1" w:rsidP="00AF1AA1">
      <w:pPr>
        <w:jc w:val="both"/>
        <w:rPr>
          <w:sz w:val="22"/>
          <w:szCs w:val="22"/>
        </w:rPr>
      </w:pPr>
      <w:r>
        <w:rPr>
          <w:sz w:val="22"/>
          <w:szCs w:val="22"/>
        </w:rPr>
        <w:tab/>
      </w:r>
    </w:p>
    <w:sectPr w:rsidR="00CA16E8" w:rsidRPr="00CA16E8" w:rsidSect="0095759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2076F" w14:textId="77777777" w:rsidR="009B0531" w:rsidRDefault="009B0531" w:rsidP="00D61078">
      <w:r>
        <w:separator/>
      </w:r>
    </w:p>
  </w:endnote>
  <w:endnote w:type="continuationSeparator" w:id="0">
    <w:p w14:paraId="30858ACB" w14:textId="77777777" w:rsidR="009B0531" w:rsidRDefault="009B0531" w:rsidP="00D6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7D29F" w14:textId="77777777" w:rsidR="00D93412" w:rsidRDefault="00D93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F4AE3" w14:textId="77777777" w:rsidR="005B4556" w:rsidRPr="005B4556" w:rsidRDefault="005B4556" w:rsidP="005B4556">
    <w:pPr>
      <w:pStyle w:val="Footer"/>
      <w:jc w:val="center"/>
      <w:rPr>
        <w:rFonts w:ascii="Myriad Pro" w:hAnsi="Myriad Pro"/>
      </w:rPr>
    </w:pPr>
    <w:r>
      <w:t xml:space="preserve"> </w:t>
    </w:r>
    <w:r w:rsidRPr="005B4556">
      <w:rPr>
        <w:rFonts w:ascii="Myriad Pro" w:hAnsi="Myriad Pro"/>
      </w:rPr>
      <w:t>777 North Capitol Street, NE, Suite 300 Washington, D.C. 20002</w:t>
    </w:r>
  </w:p>
  <w:p w14:paraId="166F4AE4" w14:textId="77777777" w:rsidR="005B4556" w:rsidRPr="005B4556" w:rsidRDefault="005B4556" w:rsidP="005B4556">
    <w:pPr>
      <w:pStyle w:val="Footer"/>
      <w:jc w:val="center"/>
      <w:rPr>
        <w:rFonts w:ascii="Myriad Pro" w:hAnsi="Myriad Pro"/>
      </w:rPr>
    </w:pPr>
    <w:r w:rsidRPr="005B4556">
      <w:rPr>
        <w:rFonts w:ascii="Myriad Pro" w:hAnsi="Myriad Pro"/>
      </w:rPr>
      <w:t>202.962.3200 (Phone)     202.962.2301 (Fax)     202.962.3213 (TDD)</w:t>
    </w:r>
  </w:p>
  <w:p w14:paraId="166F4AE5" w14:textId="77777777" w:rsidR="005B4556" w:rsidRPr="005B4556" w:rsidRDefault="005B4556" w:rsidP="005B4556">
    <w:pPr>
      <w:pStyle w:val="Footer"/>
      <w:jc w:val="center"/>
      <w:rPr>
        <w:rFonts w:ascii="Myriad Pro" w:hAnsi="Myriad Pro"/>
      </w:rPr>
    </w:pPr>
    <w:r w:rsidRPr="005B4556">
      <w:rPr>
        <w:rFonts w:ascii="Myriad Pro" w:hAnsi="Myriad Pro"/>
      </w:rPr>
      <w:t>mwcog</w:t>
    </w:r>
    <w:r w:rsidR="00885A04">
      <w:rPr>
        <w:rFonts w:ascii="Myriad Pro" w:hAnsi="Myriad Pro"/>
      </w:rPr>
      <w:t>.org</w:t>
    </w:r>
  </w:p>
  <w:p w14:paraId="166F4AE6" w14:textId="77777777" w:rsidR="005B4556" w:rsidRDefault="005B45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813BE" w14:textId="77777777" w:rsidR="00D93412" w:rsidRDefault="00D93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FB156" w14:textId="77777777" w:rsidR="009B0531" w:rsidRDefault="009B0531" w:rsidP="00D61078">
      <w:r>
        <w:separator/>
      </w:r>
    </w:p>
  </w:footnote>
  <w:footnote w:type="continuationSeparator" w:id="0">
    <w:p w14:paraId="649AB865" w14:textId="77777777" w:rsidR="009B0531" w:rsidRDefault="009B0531" w:rsidP="00D61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DE290" w14:textId="77777777" w:rsidR="00D93412" w:rsidRDefault="00D93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F4AE1" w14:textId="730C67B2" w:rsidR="00D61078" w:rsidRDefault="00E92F7D" w:rsidP="00E92F7D">
    <w:pPr>
      <w:pStyle w:val="Header"/>
      <w:jc w:val="center"/>
    </w:pPr>
    <w:r>
      <w:rPr>
        <w:noProof/>
      </w:rPr>
      <w:drawing>
        <wp:inline distT="0" distB="0" distL="0" distR="0" wp14:anchorId="166F4AE7" wp14:editId="166F4AE8">
          <wp:extent cx="5407151" cy="146913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eader.jpg"/>
                  <pic:cNvPicPr/>
                </pic:nvPicPr>
                <pic:blipFill>
                  <a:blip r:embed="rId1">
                    <a:extLst>
                      <a:ext uri="{28A0092B-C50C-407E-A947-70E740481C1C}">
                        <a14:useLocalDpi xmlns:a14="http://schemas.microsoft.com/office/drawing/2010/main" val="0"/>
                      </a:ext>
                    </a:extLst>
                  </a:blip>
                  <a:stretch>
                    <a:fillRect/>
                  </a:stretch>
                </pic:blipFill>
                <pic:spPr>
                  <a:xfrm>
                    <a:off x="0" y="0"/>
                    <a:ext cx="5407151" cy="1469136"/>
                  </a:xfrm>
                  <a:prstGeom prst="rect">
                    <a:avLst/>
                  </a:prstGeom>
                </pic:spPr>
              </pic:pic>
            </a:graphicData>
          </a:graphic>
        </wp:inline>
      </w:drawing>
    </w:r>
  </w:p>
  <w:p w14:paraId="166F4AE2" w14:textId="77777777" w:rsidR="00D61078" w:rsidRDefault="00D61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67B24" w14:textId="77777777" w:rsidR="00D93412" w:rsidRDefault="00D93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F3F74"/>
    <w:multiLevelType w:val="hybridMultilevel"/>
    <w:tmpl w:val="0754A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99C25DB"/>
    <w:multiLevelType w:val="hybridMultilevel"/>
    <w:tmpl w:val="1E5618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78"/>
    <w:rsid w:val="00017AC5"/>
    <w:rsid w:val="00046A91"/>
    <w:rsid w:val="00051436"/>
    <w:rsid w:val="000A1DA8"/>
    <w:rsid w:val="001C6180"/>
    <w:rsid w:val="002A1587"/>
    <w:rsid w:val="00321A16"/>
    <w:rsid w:val="00335D76"/>
    <w:rsid w:val="00342128"/>
    <w:rsid w:val="00355BCF"/>
    <w:rsid w:val="003C15EA"/>
    <w:rsid w:val="003D12E3"/>
    <w:rsid w:val="004255B2"/>
    <w:rsid w:val="004544B5"/>
    <w:rsid w:val="00555E87"/>
    <w:rsid w:val="005B4556"/>
    <w:rsid w:val="00634498"/>
    <w:rsid w:val="00684E3F"/>
    <w:rsid w:val="006A160F"/>
    <w:rsid w:val="006C4284"/>
    <w:rsid w:val="006F0703"/>
    <w:rsid w:val="007D52E2"/>
    <w:rsid w:val="007D630D"/>
    <w:rsid w:val="007E122A"/>
    <w:rsid w:val="0088300E"/>
    <w:rsid w:val="008839E9"/>
    <w:rsid w:val="00885A04"/>
    <w:rsid w:val="009114AF"/>
    <w:rsid w:val="00957592"/>
    <w:rsid w:val="009B0531"/>
    <w:rsid w:val="00A33CCB"/>
    <w:rsid w:val="00A802F5"/>
    <w:rsid w:val="00A85592"/>
    <w:rsid w:val="00AA7B19"/>
    <w:rsid w:val="00AC5ADE"/>
    <w:rsid w:val="00AD63A4"/>
    <w:rsid w:val="00AF1AA1"/>
    <w:rsid w:val="00B6604C"/>
    <w:rsid w:val="00B84150"/>
    <w:rsid w:val="00BA6C80"/>
    <w:rsid w:val="00C01905"/>
    <w:rsid w:val="00C76FB5"/>
    <w:rsid w:val="00CA16E8"/>
    <w:rsid w:val="00CC05BB"/>
    <w:rsid w:val="00D61078"/>
    <w:rsid w:val="00D65352"/>
    <w:rsid w:val="00D93412"/>
    <w:rsid w:val="00DD78AD"/>
    <w:rsid w:val="00E60E57"/>
    <w:rsid w:val="00E92F7D"/>
    <w:rsid w:val="00EB4542"/>
    <w:rsid w:val="00EC2F30"/>
    <w:rsid w:val="00F01ADF"/>
    <w:rsid w:val="00F02B0A"/>
    <w:rsid w:val="00F24986"/>
    <w:rsid w:val="00F670F5"/>
    <w:rsid w:val="00FA35BE"/>
    <w:rsid w:val="00FC0467"/>
    <w:rsid w:val="00FC202A"/>
    <w:rsid w:val="00FE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6F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9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07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61078"/>
  </w:style>
  <w:style w:type="paragraph" w:styleId="Footer">
    <w:name w:val="footer"/>
    <w:basedOn w:val="Normal"/>
    <w:link w:val="FooterChar"/>
    <w:uiPriority w:val="99"/>
    <w:unhideWhenUsed/>
    <w:rsid w:val="00D6107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61078"/>
  </w:style>
  <w:style w:type="paragraph" w:styleId="BalloonText">
    <w:name w:val="Balloon Text"/>
    <w:basedOn w:val="Normal"/>
    <w:link w:val="BalloonTextChar"/>
    <w:uiPriority w:val="99"/>
    <w:semiHidden/>
    <w:unhideWhenUsed/>
    <w:rsid w:val="00D61078"/>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61078"/>
    <w:rPr>
      <w:rFonts w:ascii="Tahoma" w:hAnsi="Tahoma" w:cs="Tahoma"/>
      <w:sz w:val="16"/>
      <w:szCs w:val="16"/>
    </w:rPr>
  </w:style>
  <w:style w:type="character" w:styleId="Hyperlink">
    <w:name w:val="Hyperlink"/>
    <w:rsid w:val="00957592"/>
    <w:rPr>
      <w:color w:val="0000FF"/>
      <w:u w:val="single"/>
    </w:rPr>
  </w:style>
  <w:style w:type="paragraph" w:styleId="ListParagraph">
    <w:name w:val="List Paragraph"/>
    <w:basedOn w:val="Normal"/>
    <w:uiPriority w:val="34"/>
    <w:qFormat/>
    <w:rsid w:val="00F01A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9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07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61078"/>
  </w:style>
  <w:style w:type="paragraph" w:styleId="Footer">
    <w:name w:val="footer"/>
    <w:basedOn w:val="Normal"/>
    <w:link w:val="FooterChar"/>
    <w:uiPriority w:val="99"/>
    <w:unhideWhenUsed/>
    <w:rsid w:val="00D6107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61078"/>
  </w:style>
  <w:style w:type="paragraph" w:styleId="BalloonText">
    <w:name w:val="Balloon Text"/>
    <w:basedOn w:val="Normal"/>
    <w:link w:val="BalloonTextChar"/>
    <w:uiPriority w:val="99"/>
    <w:semiHidden/>
    <w:unhideWhenUsed/>
    <w:rsid w:val="00D61078"/>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61078"/>
    <w:rPr>
      <w:rFonts w:ascii="Tahoma" w:hAnsi="Tahoma" w:cs="Tahoma"/>
      <w:sz w:val="16"/>
      <w:szCs w:val="16"/>
    </w:rPr>
  </w:style>
  <w:style w:type="character" w:styleId="Hyperlink">
    <w:name w:val="Hyperlink"/>
    <w:rsid w:val="00957592"/>
    <w:rPr>
      <w:color w:val="0000FF"/>
      <w:u w:val="single"/>
    </w:rPr>
  </w:style>
  <w:style w:type="paragraph" w:styleId="ListParagraph">
    <w:name w:val="List Paragraph"/>
    <w:basedOn w:val="Normal"/>
    <w:uiPriority w:val="34"/>
    <w:qFormat/>
    <w:rsid w:val="00F01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6C36E046DFC458E085BA39BEA6548" ma:contentTypeVersion="1" ma:contentTypeDescription="Create a new document." ma:contentTypeScope="" ma:versionID="8ce22e638a68c2dc7746c5174bcae3cd">
  <xsd:schema xmlns:xsd="http://www.w3.org/2001/XMLSchema" xmlns:p="http://schemas.microsoft.com/office/2006/metadata/properties" xmlns:ns2="93b7553b-98aa-4b36-8812-f8e31911a9c5" targetNamespace="http://schemas.microsoft.com/office/2006/metadata/properties" ma:root="true" ma:fieldsID="3dc689a599d30c4bece40f1a32f48956" ns2:_="">
    <xsd:import namespace="93b7553b-98aa-4b36-8812-f8e31911a9c5"/>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93b7553b-98aa-4b36-8812-f8e31911a9c5" elementFormDefault="qualified">
    <xsd:import namespace="http://schemas.microsoft.com/office/2006/documentManagement/types"/>
    <xsd:element name="Description0" ma:index="8"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scription0 xmlns="93b7553b-98aa-4b36-8812-f8e31911a9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F163D-637B-4197-8074-FBF9C245610E}">
  <ds:schemaRefs>
    <ds:schemaRef ds:uri="http://schemas.microsoft.com/sharepoint/v3/contenttype/forms"/>
  </ds:schemaRefs>
</ds:datastoreItem>
</file>

<file path=customXml/itemProps2.xml><?xml version="1.0" encoding="utf-8"?>
<ds:datastoreItem xmlns:ds="http://schemas.openxmlformats.org/officeDocument/2006/customXml" ds:itemID="{D68C6E56-3FEF-464A-B79B-82512827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7553b-98aa-4b36-8812-f8e31911a9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F5758B2-4776-45A1-A461-6875146D746C}">
  <ds:schemaRefs>
    <ds:schemaRef ds:uri="93b7553b-98aa-4b36-8812-f8e31911a9c5"/>
    <ds:schemaRef ds:uri="http://purl.org/dc/elements/1.1/"/>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0425226-452D-4BE1-BAD5-A5DE53A2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COG Letterhead</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dc:title>
  <dc:creator>Matthew Kroneberger</dc:creator>
  <cp:lastModifiedBy>Timothy Schaible</cp:lastModifiedBy>
  <cp:revision>3</cp:revision>
  <cp:lastPrinted>2015-02-13T18:31:00Z</cp:lastPrinted>
  <dcterms:created xsi:type="dcterms:W3CDTF">2015-02-13T19:53:00Z</dcterms:created>
  <dcterms:modified xsi:type="dcterms:W3CDTF">2015-02-13T19:53:00Z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0x01010097D6C36E046DFC458E085BA39BEA6548</vt:lpwstr>
  </property>
</Properties>
</file>