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27" w:type="dxa"/>
        <w:tblInd w:w="108" w:type="dxa"/>
        <w:tblLayout w:type="fixed"/>
        <w:tblLook w:val="04A0"/>
      </w:tblPr>
      <w:tblGrid>
        <w:gridCol w:w="8127"/>
        <w:gridCol w:w="2800"/>
      </w:tblGrid>
      <w:tr w:rsidR="00006698" w:rsidTr="006D52E6">
        <w:trPr>
          <w:trHeight w:val="1713"/>
        </w:trPr>
        <w:tc>
          <w:tcPr>
            <w:tcW w:w="8127" w:type="dxa"/>
          </w:tcPr>
          <w:p w:rsidR="00006698" w:rsidRPr="006D52E6" w:rsidRDefault="00006698" w:rsidP="00006698">
            <w:pPr>
              <w:pStyle w:val="NoSpacing"/>
              <w:jc w:val="center"/>
              <w:rPr>
                <w:rFonts w:ascii="Calibri" w:hAnsi="Calibri" w:cs="Calibri"/>
                <w:b/>
                <w:sz w:val="44"/>
                <w:szCs w:val="44"/>
              </w:rPr>
            </w:pPr>
            <w:r w:rsidRPr="006D52E6">
              <w:rPr>
                <w:rFonts w:ascii="Calibri" w:hAnsi="Calibri" w:cs="Calibri"/>
                <w:b/>
                <w:sz w:val="44"/>
                <w:szCs w:val="44"/>
              </w:rPr>
              <w:t>Take Part in a</w:t>
            </w:r>
            <w:r w:rsidR="006D52E6" w:rsidRPr="006D52E6">
              <w:rPr>
                <w:rFonts w:ascii="Calibri" w:hAnsi="Calibri" w:cs="Calibri"/>
                <w:b/>
                <w:sz w:val="44"/>
                <w:szCs w:val="44"/>
              </w:rPr>
              <w:t xml:space="preserve"> Unique Opportunity </w:t>
            </w:r>
            <w:r w:rsidRPr="006D52E6">
              <w:rPr>
                <w:rFonts w:ascii="Calibri" w:hAnsi="Calibri" w:cs="Calibri"/>
                <w:b/>
                <w:sz w:val="44"/>
                <w:szCs w:val="44"/>
              </w:rPr>
              <w:t>Influence National Energy Efficiency Policy</w:t>
            </w:r>
          </w:p>
          <w:p w:rsidR="00006698" w:rsidRPr="006D52E6" w:rsidRDefault="00006698" w:rsidP="006D52E6">
            <w:pPr>
              <w:pStyle w:val="NoSpacing"/>
              <w:jc w:val="center"/>
              <w:rPr>
                <w:rFonts w:ascii="Calibri" w:hAnsi="Calibri" w:cs="Calibri"/>
                <w:b/>
                <w:sz w:val="28"/>
                <w:szCs w:val="28"/>
              </w:rPr>
            </w:pPr>
            <w:r w:rsidRPr="006D52E6">
              <w:rPr>
                <w:rFonts w:ascii="Calibri" w:hAnsi="Calibri" w:cs="Calibri"/>
                <w:b/>
                <w:sz w:val="28"/>
                <w:szCs w:val="28"/>
              </w:rPr>
              <w:t>Make sure your jurisdiction is represented at the most important</w:t>
            </w:r>
          </w:p>
          <w:p w:rsidR="00006698" w:rsidRPr="00702B3E" w:rsidRDefault="00006698" w:rsidP="006D52E6">
            <w:pPr>
              <w:pStyle w:val="NoSpacing"/>
              <w:jc w:val="center"/>
              <w:rPr>
                <w:rFonts w:cstheme="minorHAnsi"/>
                <w:b/>
              </w:rPr>
            </w:pPr>
            <w:r w:rsidRPr="006D52E6">
              <w:rPr>
                <w:rFonts w:ascii="Calibri" w:hAnsi="Calibri" w:cs="Calibri"/>
                <w:b/>
                <w:sz w:val="28"/>
                <w:szCs w:val="28"/>
              </w:rPr>
              <w:t>Energy and Environmental Vote of 2010!</w:t>
            </w:r>
          </w:p>
        </w:tc>
        <w:tc>
          <w:tcPr>
            <w:tcW w:w="2800" w:type="dxa"/>
          </w:tcPr>
          <w:p w:rsidR="00006698" w:rsidRDefault="00006698" w:rsidP="00365AEE">
            <w:pPr>
              <w:pStyle w:val="NoSpacing"/>
              <w:rPr>
                <w:b/>
                <w:sz w:val="20"/>
                <w:szCs w:val="20"/>
              </w:rPr>
            </w:pPr>
            <w:r w:rsidRPr="007B3DAE">
              <w:rPr>
                <w:b/>
                <w:noProof/>
                <w:sz w:val="24"/>
                <w:szCs w:val="24"/>
              </w:rPr>
              <w:drawing>
                <wp:inline distT="0" distB="0" distL="0" distR="0">
                  <wp:extent cx="1586030" cy="1187532"/>
                  <wp:effectExtent l="19050" t="0" r="0" b="0"/>
                  <wp:docPr id="74" name="Picture 0" descr="co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 logo.jpg"/>
                          <pic:cNvPicPr/>
                        </pic:nvPicPr>
                        <pic:blipFill>
                          <a:blip r:embed="rId8" cstate="print"/>
                          <a:stretch>
                            <a:fillRect/>
                          </a:stretch>
                        </pic:blipFill>
                        <pic:spPr>
                          <a:xfrm>
                            <a:off x="0" y="0"/>
                            <a:ext cx="1586030" cy="1187532"/>
                          </a:xfrm>
                          <a:prstGeom prst="rect">
                            <a:avLst/>
                          </a:prstGeom>
                        </pic:spPr>
                      </pic:pic>
                    </a:graphicData>
                  </a:graphic>
                </wp:inline>
              </w:drawing>
            </w:r>
          </w:p>
        </w:tc>
      </w:tr>
    </w:tbl>
    <w:p w:rsidR="00672FA1" w:rsidRPr="00702B3E" w:rsidRDefault="00672FA1" w:rsidP="00702B3E">
      <w:pPr>
        <w:pStyle w:val="NoSpacing"/>
        <w:rPr>
          <w:rFonts w:cstheme="minorHAnsi"/>
          <w:b/>
        </w:rPr>
      </w:pPr>
    </w:p>
    <w:p w:rsidR="00365AEE" w:rsidRPr="00702B3E" w:rsidRDefault="00365AEE" w:rsidP="00365AEE">
      <w:pPr>
        <w:pStyle w:val="NoSpacing"/>
        <w:ind w:left="720" w:hanging="720"/>
        <w:rPr>
          <w:rFonts w:cstheme="minorHAnsi"/>
        </w:rPr>
      </w:pPr>
      <w:r w:rsidRPr="00702B3E">
        <w:rPr>
          <w:rFonts w:cstheme="minorHAnsi"/>
          <w:b/>
        </w:rPr>
        <w:t>What:</w:t>
      </w:r>
      <w:r w:rsidRPr="00702B3E">
        <w:rPr>
          <w:rFonts w:cstheme="minorHAnsi"/>
        </w:rPr>
        <w:t xml:space="preserve">  </w:t>
      </w:r>
      <w:r>
        <w:rPr>
          <w:rFonts w:cstheme="minorHAnsi"/>
        </w:rPr>
        <w:tab/>
      </w:r>
      <w:r w:rsidRPr="00702B3E">
        <w:rPr>
          <w:rFonts w:cstheme="minorHAnsi"/>
        </w:rPr>
        <w:t>The International Code Council (ICC) is holding Final Action Hearings on the 2012 International Energy Conservation Code (IECC) – the model building energy code for all states and jurisdictions in the U.S.</w:t>
      </w:r>
    </w:p>
    <w:p w:rsidR="00365AEE" w:rsidRPr="00702B3E" w:rsidRDefault="00365AEE" w:rsidP="00365AEE">
      <w:pPr>
        <w:pStyle w:val="ListParagraph"/>
        <w:ind w:hanging="720"/>
        <w:rPr>
          <w:rFonts w:cstheme="minorHAnsi"/>
          <w:sz w:val="22"/>
          <w:szCs w:val="22"/>
        </w:rPr>
      </w:pPr>
      <w:r>
        <w:rPr>
          <w:rFonts w:asciiTheme="minorHAnsi" w:hAnsiTheme="minorHAnsi" w:cstheme="minorHAnsi"/>
          <w:b/>
          <w:sz w:val="22"/>
          <w:szCs w:val="22"/>
        </w:rPr>
        <w:t>W</w:t>
      </w:r>
      <w:r w:rsidRPr="00702B3E">
        <w:rPr>
          <w:rFonts w:asciiTheme="minorHAnsi" w:hAnsiTheme="minorHAnsi" w:cstheme="minorHAnsi"/>
          <w:b/>
          <w:sz w:val="22"/>
          <w:szCs w:val="22"/>
        </w:rPr>
        <w:t>hen:</w:t>
      </w:r>
      <w:r w:rsidRPr="00702B3E">
        <w:rPr>
          <w:rFonts w:cstheme="minorHAnsi"/>
          <w:b/>
          <w:sz w:val="22"/>
          <w:szCs w:val="22"/>
        </w:rPr>
        <w:t xml:space="preserve"> </w:t>
      </w:r>
      <w:r w:rsidRPr="00702B3E">
        <w:rPr>
          <w:rFonts w:asciiTheme="minorHAnsi" w:hAnsiTheme="minorHAnsi" w:cstheme="minorHAnsi"/>
          <w:sz w:val="22"/>
          <w:szCs w:val="22"/>
        </w:rPr>
        <w:t xml:space="preserve"> </w:t>
      </w:r>
      <w:r>
        <w:rPr>
          <w:rFonts w:asciiTheme="minorHAnsi" w:hAnsiTheme="minorHAnsi" w:cstheme="minorHAnsi"/>
          <w:sz w:val="22"/>
          <w:szCs w:val="22"/>
        </w:rPr>
        <w:tab/>
      </w:r>
      <w:r w:rsidRPr="00702B3E">
        <w:rPr>
          <w:rFonts w:asciiTheme="minorHAnsi" w:hAnsiTheme="minorHAnsi" w:cstheme="minorHAnsi"/>
          <w:sz w:val="22"/>
          <w:szCs w:val="22"/>
        </w:rPr>
        <w:t>October 25-31, 2010</w:t>
      </w:r>
      <w:r w:rsidRPr="00702B3E">
        <w:rPr>
          <w:rFonts w:cstheme="minorHAnsi"/>
          <w:sz w:val="22"/>
          <w:szCs w:val="22"/>
        </w:rPr>
        <w:t xml:space="preserve"> – </w:t>
      </w:r>
      <w:r w:rsidRPr="00702B3E">
        <w:rPr>
          <w:rFonts w:ascii="Calibri" w:hAnsi="Calibri" w:cs="Calibri"/>
          <w:sz w:val="22"/>
          <w:szCs w:val="22"/>
        </w:rPr>
        <w:t>Voting members may only need to be in Charlotte for 3-5 days in order to be present for critical votes depending on the</w:t>
      </w:r>
      <w:r w:rsidRPr="00702B3E">
        <w:rPr>
          <w:rStyle w:val="apple-converted-space"/>
          <w:rFonts w:ascii="Calibri" w:hAnsi="Calibri" w:cs="Calibri"/>
          <w:sz w:val="22"/>
          <w:szCs w:val="22"/>
        </w:rPr>
        <w:t> </w:t>
      </w:r>
      <w:r w:rsidRPr="00702B3E">
        <w:rPr>
          <w:rFonts w:ascii="Calibri" w:hAnsi="Calibri" w:cs="Calibri"/>
          <w:sz w:val="22"/>
          <w:szCs w:val="22"/>
        </w:rPr>
        <w:t>voting schedule (available in July).  Officials interested in attending</w:t>
      </w:r>
      <w:r w:rsidRPr="00702B3E">
        <w:rPr>
          <w:rStyle w:val="apple-converted-space"/>
          <w:rFonts w:ascii="Calibri" w:hAnsi="Calibri" w:cs="Calibri"/>
          <w:sz w:val="22"/>
          <w:szCs w:val="22"/>
        </w:rPr>
        <w:t> </w:t>
      </w:r>
      <w:r w:rsidRPr="00702B3E">
        <w:rPr>
          <w:rFonts w:ascii="Calibri" w:hAnsi="Calibri" w:cs="Calibri"/>
          <w:sz w:val="22"/>
          <w:szCs w:val="22"/>
        </w:rPr>
        <w:t>who</w:t>
      </w:r>
      <w:r w:rsidRPr="00702B3E">
        <w:rPr>
          <w:rStyle w:val="apple-converted-space"/>
          <w:rFonts w:ascii="Calibri" w:hAnsi="Calibri" w:cs="Calibri"/>
          <w:sz w:val="22"/>
          <w:szCs w:val="22"/>
        </w:rPr>
        <w:t> </w:t>
      </w:r>
      <w:r w:rsidRPr="00702B3E">
        <w:rPr>
          <w:rFonts w:ascii="Calibri" w:hAnsi="Calibri" w:cs="Calibri"/>
          <w:sz w:val="22"/>
          <w:szCs w:val="22"/>
        </w:rPr>
        <w:t>cannot stay for</w:t>
      </w:r>
      <w:r w:rsidRPr="00702B3E">
        <w:rPr>
          <w:rStyle w:val="apple-converted-space"/>
          <w:rFonts w:ascii="Calibri" w:hAnsi="Calibri" w:cs="Calibri"/>
          <w:sz w:val="22"/>
          <w:szCs w:val="22"/>
        </w:rPr>
        <w:t> </w:t>
      </w:r>
      <w:r w:rsidRPr="00702B3E">
        <w:rPr>
          <w:rFonts w:ascii="Calibri" w:hAnsi="Calibri" w:cs="Calibri"/>
          <w:sz w:val="22"/>
          <w:szCs w:val="22"/>
        </w:rPr>
        <w:t>the duration of the hearings are still encouraged to attend</w:t>
      </w:r>
      <w:r w:rsidRPr="00702B3E">
        <w:rPr>
          <w:rStyle w:val="apple-converted-space"/>
          <w:rFonts w:ascii="Calibri" w:hAnsi="Calibri" w:cs="Calibri"/>
          <w:sz w:val="22"/>
          <w:szCs w:val="22"/>
        </w:rPr>
        <w:t> </w:t>
      </w:r>
      <w:r w:rsidRPr="00702B3E">
        <w:rPr>
          <w:rFonts w:ascii="Calibri" w:hAnsi="Calibri" w:cs="Calibri"/>
          <w:sz w:val="22"/>
          <w:szCs w:val="22"/>
        </w:rPr>
        <w:t>for as much time as possible, or to arrange ‘shifts’ of coverage for the hearings. </w:t>
      </w:r>
    </w:p>
    <w:p w:rsidR="00365AEE" w:rsidRPr="006D52E6" w:rsidRDefault="00365AEE" w:rsidP="006D52E6">
      <w:pPr>
        <w:spacing w:after="0" w:line="240" w:lineRule="auto"/>
        <w:ind w:left="720" w:hanging="720"/>
        <w:rPr>
          <w:rFonts w:cstheme="minorHAnsi"/>
          <w:b/>
          <w:u w:val="single"/>
        </w:rPr>
      </w:pPr>
      <w:r>
        <w:rPr>
          <w:rFonts w:cstheme="minorHAnsi"/>
          <w:b/>
        </w:rPr>
        <w:t>W</w:t>
      </w:r>
      <w:r w:rsidRPr="00702B3E">
        <w:rPr>
          <w:rFonts w:cstheme="minorHAnsi"/>
          <w:b/>
        </w:rPr>
        <w:t>here:</w:t>
      </w:r>
      <w:r w:rsidRPr="00702B3E">
        <w:rPr>
          <w:rFonts w:cstheme="minorHAnsi"/>
        </w:rPr>
        <w:t xml:space="preserve">  Charlotte, NC - </w:t>
      </w:r>
      <w:r w:rsidRPr="00702B3E">
        <w:rPr>
          <w:rFonts w:cstheme="minorHAnsi"/>
          <w:b/>
        </w:rPr>
        <w:t>**</w:t>
      </w:r>
      <w:r w:rsidRPr="00702B3E">
        <w:rPr>
          <w:rFonts w:cstheme="minorHAnsi"/>
          <w:b/>
          <w:u w:val="single"/>
        </w:rPr>
        <w:t>Travel scholarships are available through COG to cover travel, lodging, and all expenses</w:t>
      </w:r>
      <w:r w:rsidR="006D52E6">
        <w:rPr>
          <w:rFonts w:cstheme="minorHAnsi"/>
          <w:b/>
          <w:u w:val="single"/>
        </w:rPr>
        <w:t xml:space="preserve"> </w:t>
      </w:r>
      <w:r w:rsidRPr="00702B3E">
        <w:rPr>
          <w:rFonts w:cstheme="minorHAnsi"/>
          <w:b/>
          <w:u w:val="single"/>
        </w:rPr>
        <w:t>associated with attending these hearings</w:t>
      </w:r>
      <w:r w:rsidRPr="00702B3E">
        <w:rPr>
          <w:rFonts w:cstheme="minorHAnsi"/>
          <w:b/>
        </w:rPr>
        <w:t>**</w:t>
      </w:r>
      <w:r w:rsidRPr="00702B3E">
        <w:rPr>
          <w:rFonts w:cstheme="minorHAnsi"/>
        </w:rPr>
        <w:t xml:space="preserve">  </w:t>
      </w:r>
    </w:p>
    <w:p w:rsidR="00365AEE" w:rsidRPr="00365AEE" w:rsidRDefault="00365AEE" w:rsidP="006D52E6">
      <w:pPr>
        <w:spacing w:after="0"/>
        <w:ind w:left="720" w:hanging="720"/>
        <w:rPr>
          <w:rFonts w:ascii="Calibri" w:hAnsi="Calibri" w:cs="Calibri"/>
        </w:rPr>
      </w:pPr>
      <w:r w:rsidRPr="00702B3E">
        <w:rPr>
          <w:rFonts w:ascii="Calibri" w:hAnsi="Calibri" w:cs="Calibri"/>
          <w:b/>
        </w:rPr>
        <w:t>Who:</w:t>
      </w:r>
      <w:r w:rsidR="006D52E6">
        <w:rPr>
          <w:rFonts w:ascii="Calibri" w:hAnsi="Calibri" w:cs="Calibri"/>
        </w:rPr>
        <w:t xml:space="preserve"> </w:t>
      </w:r>
      <w:r w:rsidR="006D52E6">
        <w:rPr>
          <w:rFonts w:ascii="Calibri" w:hAnsi="Calibri" w:cs="Calibri"/>
        </w:rPr>
        <w:tab/>
      </w:r>
      <w:r w:rsidRPr="00702B3E">
        <w:rPr>
          <w:rFonts w:ascii="Calibri" w:hAnsi="Calibri" w:cs="Calibri"/>
        </w:rPr>
        <w:t>Eligible voting representatives include all government employees and public officials engaged in public health, safety and welfare, sustainability, efficiency and/or building codes.</w:t>
      </w:r>
    </w:p>
    <w:p w:rsidR="00365AEE" w:rsidRPr="00702B3E" w:rsidRDefault="00365AEE" w:rsidP="006D52E6">
      <w:pPr>
        <w:spacing w:after="0" w:line="240" w:lineRule="auto"/>
        <w:ind w:left="720" w:hanging="720"/>
        <w:rPr>
          <w:rFonts w:cstheme="minorHAnsi"/>
        </w:rPr>
      </w:pPr>
      <w:r w:rsidRPr="00702B3E">
        <w:rPr>
          <w:rFonts w:cstheme="minorHAnsi"/>
          <w:b/>
        </w:rPr>
        <w:t>Why:</w:t>
      </w:r>
      <w:r>
        <w:rPr>
          <w:rFonts w:cstheme="minorHAnsi"/>
          <w:b/>
        </w:rPr>
        <w:t xml:space="preserve"> </w:t>
      </w:r>
      <w:r w:rsidR="006D52E6">
        <w:rPr>
          <w:rFonts w:cstheme="minorHAnsi"/>
          <w:b/>
        </w:rPr>
        <w:tab/>
      </w:r>
      <w:r w:rsidRPr="00702B3E">
        <w:rPr>
          <w:rFonts w:cstheme="minorHAnsi"/>
        </w:rPr>
        <w:t>The Metropolitan Washington area has been a leader in energy efficiency and it is imperative that we play our part to ensure that the strongest energy codes possible are approved at the meetings in October.   The package of energy efficient code improvements is called ‘The 30% Solution 2012’, and passage will improve the efficiency of the 2012 IECC by more than 30%</w:t>
      </w:r>
      <w:r w:rsidRPr="00702B3E">
        <w:rPr>
          <w:rFonts w:cstheme="minorHAnsi"/>
          <w:b/>
          <w:bCs/>
        </w:rPr>
        <w:t xml:space="preserve"> </w:t>
      </w:r>
      <w:r w:rsidRPr="00702B3E">
        <w:rPr>
          <w:rFonts w:cstheme="minorHAnsi"/>
          <w:bCs/>
        </w:rPr>
        <w:t>over the</w:t>
      </w:r>
      <w:r w:rsidRPr="00702B3E">
        <w:rPr>
          <w:rFonts w:cstheme="minorHAnsi"/>
        </w:rPr>
        <w:t xml:space="preserve"> 2006 IECC.</w:t>
      </w:r>
    </w:p>
    <w:p w:rsidR="00365AEE" w:rsidRDefault="00365AEE" w:rsidP="00365AEE">
      <w:pPr>
        <w:spacing w:after="0" w:line="240" w:lineRule="auto"/>
        <w:rPr>
          <w:rFonts w:cstheme="minorHAnsi"/>
        </w:rPr>
      </w:pPr>
    </w:p>
    <w:p w:rsidR="00365AEE" w:rsidRPr="00702B3E" w:rsidRDefault="00365AEE" w:rsidP="00365AEE">
      <w:pPr>
        <w:spacing w:after="0" w:line="240" w:lineRule="auto"/>
        <w:rPr>
          <w:rFonts w:cstheme="minorHAnsi"/>
          <w:color w:val="000000"/>
          <w:shd w:val="clear" w:color="auto" w:fill="FF0000"/>
        </w:rPr>
      </w:pPr>
      <w:r w:rsidRPr="00702B3E">
        <w:rPr>
          <w:rFonts w:cstheme="minorHAnsi"/>
        </w:rPr>
        <w:t>S</w:t>
      </w:r>
      <w:r w:rsidRPr="00702B3E">
        <w:rPr>
          <w:rFonts w:cstheme="minorHAnsi"/>
          <w:color w:val="000000"/>
        </w:rPr>
        <w:t xml:space="preserve">ending a delegation from your jurisdiction to vote in favor of energy efficiency improvements to the national model energy codes could be </w:t>
      </w:r>
      <w:r w:rsidRPr="00702B3E">
        <w:rPr>
          <w:rFonts w:cstheme="minorHAnsi"/>
          <w:b/>
          <w:color w:val="000000"/>
          <w:u w:val="single"/>
        </w:rPr>
        <w:t>the</w:t>
      </w:r>
      <w:r w:rsidRPr="00702B3E">
        <w:rPr>
          <w:rStyle w:val="apple-converted-space"/>
          <w:rFonts w:cstheme="minorHAnsi"/>
          <w:b/>
          <w:color w:val="000000"/>
          <w:u w:val="single"/>
        </w:rPr>
        <w:t> </w:t>
      </w:r>
      <w:r w:rsidRPr="00702B3E">
        <w:rPr>
          <w:rFonts w:cstheme="minorHAnsi"/>
          <w:b/>
          <w:bCs/>
          <w:color w:val="000000"/>
          <w:u w:val="single"/>
        </w:rPr>
        <w:t>single biggest</w:t>
      </w:r>
      <w:r w:rsidR="00532064">
        <w:rPr>
          <w:rFonts w:cstheme="minorHAnsi"/>
          <w:b/>
          <w:bCs/>
          <w:color w:val="000000"/>
          <w:u w:val="single"/>
        </w:rPr>
        <w:t>, most cost effective</w:t>
      </w:r>
      <w:r w:rsidRPr="00702B3E">
        <w:rPr>
          <w:rFonts w:cstheme="minorHAnsi"/>
          <w:b/>
          <w:bCs/>
          <w:color w:val="000000"/>
          <w:u w:val="single"/>
        </w:rPr>
        <w:t xml:space="preserve"> step you take to impact the efficiency of new buildings and to reduce carbon emissions</w:t>
      </w:r>
      <w:r w:rsidRPr="00702B3E">
        <w:rPr>
          <w:rStyle w:val="apple-converted-space"/>
          <w:rFonts w:cstheme="minorHAnsi"/>
          <w:b/>
          <w:color w:val="000000"/>
          <w:u w:val="single"/>
        </w:rPr>
        <w:t xml:space="preserve"> and energy costs </w:t>
      </w:r>
      <w:r w:rsidRPr="00702B3E">
        <w:rPr>
          <w:rFonts w:cstheme="minorHAnsi"/>
          <w:b/>
          <w:color w:val="000000"/>
          <w:u w:val="single"/>
        </w:rPr>
        <w:t>this year</w:t>
      </w:r>
      <w:r w:rsidRPr="00702B3E">
        <w:rPr>
          <w:rFonts w:cstheme="minorHAnsi"/>
          <w:color w:val="000000"/>
        </w:rPr>
        <w:t>.  These codes will have an impact for decades to come – and there won’t be another chance to improve them for several years.</w:t>
      </w:r>
    </w:p>
    <w:p w:rsidR="00167578" w:rsidRPr="00702B3E" w:rsidRDefault="00167578" w:rsidP="00702B3E">
      <w:pPr>
        <w:pStyle w:val="NoSpacing"/>
        <w:rPr>
          <w:rFonts w:cstheme="minorHAnsi"/>
          <w:b/>
        </w:rPr>
      </w:pPr>
    </w:p>
    <w:p w:rsidR="00167578" w:rsidRPr="00702B3E" w:rsidRDefault="002833B8" w:rsidP="006D52E6">
      <w:pPr>
        <w:pStyle w:val="NoSpacing"/>
        <w:ind w:left="720" w:hanging="720"/>
        <w:rPr>
          <w:rFonts w:cstheme="minorHAnsi"/>
        </w:rPr>
      </w:pPr>
      <w:r w:rsidRPr="00702B3E">
        <w:rPr>
          <w:rFonts w:cstheme="minorHAnsi"/>
          <w:b/>
        </w:rPr>
        <w:t>How:</w:t>
      </w:r>
      <w:r w:rsidR="00167578" w:rsidRPr="00702B3E">
        <w:rPr>
          <w:rFonts w:cstheme="minorHAnsi"/>
        </w:rPr>
        <w:t xml:space="preserve"> </w:t>
      </w:r>
      <w:r w:rsidR="00702B3E" w:rsidRPr="00702B3E">
        <w:rPr>
          <w:rFonts w:cstheme="minorHAnsi"/>
        </w:rPr>
        <w:t xml:space="preserve"> </w:t>
      </w:r>
      <w:r w:rsidR="006D52E6">
        <w:rPr>
          <w:rFonts w:cstheme="minorHAnsi"/>
        </w:rPr>
        <w:tab/>
      </w:r>
      <w:r w:rsidR="00167578" w:rsidRPr="00702B3E">
        <w:rPr>
          <w:rFonts w:cstheme="minorHAnsi"/>
        </w:rPr>
        <w:t>Local governments are encouraged to participate in crafting more efficient national model energy codes by taking these simple steps:</w:t>
      </w:r>
    </w:p>
    <w:p w:rsidR="00167578" w:rsidRPr="00702B3E" w:rsidRDefault="00167578" w:rsidP="00702B3E">
      <w:pPr>
        <w:pStyle w:val="NoSpacing"/>
        <w:ind w:left="720" w:hanging="720"/>
        <w:rPr>
          <w:rFonts w:cstheme="minorHAnsi"/>
        </w:rPr>
      </w:pPr>
    </w:p>
    <w:p w:rsidR="002B53FE" w:rsidRPr="002B53FE" w:rsidRDefault="00672FA1" w:rsidP="002B53FE">
      <w:pPr>
        <w:pStyle w:val="ListParagraph"/>
        <w:numPr>
          <w:ilvl w:val="0"/>
          <w:numId w:val="2"/>
        </w:numPr>
        <w:spacing w:after="120"/>
        <w:ind w:hanging="720"/>
        <w:contextualSpacing w:val="0"/>
        <w:rPr>
          <w:rFonts w:asciiTheme="minorHAnsi" w:hAnsiTheme="minorHAnsi" w:cstheme="minorHAnsi"/>
          <w:sz w:val="22"/>
          <w:szCs w:val="22"/>
        </w:rPr>
      </w:pPr>
      <w:r w:rsidRPr="00702B3E">
        <w:rPr>
          <w:rFonts w:asciiTheme="minorHAnsi" w:hAnsiTheme="minorHAnsi" w:cstheme="minorHAnsi"/>
          <w:b/>
          <w:bCs/>
          <w:sz w:val="22"/>
          <w:szCs w:val="22"/>
        </w:rPr>
        <w:t>Join or Renew Your ICC Government Membership by October 15, 2010</w:t>
      </w:r>
      <w:r w:rsidRPr="00702B3E">
        <w:rPr>
          <w:rStyle w:val="apple-converted-space"/>
          <w:rFonts w:asciiTheme="minorHAnsi" w:hAnsiTheme="minorHAnsi" w:cstheme="minorHAnsi"/>
          <w:sz w:val="22"/>
          <w:szCs w:val="22"/>
        </w:rPr>
        <w:t> </w:t>
      </w:r>
      <w:r w:rsidRPr="00702B3E">
        <w:rPr>
          <w:rFonts w:asciiTheme="minorHAnsi" w:hAnsiTheme="minorHAnsi" w:cstheme="minorHAnsi"/>
          <w:sz w:val="22"/>
          <w:szCs w:val="22"/>
        </w:rPr>
        <w:t>(Population-based annual dues:  $100-$280 – there may be funding available to cover these dues);</w:t>
      </w:r>
    </w:p>
    <w:p w:rsidR="00672FA1" w:rsidRPr="006D52E6" w:rsidRDefault="00672FA1" w:rsidP="002B53FE">
      <w:pPr>
        <w:pStyle w:val="ListParagraph"/>
        <w:numPr>
          <w:ilvl w:val="0"/>
          <w:numId w:val="2"/>
        </w:numPr>
        <w:spacing w:after="120"/>
        <w:ind w:hanging="720"/>
        <w:contextualSpacing w:val="0"/>
        <w:rPr>
          <w:rFonts w:asciiTheme="minorHAnsi" w:hAnsiTheme="minorHAnsi" w:cstheme="minorHAnsi"/>
          <w:b/>
          <w:sz w:val="22"/>
          <w:szCs w:val="22"/>
        </w:rPr>
      </w:pPr>
      <w:r w:rsidRPr="006D52E6">
        <w:rPr>
          <w:rStyle w:val="apple-converted-space"/>
          <w:rFonts w:asciiTheme="minorHAnsi" w:hAnsiTheme="minorHAnsi" w:cstheme="minorHAnsi"/>
          <w:b/>
          <w:sz w:val="22"/>
          <w:szCs w:val="22"/>
        </w:rPr>
        <w:t>Determine the number of votes entitled to your jurisdiction</w:t>
      </w:r>
      <w:r w:rsidRPr="00702B3E">
        <w:rPr>
          <w:rStyle w:val="apple-converted-space"/>
          <w:rFonts w:asciiTheme="minorHAnsi" w:hAnsiTheme="minorHAnsi" w:cstheme="minorHAnsi"/>
          <w:sz w:val="22"/>
          <w:szCs w:val="22"/>
        </w:rPr>
        <w:t xml:space="preserve"> (4, 8, or 12 based on population) </w:t>
      </w:r>
      <w:r w:rsidRPr="006D52E6">
        <w:rPr>
          <w:rStyle w:val="apple-converted-space"/>
          <w:rFonts w:asciiTheme="minorHAnsi" w:hAnsiTheme="minorHAnsi" w:cstheme="minorHAnsi"/>
          <w:b/>
          <w:sz w:val="22"/>
          <w:szCs w:val="22"/>
        </w:rPr>
        <w:t>and recruit appropriate representatives to attend the Final Action Hearings;</w:t>
      </w:r>
    </w:p>
    <w:p w:rsidR="00672FA1" w:rsidRPr="00702B3E" w:rsidRDefault="00672FA1" w:rsidP="002B53FE">
      <w:pPr>
        <w:pStyle w:val="ListParagraph"/>
        <w:numPr>
          <w:ilvl w:val="0"/>
          <w:numId w:val="2"/>
        </w:numPr>
        <w:spacing w:after="120"/>
        <w:ind w:hanging="720"/>
        <w:contextualSpacing w:val="0"/>
        <w:rPr>
          <w:rFonts w:asciiTheme="minorHAnsi" w:hAnsiTheme="minorHAnsi" w:cstheme="minorHAnsi"/>
          <w:sz w:val="22"/>
          <w:szCs w:val="22"/>
        </w:rPr>
      </w:pPr>
      <w:r w:rsidRPr="00702B3E">
        <w:rPr>
          <w:rFonts w:asciiTheme="minorHAnsi" w:hAnsiTheme="minorHAnsi" w:cstheme="minorHAnsi"/>
          <w:b/>
          <w:bCs/>
          <w:sz w:val="22"/>
          <w:szCs w:val="22"/>
        </w:rPr>
        <w:t>Submit/Update your list of voting representatives attending the Charlotte Final Action Hearings by October 15, 2010</w:t>
      </w:r>
      <w:r w:rsidRPr="00702B3E">
        <w:rPr>
          <w:rFonts w:asciiTheme="minorHAnsi" w:hAnsiTheme="minorHAnsi" w:cstheme="minorHAnsi"/>
          <w:sz w:val="22"/>
          <w:szCs w:val="22"/>
        </w:rPr>
        <w:t>; and</w:t>
      </w:r>
    </w:p>
    <w:p w:rsidR="00672FA1" w:rsidRPr="00702B3E" w:rsidRDefault="00672FA1" w:rsidP="002B53FE">
      <w:pPr>
        <w:pStyle w:val="ListParagraph"/>
        <w:numPr>
          <w:ilvl w:val="0"/>
          <w:numId w:val="2"/>
        </w:numPr>
        <w:spacing w:after="120"/>
        <w:ind w:hanging="720"/>
        <w:contextualSpacing w:val="0"/>
        <w:rPr>
          <w:rStyle w:val="apple-converted-space"/>
          <w:rFonts w:asciiTheme="minorHAnsi" w:hAnsiTheme="minorHAnsi" w:cstheme="minorHAnsi"/>
          <w:sz w:val="22"/>
          <w:szCs w:val="22"/>
        </w:rPr>
      </w:pPr>
      <w:r w:rsidRPr="00702B3E">
        <w:rPr>
          <w:rFonts w:asciiTheme="minorHAnsi" w:hAnsiTheme="minorHAnsi" w:cstheme="minorHAnsi"/>
          <w:b/>
          <w:bCs/>
          <w:sz w:val="22"/>
          <w:szCs w:val="22"/>
        </w:rPr>
        <w:t>Arrange your delegation’s travel and lodging and apply for travel support</w:t>
      </w:r>
      <w:r w:rsidRPr="00702B3E">
        <w:rPr>
          <w:rStyle w:val="apple-converted-space"/>
          <w:rFonts w:asciiTheme="minorHAnsi" w:hAnsiTheme="minorHAnsi" w:cstheme="minorHAnsi"/>
          <w:b/>
          <w:bCs/>
          <w:sz w:val="22"/>
          <w:szCs w:val="22"/>
        </w:rPr>
        <w:t> </w:t>
      </w:r>
    </w:p>
    <w:p w:rsidR="004718E6" w:rsidRPr="00702B3E" w:rsidRDefault="004718E6" w:rsidP="002B53FE">
      <w:pPr>
        <w:pStyle w:val="ListParagraph"/>
        <w:numPr>
          <w:ilvl w:val="0"/>
          <w:numId w:val="2"/>
        </w:numPr>
        <w:spacing w:after="120"/>
        <w:ind w:hanging="720"/>
        <w:contextualSpacing w:val="0"/>
        <w:rPr>
          <w:rStyle w:val="apple-converted-space"/>
          <w:rFonts w:asciiTheme="minorHAnsi" w:hAnsiTheme="minorHAnsi" w:cstheme="minorHAnsi"/>
          <w:sz w:val="22"/>
          <w:szCs w:val="22"/>
        </w:rPr>
      </w:pPr>
      <w:r w:rsidRPr="00702B3E">
        <w:rPr>
          <w:rStyle w:val="apple-converted-space"/>
          <w:rFonts w:asciiTheme="minorHAnsi" w:hAnsiTheme="minorHAnsi" w:cstheme="minorHAnsi"/>
          <w:b/>
          <w:bCs/>
          <w:sz w:val="22"/>
          <w:szCs w:val="22"/>
        </w:rPr>
        <w:t>Submit the travel scholarship form (on the reverse of this page) to COG</w:t>
      </w:r>
    </w:p>
    <w:p w:rsidR="00672FA1" w:rsidRPr="00702B3E" w:rsidRDefault="00672FA1" w:rsidP="00702B3E">
      <w:pPr>
        <w:pStyle w:val="NoSpacing"/>
        <w:rPr>
          <w:b/>
        </w:rPr>
      </w:pPr>
    </w:p>
    <w:p w:rsidR="00167578" w:rsidRPr="00702B3E" w:rsidRDefault="00167578" w:rsidP="00702B3E">
      <w:pPr>
        <w:spacing w:after="0" w:line="240" w:lineRule="auto"/>
        <w:rPr>
          <w:rFonts w:ascii="Calibri" w:hAnsi="Calibri" w:cs="Calibri"/>
        </w:rPr>
      </w:pPr>
      <w:r w:rsidRPr="00702B3E">
        <w:rPr>
          <w:rFonts w:ascii="Calibri" w:hAnsi="Calibri" w:cs="Calibri"/>
        </w:rPr>
        <w:t xml:space="preserve">For more information on any issues related to Final Action Hearing attendance, please contact Caroline Keicher at the Institute for Market Transformation, </w:t>
      </w:r>
      <w:hyperlink r:id="rId9" w:history="1">
        <w:r w:rsidRPr="00702B3E">
          <w:rPr>
            <w:rStyle w:val="Hyperlink"/>
            <w:rFonts w:ascii="Calibri" w:hAnsi="Calibri" w:cs="Calibri"/>
          </w:rPr>
          <w:t>caroline@imt.org</w:t>
        </w:r>
      </w:hyperlink>
      <w:r w:rsidRPr="00702B3E">
        <w:rPr>
          <w:rFonts w:ascii="Calibri" w:hAnsi="Calibri" w:cs="Calibri"/>
        </w:rPr>
        <w:t xml:space="preserve"> or </w:t>
      </w:r>
      <w:r w:rsidRPr="00702B3E">
        <w:rPr>
          <w:rFonts w:ascii="Calibri" w:hAnsi="Calibri" w:cs="Calibri"/>
          <w:color w:val="000000"/>
        </w:rPr>
        <w:t>202-525-2883 x 302</w:t>
      </w:r>
    </w:p>
    <w:p w:rsidR="00167578" w:rsidRPr="00702B3E" w:rsidRDefault="00167578" w:rsidP="00702B3E">
      <w:pPr>
        <w:pStyle w:val="NormalWeb"/>
        <w:spacing w:before="0" w:beforeAutospacing="0" w:after="0" w:afterAutospacing="0"/>
        <w:rPr>
          <w:rFonts w:ascii="Calibri" w:hAnsi="Calibri" w:cs="Calibri"/>
          <w:sz w:val="22"/>
          <w:szCs w:val="22"/>
        </w:rPr>
      </w:pPr>
    </w:p>
    <w:p w:rsidR="00167578" w:rsidRPr="00702B3E" w:rsidRDefault="00167578" w:rsidP="00702B3E">
      <w:pPr>
        <w:pStyle w:val="NormalWeb"/>
        <w:spacing w:before="0" w:beforeAutospacing="0" w:after="0" w:afterAutospacing="0"/>
        <w:jc w:val="center"/>
        <w:rPr>
          <w:rFonts w:ascii="Calibri" w:hAnsi="Calibri" w:cs="Calibri"/>
          <w:sz w:val="22"/>
          <w:szCs w:val="22"/>
        </w:rPr>
      </w:pPr>
      <w:r w:rsidRPr="00702B3E">
        <w:rPr>
          <w:rFonts w:ascii="Calibri" w:hAnsi="Calibri" w:cs="Calibri"/>
          <w:sz w:val="22"/>
          <w:szCs w:val="22"/>
        </w:rPr>
        <w:t>To learn more</w:t>
      </w:r>
      <w:r w:rsidRPr="00702B3E">
        <w:rPr>
          <w:rStyle w:val="apple-converted-space"/>
          <w:rFonts w:ascii="Calibri" w:hAnsi="Calibri" w:cs="Calibri"/>
          <w:sz w:val="22"/>
          <w:szCs w:val="22"/>
        </w:rPr>
        <w:t> </w:t>
      </w:r>
      <w:r w:rsidRPr="00702B3E">
        <w:rPr>
          <w:rFonts w:ascii="Calibri" w:hAnsi="Calibri" w:cs="Calibri"/>
          <w:sz w:val="22"/>
          <w:szCs w:val="22"/>
        </w:rPr>
        <w:t>about the Final Action Hearings and the 30% Solution please</w:t>
      </w:r>
      <w:r w:rsidRPr="00702B3E">
        <w:rPr>
          <w:rStyle w:val="apple-converted-space"/>
          <w:rFonts w:ascii="Calibri" w:hAnsi="Calibri" w:cs="Calibri"/>
          <w:sz w:val="22"/>
          <w:szCs w:val="22"/>
        </w:rPr>
        <w:t> </w:t>
      </w:r>
      <w:r w:rsidRPr="00702B3E">
        <w:rPr>
          <w:rFonts w:ascii="Calibri" w:hAnsi="Calibri" w:cs="Calibri"/>
          <w:sz w:val="22"/>
          <w:szCs w:val="22"/>
        </w:rPr>
        <w:t>visit:</w:t>
      </w:r>
    </w:p>
    <w:p w:rsidR="00167578" w:rsidRPr="00702B3E" w:rsidRDefault="007B516E" w:rsidP="00702B3E">
      <w:pPr>
        <w:pStyle w:val="NormalWeb"/>
        <w:spacing w:before="0" w:beforeAutospacing="0" w:after="0" w:afterAutospacing="0"/>
        <w:jc w:val="center"/>
        <w:rPr>
          <w:rFonts w:ascii="Calibri" w:hAnsi="Calibri" w:cs="Calibri"/>
          <w:sz w:val="22"/>
          <w:szCs w:val="22"/>
        </w:rPr>
      </w:pPr>
      <w:hyperlink r:id="rId10" w:tgtFrame="_blank" w:history="1">
        <w:r w:rsidR="00167578" w:rsidRPr="00702B3E">
          <w:rPr>
            <w:rStyle w:val="Hyperlink"/>
            <w:rFonts w:ascii="Calibri" w:hAnsi="Calibri" w:cs="Calibri"/>
            <w:sz w:val="22"/>
            <w:szCs w:val="22"/>
          </w:rPr>
          <w:t>http://thirtypercentsolution.com/</w:t>
        </w:r>
      </w:hyperlink>
    </w:p>
    <w:p w:rsidR="006D52E6" w:rsidRDefault="007B516E" w:rsidP="006D52E6">
      <w:pPr>
        <w:spacing w:after="0" w:line="240" w:lineRule="auto"/>
        <w:jc w:val="center"/>
      </w:pPr>
      <w:hyperlink r:id="rId11" w:history="1">
        <w:r w:rsidR="00167578" w:rsidRPr="00702B3E">
          <w:rPr>
            <w:rStyle w:val="Hyperlink"/>
            <w:rFonts w:ascii="Calibri" w:hAnsi="Calibri" w:cs="Calibri"/>
          </w:rPr>
          <w:t>https://www.eshow2000.com/iccbwi/splash.cfm</w:t>
        </w:r>
      </w:hyperlink>
    </w:p>
    <w:p w:rsidR="002B53FE" w:rsidRPr="006D52E6" w:rsidRDefault="002B53FE" w:rsidP="006D52E6">
      <w:pPr>
        <w:spacing w:after="0" w:line="240" w:lineRule="auto"/>
        <w:jc w:val="center"/>
      </w:pPr>
    </w:p>
    <w:tbl>
      <w:tblPr>
        <w:tblStyle w:val="TableGrid"/>
        <w:tblW w:w="11700" w:type="dxa"/>
        <w:tblInd w:w="-432"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ayout w:type="fixed"/>
        <w:tblLook w:val="04A0"/>
      </w:tblPr>
      <w:tblGrid>
        <w:gridCol w:w="3240"/>
        <w:gridCol w:w="2880"/>
        <w:gridCol w:w="2610"/>
        <w:gridCol w:w="2970"/>
      </w:tblGrid>
      <w:tr w:rsidR="009E21F0" w:rsidTr="009E21F0">
        <w:trPr>
          <w:trHeight w:val="1239"/>
        </w:trPr>
        <w:tc>
          <w:tcPr>
            <w:tcW w:w="3240" w:type="dxa"/>
          </w:tcPr>
          <w:p w:rsidR="009C487B" w:rsidRDefault="009C487B" w:rsidP="009C487B">
            <w:pPr>
              <w:pStyle w:val="NoSpacing"/>
              <w:rPr>
                <w:b/>
                <w:sz w:val="28"/>
                <w:szCs w:val="28"/>
              </w:rPr>
            </w:pPr>
            <w:r w:rsidRPr="009C487B">
              <w:rPr>
                <w:b/>
                <w:noProof/>
                <w:sz w:val="28"/>
                <w:szCs w:val="28"/>
              </w:rPr>
              <w:drawing>
                <wp:inline distT="0" distB="0" distL="0" distR="0">
                  <wp:extent cx="1947553" cy="878774"/>
                  <wp:effectExtent l="19050" t="0" r="0" b="0"/>
                  <wp:docPr id="10" name="Picture 11" descr="ee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c logo.jpg"/>
                          <pic:cNvPicPr/>
                        </pic:nvPicPr>
                        <pic:blipFill>
                          <a:blip r:embed="rId12" cstate="print"/>
                          <a:stretch>
                            <a:fillRect/>
                          </a:stretch>
                        </pic:blipFill>
                        <pic:spPr>
                          <a:xfrm>
                            <a:off x="0" y="0"/>
                            <a:ext cx="1967674" cy="887853"/>
                          </a:xfrm>
                          <a:prstGeom prst="rect">
                            <a:avLst/>
                          </a:prstGeom>
                        </pic:spPr>
                      </pic:pic>
                    </a:graphicData>
                  </a:graphic>
                </wp:inline>
              </w:drawing>
            </w:r>
          </w:p>
        </w:tc>
        <w:tc>
          <w:tcPr>
            <w:tcW w:w="2880" w:type="dxa"/>
          </w:tcPr>
          <w:p w:rsidR="009C487B" w:rsidRDefault="009C487B" w:rsidP="009C487B">
            <w:pPr>
              <w:pStyle w:val="NoSpacing"/>
              <w:rPr>
                <w:b/>
                <w:sz w:val="28"/>
                <w:szCs w:val="28"/>
              </w:rPr>
            </w:pPr>
            <w:r>
              <w:rPr>
                <w:b/>
                <w:noProof/>
                <w:sz w:val="28"/>
                <w:szCs w:val="28"/>
              </w:rPr>
              <w:drawing>
                <wp:inline distT="0" distB="0" distL="0" distR="0">
                  <wp:extent cx="1828800" cy="878774"/>
                  <wp:effectExtent l="19050" t="0" r="0" b="0"/>
                  <wp:docPr id="13" name="Picture 1" descr="ICLE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EI logo.png"/>
                          <pic:cNvPicPr/>
                        </pic:nvPicPr>
                        <pic:blipFill>
                          <a:blip r:embed="rId13" cstate="print"/>
                          <a:stretch>
                            <a:fillRect/>
                          </a:stretch>
                        </pic:blipFill>
                        <pic:spPr>
                          <a:xfrm>
                            <a:off x="0" y="0"/>
                            <a:ext cx="1825264" cy="877075"/>
                          </a:xfrm>
                          <a:prstGeom prst="rect">
                            <a:avLst/>
                          </a:prstGeom>
                        </pic:spPr>
                      </pic:pic>
                    </a:graphicData>
                  </a:graphic>
                </wp:inline>
              </w:drawing>
            </w:r>
          </w:p>
        </w:tc>
        <w:tc>
          <w:tcPr>
            <w:tcW w:w="2610" w:type="dxa"/>
          </w:tcPr>
          <w:p w:rsidR="009C487B" w:rsidRDefault="009C487B" w:rsidP="00167578">
            <w:pPr>
              <w:pStyle w:val="NoSpacing"/>
              <w:rPr>
                <w:b/>
                <w:sz w:val="28"/>
                <w:szCs w:val="28"/>
              </w:rPr>
            </w:pPr>
            <w:r>
              <w:rPr>
                <w:b/>
                <w:noProof/>
                <w:sz w:val="28"/>
                <w:szCs w:val="28"/>
              </w:rPr>
              <w:drawing>
                <wp:inline distT="0" distB="0" distL="0" distR="0">
                  <wp:extent cx="1560368" cy="877762"/>
                  <wp:effectExtent l="19050" t="0" r="1732" b="0"/>
                  <wp:docPr id="9" name="Picture 6" descr="SierraClu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erraClub logo.png"/>
                          <pic:cNvPicPr/>
                        </pic:nvPicPr>
                        <pic:blipFill>
                          <a:blip r:embed="rId14" cstate="print"/>
                          <a:stretch>
                            <a:fillRect/>
                          </a:stretch>
                        </pic:blipFill>
                        <pic:spPr>
                          <a:xfrm>
                            <a:off x="0" y="0"/>
                            <a:ext cx="1566886" cy="881429"/>
                          </a:xfrm>
                          <a:prstGeom prst="rect">
                            <a:avLst/>
                          </a:prstGeom>
                        </pic:spPr>
                      </pic:pic>
                    </a:graphicData>
                  </a:graphic>
                </wp:inline>
              </w:drawing>
            </w:r>
          </w:p>
        </w:tc>
        <w:tc>
          <w:tcPr>
            <w:tcW w:w="2970" w:type="dxa"/>
          </w:tcPr>
          <w:p w:rsidR="009C487B" w:rsidRDefault="009E21F0" w:rsidP="009C487B">
            <w:pPr>
              <w:pStyle w:val="NoSpacing"/>
              <w:rPr>
                <w:b/>
                <w:sz w:val="28"/>
                <w:szCs w:val="28"/>
              </w:rPr>
            </w:pPr>
            <w:r>
              <w:rPr>
                <w:b/>
                <w:noProof/>
                <w:sz w:val="28"/>
                <w:szCs w:val="28"/>
              </w:rPr>
              <w:drawing>
                <wp:inline distT="0" distB="0" distL="0" distR="0">
                  <wp:extent cx="1736871" cy="878774"/>
                  <wp:effectExtent l="19050" t="0" r="0" b="0"/>
                  <wp:docPr id="14" name="Picture 13" descr="im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t logo.jpg"/>
                          <pic:cNvPicPr/>
                        </pic:nvPicPr>
                        <pic:blipFill>
                          <a:blip r:embed="rId15" cstate="print"/>
                          <a:stretch>
                            <a:fillRect/>
                          </a:stretch>
                        </pic:blipFill>
                        <pic:spPr>
                          <a:xfrm>
                            <a:off x="0" y="0"/>
                            <a:ext cx="1741448" cy="881090"/>
                          </a:xfrm>
                          <a:prstGeom prst="rect">
                            <a:avLst/>
                          </a:prstGeom>
                        </pic:spPr>
                      </pic:pic>
                    </a:graphicData>
                  </a:graphic>
                </wp:inline>
              </w:drawing>
            </w:r>
          </w:p>
        </w:tc>
      </w:tr>
    </w:tbl>
    <w:p w:rsidR="00413830" w:rsidRDefault="00F450FF" w:rsidP="008C799E">
      <w:pPr>
        <w:pStyle w:val="NoSpacing"/>
        <w:jc w:val="center"/>
        <w:rPr>
          <w:b/>
          <w:sz w:val="28"/>
          <w:szCs w:val="28"/>
        </w:rPr>
      </w:pPr>
      <w:r>
        <w:rPr>
          <w:b/>
          <w:sz w:val="28"/>
          <w:szCs w:val="28"/>
        </w:rPr>
        <w:lastRenderedPageBreak/>
        <w:t>Metropolitan Washington Council of Governments</w:t>
      </w:r>
    </w:p>
    <w:p w:rsidR="008C799E" w:rsidRPr="001B2484" w:rsidRDefault="008C799E" w:rsidP="008C799E">
      <w:pPr>
        <w:pStyle w:val="NoSpacing"/>
        <w:jc w:val="center"/>
        <w:rPr>
          <w:b/>
          <w:sz w:val="24"/>
          <w:szCs w:val="24"/>
        </w:rPr>
      </w:pPr>
      <w:r w:rsidRPr="001B2484">
        <w:rPr>
          <w:b/>
          <w:sz w:val="24"/>
          <w:szCs w:val="24"/>
        </w:rPr>
        <w:t>Travel Sponsorship Reservation Form</w:t>
      </w:r>
    </w:p>
    <w:p w:rsidR="008C799E" w:rsidRDefault="008C799E" w:rsidP="008C799E">
      <w:pPr>
        <w:pStyle w:val="NoSpacing"/>
        <w:jc w:val="center"/>
        <w:rPr>
          <w:b/>
          <w:sz w:val="28"/>
          <w:szCs w:val="28"/>
        </w:rPr>
      </w:pPr>
      <w:r w:rsidRPr="001B2484">
        <w:rPr>
          <w:b/>
          <w:sz w:val="24"/>
          <w:szCs w:val="24"/>
        </w:rPr>
        <w:t>ICC Final Action Hearings, Charlotte, NC</w:t>
      </w:r>
      <w:r w:rsidR="00065AED" w:rsidRPr="001B2484">
        <w:rPr>
          <w:b/>
          <w:sz w:val="24"/>
          <w:szCs w:val="24"/>
        </w:rPr>
        <w:t xml:space="preserve"> </w:t>
      </w:r>
      <w:r w:rsidRPr="001B2484">
        <w:rPr>
          <w:b/>
          <w:sz w:val="24"/>
          <w:szCs w:val="24"/>
        </w:rPr>
        <w:t xml:space="preserve"> - </w:t>
      </w:r>
      <w:r w:rsidR="00065AED" w:rsidRPr="001B2484">
        <w:rPr>
          <w:b/>
          <w:sz w:val="24"/>
          <w:szCs w:val="24"/>
        </w:rPr>
        <w:t xml:space="preserve"> </w:t>
      </w:r>
      <w:r w:rsidR="004718E6">
        <w:rPr>
          <w:b/>
          <w:sz w:val="24"/>
          <w:szCs w:val="24"/>
        </w:rPr>
        <w:t>October 25-31</w:t>
      </w:r>
      <w:r w:rsidRPr="001B2484">
        <w:rPr>
          <w:b/>
          <w:sz w:val="24"/>
          <w:szCs w:val="24"/>
        </w:rPr>
        <w:t>, 2010</w:t>
      </w:r>
    </w:p>
    <w:p w:rsidR="008C799E" w:rsidRPr="00065AED" w:rsidRDefault="00065AED" w:rsidP="00065AED">
      <w:pPr>
        <w:pStyle w:val="NoSpacing"/>
        <w:jc w:val="center"/>
        <w:rPr>
          <w:b/>
          <w:i/>
          <w:sz w:val="24"/>
          <w:szCs w:val="24"/>
        </w:rPr>
      </w:pPr>
      <w:r w:rsidRPr="00065AED">
        <w:rPr>
          <w:b/>
          <w:i/>
          <w:sz w:val="24"/>
          <w:szCs w:val="24"/>
        </w:rPr>
        <w:t xml:space="preserve">Please return this form to </w:t>
      </w:r>
      <w:r w:rsidR="00F450FF">
        <w:rPr>
          <w:b/>
          <w:i/>
          <w:sz w:val="24"/>
          <w:szCs w:val="24"/>
        </w:rPr>
        <w:t>COG</w:t>
      </w:r>
      <w:r w:rsidR="00883055">
        <w:rPr>
          <w:b/>
          <w:i/>
          <w:sz w:val="24"/>
          <w:szCs w:val="24"/>
        </w:rPr>
        <w:t xml:space="preserve"> via email or fax, ATTN: Leah Boggs, </w:t>
      </w:r>
      <w:hyperlink r:id="rId16" w:history="1">
        <w:r w:rsidR="00883055" w:rsidRPr="00F70EA6">
          <w:rPr>
            <w:rStyle w:val="Hyperlink"/>
            <w:b/>
            <w:i/>
            <w:sz w:val="24"/>
            <w:szCs w:val="24"/>
          </w:rPr>
          <w:t>lboggs@mwcog.org</w:t>
        </w:r>
      </w:hyperlink>
      <w:r w:rsidR="00883055">
        <w:rPr>
          <w:b/>
          <w:i/>
          <w:sz w:val="24"/>
          <w:szCs w:val="24"/>
        </w:rPr>
        <w:t xml:space="preserve"> or 202-962-3203</w:t>
      </w:r>
    </w:p>
    <w:p w:rsidR="00065AED" w:rsidRPr="00800025" w:rsidRDefault="00065AED" w:rsidP="008C799E">
      <w:pPr>
        <w:pStyle w:val="NoSpacing"/>
        <w:rPr>
          <w:sz w:val="24"/>
          <w:szCs w:val="24"/>
        </w:rPr>
      </w:pPr>
    </w:p>
    <w:p w:rsidR="00065AED" w:rsidRPr="001B2484" w:rsidRDefault="00800025" w:rsidP="008C799E">
      <w:pPr>
        <w:pStyle w:val="NoSpacing"/>
      </w:pPr>
      <w:r w:rsidRPr="001B2484">
        <w:t>Name of Local Government or Jurisdiction:___________________________________________</w:t>
      </w:r>
    </w:p>
    <w:p w:rsidR="00800025" w:rsidRPr="001B2484" w:rsidRDefault="00800025" w:rsidP="008C799E">
      <w:pPr>
        <w:pStyle w:val="NoSpacing"/>
      </w:pPr>
      <w:r w:rsidRPr="001B2484">
        <w:t>Current Governmental Member of the International Code Council:  Y__________  N _________</w:t>
      </w:r>
    </w:p>
    <w:p w:rsidR="00800025" w:rsidRPr="001B2484" w:rsidRDefault="00800025" w:rsidP="008C799E">
      <w:pPr>
        <w:pStyle w:val="NoSpacing"/>
      </w:pPr>
      <w:r w:rsidRPr="001B2484">
        <w:t xml:space="preserve">Current member of </w:t>
      </w:r>
      <w:r w:rsidR="00F450FF">
        <w:t>COG:</w:t>
      </w:r>
      <w:r w:rsidR="00873908" w:rsidRPr="001B2484">
        <w:t xml:space="preserve">  Y__________  N _________</w:t>
      </w:r>
    </w:p>
    <w:p w:rsidR="00873908" w:rsidRPr="001B2484" w:rsidRDefault="00873908" w:rsidP="008C799E">
      <w:pPr>
        <w:pStyle w:val="NoSpacing"/>
      </w:pPr>
      <w:r w:rsidRPr="001B2484">
        <w:t>Population of Jurisdiction: ___________________   Number of ICC Voting Representatives: ______</w:t>
      </w:r>
    </w:p>
    <w:p w:rsidR="00873908" w:rsidRPr="001B2484" w:rsidRDefault="00873908" w:rsidP="008C799E">
      <w:pPr>
        <w:pStyle w:val="NoSpacing"/>
      </w:pPr>
    </w:p>
    <w:p w:rsidR="0050762A" w:rsidRPr="001B2484" w:rsidRDefault="0050762A" w:rsidP="008C799E">
      <w:pPr>
        <w:pStyle w:val="NoSpacing"/>
      </w:pPr>
      <w:r w:rsidRPr="001B2484">
        <w:t xml:space="preserve">Number of </w:t>
      </w:r>
      <w:r w:rsidR="003B6F2C" w:rsidRPr="001B2484">
        <w:t>individuals for w</w:t>
      </w:r>
      <w:r w:rsidRPr="001B2484">
        <w:t xml:space="preserve">hom </w:t>
      </w:r>
      <w:r w:rsidR="003B6F2C" w:rsidRPr="001B2484">
        <w:t>travel s</w:t>
      </w:r>
      <w:r w:rsidRPr="001B2484">
        <w:t xml:space="preserve">upport is </w:t>
      </w:r>
      <w:r w:rsidR="003B6F2C" w:rsidRPr="001B2484">
        <w:t>requested</w:t>
      </w:r>
      <w:r w:rsidRPr="001B2484">
        <w:t>: ______________</w:t>
      </w:r>
    </w:p>
    <w:p w:rsidR="0050762A" w:rsidRPr="001B2484" w:rsidRDefault="0050762A" w:rsidP="008C799E">
      <w:pPr>
        <w:pStyle w:val="NoSpacing"/>
      </w:pPr>
    </w:p>
    <w:p w:rsidR="0050762A" w:rsidRDefault="0050762A" w:rsidP="008C799E">
      <w:pPr>
        <w:pStyle w:val="NoSpacing"/>
      </w:pPr>
      <w:r w:rsidRPr="001B2484">
        <w:t>Primar</w:t>
      </w:r>
      <w:r w:rsidR="008B77CC">
        <w:t>y Jurisdiction Contact</w:t>
      </w:r>
    </w:p>
    <w:tbl>
      <w:tblPr>
        <w:tblStyle w:val="TableGrid"/>
        <w:tblW w:w="0" w:type="auto"/>
        <w:tblLook w:val="04A0"/>
      </w:tblPr>
      <w:tblGrid>
        <w:gridCol w:w="1728"/>
        <w:gridCol w:w="5760"/>
      </w:tblGrid>
      <w:tr w:rsidR="008B77CC" w:rsidTr="00D83619">
        <w:tc>
          <w:tcPr>
            <w:tcW w:w="1728" w:type="dxa"/>
          </w:tcPr>
          <w:p w:rsidR="008B77CC" w:rsidRPr="008F1183" w:rsidRDefault="008B77CC" w:rsidP="007B6625">
            <w:pPr>
              <w:pStyle w:val="NoSpacing"/>
            </w:pPr>
            <w:r w:rsidRPr="008F1183">
              <w:t>Name:</w:t>
            </w:r>
          </w:p>
        </w:tc>
        <w:tc>
          <w:tcPr>
            <w:tcW w:w="5760" w:type="dxa"/>
          </w:tcPr>
          <w:p w:rsidR="008B77CC" w:rsidRDefault="008B77CC" w:rsidP="008C799E">
            <w:pPr>
              <w:pStyle w:val="NoSpacing"/>
            </w:pPr>
          </w:p>
        </w:tc>
      </w:tr>
      <w:tr w:rsidR="008B77CC" w:rsidTr="00D83619">
        <w:tc>
          <w:tcPr>
            <w:tcW w:w="1728" w:type="dxa"/>
          </w:tcPr>
          <w:p w:rsidR="008B77CC" w:rsidRPr="008F1183" w:rsidRDefault="00D83619" w:rsidP="007B6625">
            <w:pPr>
              <w:pStyle w:val="NoSpacing"/>
            </w:pPr>
            <w:r>
              <w:t>Title/</w:t>
            </w:r>
            <w:r w:rsidR="008B77CC" w:rsidRPr="008F1183">
              <w:t>Position:</w:t>
            </w:r>
          </w:p>
        </w:tc>
        <w:tc>
          <w:tcPr>
            <w:tcW w:w="5760" w:type="dxa"/>
          </w:tcPr>
          <w:p w:rsidR="008B77CC" w:rsidRDefault="008B77CC" w:rsidP="008C799E">
            <w:pPr>
              <w:pStyle w:val="NoSpacing"/>
            </w:pPr>
          </w:p>
        </w:tc>
      </w:tr>
      <w:tr w:rsidR="008B77CC" w:rsidTr="00D83619">
        <w:tc>
          <w:tcPr>
            <w:tcW w:w="1728" w:type="dxa"/>
          </w:tcPr>
          <w:p w:rsidR="008B77CC" w:rsidRPr="008F1183" w:rsidRDefault="008B77CC" w:rsidP="007B6625">
            <w:pPr>
              <w:pStyle w:val="NoSpacing"/>
            </w:pPr>
            <w:r w:rsidRPr="008F1183">
              <w:t>Mailing Address:</w:t>
            </w:r>
          </w:p>
        </w:tc>
        <w:tc>
          <w:tcPr>
            <w:tcW w:w="5760" w:type="dxa"/>
          </w:tcPr>
          <w:p w:rsidR="008B77CC" w:rsidRDefault="008B77CC" w:rsidP="008C799E">
            <w:pPr>
              <w:pStyle w:val="NoSpacing"/>
            </w:pPr>
          </w:p>
          <w:p w:rsidR="008B77CC" w:rsidRDefault="008B77CC" w:rsidP="008C799E">
            <w:pPr>
              <w:pStyle w:val="NoSpacing"/>
            </w:pPr>
          </w:p>
        </w:tc>
      </w:tr>
      <w:tr w:rsidR="008B77CC" w:rsidTr="00D83619">
        <w:tc>
          <w:tcPr>
            <w:tcW w:w="1728" w:type="dxa"/>
          </w:tcPr>
          <w:p w:rsidR="008B77CC" w:rsidRPr="008F1183" w:rsidRDefault="008B77CC" w:rsidP="007B6625">
            <w:pPr>
              <w:pStyle w:val="NoSpacing"/>
            </w:pPr>
            <w:r w:rsidRPr="008F1183">
              <w:t>Email:</w:t>
            </w:r>
          </w:p>
        </w:tc>
        <w:tc>
          <w:tcPr>
            <w:tcW w:w="5760" w:type="dxa"/>
          </w:tcPr>
          <w:p w:rsidR="008B77CC" w:rsidRDefault="008B77CC" w:rsidP="008C799E">
            <w:pPr>
              <w:pStyle w:val="NoSpacing"/>
            </w:pPr>
          </w:p>
        </w:tc>
      </w:tr>
      <w:tr w:rsidR="008B77CC" w:rsidTr="00D83619">
        <w:tc>
          <w:tcPr>
            <w:tcW w:w="1728" w:type="dxa"/>
          </w:tcPr>
          <w:p w:rsidR="008B77CC" w:rsidRPr="008F1183" w:rsidRDefault="008B77CC" w:rsidP="007B6625">
            <w:pPr>
              <w:pStyle w:val="NoSpacing"/>
            </w:pPr>
            <w:r w:rsidRPr="008F1183">
              <w:t>Telephone:</w:t>
            </w:r>
          </w:p>
        </w:tc>
        <w:tc>
          <w:tcPr>
            <w:tcW w:w="5760" w:type="dxa"/>
          </w:tcPr>
          <w:p w:rsidR="008B77CC" w:rsidRDefault="008B77CC" w:rsidP="008C799E">
            <w:pPr>
              <w:pStyle w:val="NoSpacing"/>
            </w:pPr>
          </w:p>
        </w:tc>
      </w:tr>
      <w:tr w:rsidR="008B77CC" w:rsidTr="00D83619">
        <w:tc>
          <w:tcPr>
            <w:tcW w:w="1728" w:type="dxa"/>
          </w:tcPr>
          <w:p w:rsidR="008B77CC" w:rsidRPr="008F1183" w:rsidRDefault="008B77CC" w:rsidP="007B6625">
            <w:pPr>
              <w:pStyle w:val="NoSpacing"/>
            </w:pPr>
            <w:r w:rsidRPr="008F1183">
              <w:t>Mobile phone:</w:t>
            </w:r>
          </w:p>
        </w:tc>
        <w:tc>
          <w:tcPr>
            <w:tcW w:w="5760" w:type="dxa"/>
          </w:tcPr>
          <w:p w:rsidR="008B77CC" w:rsidRDefault="008B77CC" w:rsidP="008C799E">
            <w:pPr>
              <w:pStyle w:val="NoSpacing"/>
            </w:pPr>
          </w:p>
        </w:tc>
      </w:tr>
    </w:tbl>
    <w:p w:rsidR="00873908" w:rsidRPr="001B2484" w:rsidRDefault="00873908" w:rsidP="008C799E">
      <w:pPr>
        <w:pStyle w:val="NoSpacing"/>
      </w:pPr>
    </w:p>
    <w:p w:rsidR="00873908" w:rsidRPr="001B2484" w:rsidRDefault="001B2484" w:rsidP="008C799E">
      <w:pPr>
        <w:pStyle w:val="NoSpacing"/>
      </w:pPr>
      <w:r w:rsidRPr="001B2484">
        <w:t>Roster of Local Government or Jurisdiction Travelers to Charlotte</w:t>
      </w:r>
    </w:p>
    <w:tbl>
      <w:tblPr>
        <w:tblStyle w:val="TableGrid"/>
        <w:tblW w:w="0" w:type="auto"/>
        <w:tblLook w:val="04A0"/>
      </w:tblPr>
      <w:tblGrid>
        <w:gridCol w:w="378"/>
        <w:gridCol w:w="4765"/>
        <w:gridCol w:w="460"/>
        <w:gridCol w:w="4693"/>
      </w:tblGrid>
      <w:tr w:rsidR="001B2484" w:rsidTr="008B77CC">
        <w:tc>
          <w:tcPr>
            <w:tcW w:w="378" w:type="dxa"/>
          </w:tcPr>
          <w:p w:rsidR="001B2484" w:rsidRDefault="001B2484" w:rsidP="001B2484">
            <w:pPr>
              <w:pStyle w:val="NoSpacing"/>
              <w:jc w:val="center"/>
              <w:rPr>
                <w:sz w:val="24"/>
                <w:szCs w:val="24"/>
              </w:rPr>
            </w:pPr>
            <w:r>
              <w:rPr>
                <w:sz w:val="24"/>
                <w:szCs w:val="24"/>
              </w:rPr>
              <w:t>1</w:t>
            </w:r>
          </w:p>
        </w:tc>
        <w:tc>
          <w:tcPr>
            <w:tcW w:w="4765" w:type="dxa"/>
          </w:tcPr>
          <w:p w:rsidR="001B2484" w:rsidRPr="001B2484" w:rsidRDefault="001B2484" w:rsidP="001B2484">
            <w:pPr>
              <w:pStyle w:val="NoSpacing"/>
              <w:rPr>
                <w:sz w:val="20"/>
                <w:szCs w:val="20"/>
              </w:rPr>
            </w:pPr>
            <w:r w:rsidRPr="001B2484">
              <w:rPr>
                <w:sz w:val="20"/>
                <w:szCs w:val="20"/>
              </w:rPr>
              <w:t>Name:</w:t>
            </w:r>
          </w:p>
          <w:p w:rsidR="001B2484" w:rsidRPr="001B2484" w:rsidRDefault="001B2484" w:rsidP="001B2484">
            <w:pPr>
              <w:pStyle w:val="NoSpacing"/>
              <w:rPr>
                <w:sz w:val="20"/>
                <w:szCs w:val="20"/>
              </w:rPr>
            </w:pPr>
            <w:r w:rsidRPr="001B2484">
              <w:rPr>
                <w:sz w:val="20"/>
                <w:szCs w:val="20"/>
              </w:rPr>
              <w:t>Position:</w:t>
            </w:r>
          </w:p>
          <w:p w:rsidR="001B2484" w:rsidRPr="001B2484" w:rsidRDefault="001B2484" w:rsidP="001B2484">
            <w:pPr>
              <w:pStyle w:val="NoSpacing"/>
              <w:rPr>
                <w:sz w:val="20"/>
                <w:szCs w:val="20"/>
              </w:rPr>
            </w:pPr>
            <w:r w:rsidRPr="001B2484">
              <w:rPr>
                <w:sz w:val="20"/>
                <w:szCs w:val="20"/>
              </w:rPr>
              <w:t>Email:</w:t>
            </w:r>
          </w:p>
          <w:p w:rsidR="001B2484" w:rsidRPr="001B2484" w:rsidRDefault="001B2484" w:rsidP="001B2484">
            <w:pPr>
              <w:pStyle w:val="NoSpacing"/>
              <w:rPr>
                <w:sz w:val="20"/>
                <w:szCs w:val="20"/>
              </w:rPr>
            </w:pPr>
            <w:r w:rsidRPr="001B2484">
              <w:rPr>
                <w:sz w:val="20"/>
                <w:szCs w:val="20"/>
              </w:rPr>
              <w:t>Telephone:</w:t>
            </w:r>
          </w:p>
          <w:p w:rsidR="001B2484" w:rsidRDefault="001B2484" w:rsidP="001B2484">
            <w:pPr>
              <w:pStyle w:val="NoSpacing"/>
              <w:rPr>
                <w:sz w:val="24"/>
                <w:szCs w:val="24"/>
              </w:rPr>
            </w:pPr>
            <w:r w:rsidRPr="001B2484">
              <w:rPr>
                <w:sz w:val="20"/>
                <w:szCs w:val="20"/>
              </w:rPr>
              <w:t>Mobile phone:</w:t>
            </w:r>
          </w:p>
        </w:tc>
        <w:tc>
          <w:tcPr>
            <w:tcW w:w="460" w:type="dxa"/>
          </w:tcPr>
          <w:p w:rsidR="001B2484" w:rsidRDefault="001B2484" w:rsidP="001B2484">
            <w:pPr>
              <w:pStyle w:val="NoSpacing"/>
              <w:jc w:val="center"/>
              <w:rPr>
                <w:sz w:val="24"/>
                <w:szCs w:val="24"/>
              </w:rPr>
            </w:pPr>
            <w:r>
              <w:rPr>
                <w:sz w:val="24"/>
                <w:szCs w:val="24"/>
              </w:rPr>
              <w:t>7</w:t>
            </w:r>
          </w:p>
        </w:tc>
        <w:tc>
          <w:tcPr>
            <w:tcW w:w="4693" w:type="dxa"/>
          </w:tcPr>
          <w:p w:rsidR="001B2484" w:rsidRPr="001B2484" w:rsidRDefault="001B2484" w:rsidP="001B2484">
            <w:pPr>
              <w:pStyle w:val="NoSpacing"/>
              <w:rPr>
                <w:sz w:val="20"/>
                <w:szCs w:val="20"/>
              </w:rPr>
            </w:pPr>
            <w:r w:rsidRPr="001B2484">
              <w:rPr>
                <w:sz w:val="20"/>
                <w:szCs w:val="20"/>
              </w:rPr>
              <w:t>Name:</w:t>
            </w:r>
          </w:p>
          <w:p w:rsidR="001B2484" w:rsidRPr="001B2484" w:rsidRDefault="001B2484" w:rsidP="001B2484">
            <w:pPr>
              <w:pStyle w:val="NoSpacing"/>
              <w:rPr>
                <w:sz w:val="20"/>
                <w:szCs w:val="20"/>
              </w:rPr>
            </w:pPr>
            <w:r w:rsidRPr="001B2484">
              <w:rPr>
                <w:sz w:val="20"/>
                <w:szCs w:val="20"/>
              </w:rPr>
              <w:t>Position:</w:t>
            </w:r>
          </w:p>
          <w:p w:rsidR="001B2484" w:rsidRPr="001B2484" w:rsidRDefault="001B2484" w:rsidP="001B2484">
            <w:pPr>
              <w:pStyle w:val="NoSpacing"/>
              <w:rPr>
                <w:sz w:val="20"/>
                <w:szCs w:val="20"/>
              </w:rPr>
            </w:pPr>
            <w:r w:rsidRPr="001B2484">
              <w:rPr>
                <w:sz w:val="20"/>
                <w:szCs w:val="20"/>
              </w:rPr>
              <w:t>Email:</w:t>
            </w:r>
          </w:p>
          <w:p w:rsidR="001B2484" w:rsidRPr="001B2484" w:rsidRDefault="001B2484" w:rsidP="001B2484">
            <w:pPr>
              <w:pStyle w:val="NoSpacing"/>
              <w:rPr>
                <w:sz w:val="20"/>
                <w:szCs w:val="20"/>
              </w:rPr>
            </w:pPr>
            <w:r w:rsidRPr="001B2484">
              <w:rPr>
                <w:sz w:val="20"/>
                <w:szCs w:val="20"/>
              </w:rPr>
              <w:t>Telephone:</w:t>
            </w:r>
          </w:p>
          <w:p w:rsidR="001B2484" w:rsidRDefault="001B2484" w:rsidP="001B2484">
            <w:pPr>
              <w:pStyle w:val="NoSpacing"/>
              <w:rPr>
                <w:sz w:val="24"/>
                <w:szCs w:val="24"/>
              </w:rPr>
            </w:pPr>
            <w:r w:rsidRPr="001B2484">
              <w:rPr>
                <w:sz w:val="20"/>
                <w:szCs w:val="20"/>
              </w:rPr>
              <w:t>Mobile phone:</w:t>
            </w:r>
          </w:p>
        </w:tc>
      </w:tr>
      <w:tr w:rsidR="001B2484" w:rsidTr="008B77CC">
        <w:tc>
          <w:tcPr>
            <w:tcW w:w="378" w:type="dxa"/>
          </w:tcPr>
          <w:p w:rsidR="001B2484" w:rsidRDefault="001B2484" w:rsidP="001B2484">
            <w:pPr>
              <w:pStyle w:val="NoSpacing"/>
              <w:jc w:val="center"/>
              <w:rPr>
                <w:sz w:val="24"/>
                <w:szCs w:val="24"/>
              </w:rPr>
            </w:pPr>
            <w:r>
              <w:rPr>
                <w:sz w:val="24"/>
                <w:szCs w:val="24"/>
              </w:rPr>
              <w:t>2</w:t>
            </w:r>
          </w:p>
        </w:tc>
        <w:tc>
          <w:tcPr>
            <w:tcW w:w="4765" w:type="dxa"/>
          </w:tcPr>
          <w:p w:rsidR="001B2484" w:rsidRPr="001B2484" w:rsidRDefault="001B2484" w:rsidP="001B2484">
            <w:pPr>
              <w:pStyle w:val="NoSpacing"/>
              <w:rPr>
                <w:sz w:val="20"/>
                <w:szCs w:val="20"/>
              </w:rPr>
            </w:pPr>
            <w:r w:rsidRPr="001B2484">
              <w:rPr>
                <w:sz w:val="20"/>
                <w:szCs w:val="20"/>
              </w:rPr>
              <w:t>Name:</w:t>
            </w:r>
          </w:p>
          <w:p w:rsidR="001B2484" w:rsidRPr="001B2484" w:rsidRDefault="001B2484" w:rsidP="001B2484">
            <w:pPr>
              <w:pStyle w:val="NoSpacing"/>
              <w:rPr>
                <w:sz w:val="20"/>
                <w:szCs w:val="20"/>
              </w:rPr>
            </w:pPr>
            <w:r w:rsidRPr="001B2484">
              <w:rPr>
                <w:sz w:val="20"/>
                <w:szCs w:val="20"/>
              </w:rPr>
              <w:t>Position:</w:t>
            </w:r>
          </w:p>
          <w:p w:rsidR="001B2484" w:rsidRPr="001B2484" w:rsidRDefault="001B2484" w:rsidP="001B2484">
            <w:pPr>
              <w:pStyle w:val="NoSpacing"/>
              <w:rPr>
                <w:sz w:val="20"/>
                <w:szCs w:val="20"/>
              </w:rPr>
            </w:pPr>
            <w:r w:rsidRPr="001B2484">
              <w:rPr>
                <w:sz w:val="20"/>
                <w:szCs w:val="20"/>
              </w:rPr>
              <w:t>Email:</w:t>
            </w:r>
          </w:p>
          <w:p w:rsidR="001B2484" w:rsidRPr="001B2484" w:rsidRDefault="001B2484" w:rsidP="001B2484">
            <w:pPr>
              <w:pStyle w:val="NoSpacing"/>
              <w:rPr>
                <w:sz w:val="20"/>
                <w:szCs w:val="20"/>
              </w:rPr>
            </w:pPr>
            <w:r w:rsidRPr="001B2484">
              <w:rPr>
                <w:sz w:val="20"/>
                <w:szCs w:val="20"/>
              </w:rPr>
              <w:t>Telephone:</w:t>
            </w:r>
          </w:p>
          <w:p w:rsidR="001B2484" w:rsidRDefault="001B2484" w:rsidP="001B2484">
            <w:pPr>
              <w:pStyle w:val="NoSpacing"/>
              <w:rPr>
                <w:sz w:val="24"/>
                <w:szCs w:val="24"/>
              </w:rPr>
            </w:pPr>
            <w:r w:rsidRPr="001B2484">
              <w:rPr>
                <w:sz w:val="20"/>
                <w:szCs w:val="20"/>
              </w:rPr>
              <w:t>Mobile phone:</w:t>
            </w:r>
          </w:p>
        </w:tc>
        <w:tc>
          <w:tcPr>
            <w:tcW w:w="460" w:type="dxa"/>
          </w:tcPr>
          <w:p w:rsidR="001B2484" w:rsidRDefault="001B2484" w:rsidP="001B2484">
            <w:pPr>
              <w:pStyle w:val="NoSpacing"/>
              <w:jc w:val="center"/>
              <w:rPr>
                <w:sz w:val="24"/>
                <w:szCs w:val="24"/>
              </w:rPr>
            </w:pPr>
            <w:r>
              <w:rPr>
                <w:sz w:val="24"/>
                <w:szCs w:val="24"/>
              </w:rPr>
              <w:t>8</w:t>
            </w:r>
          </w:p>
        </w:tc>
        <w:tc>
          <w:tcPr>
            <w:tcW w:w="4693" w:type="dxa"/>
          </w:tcPr>
          <w:p w:rsidR="001B2484" w:rsidRPr="001B2484" w:rsidRDefault="001B2484" w:rsidP="001B2484">
            <w:pPr>
              <w:pStyle w:val="NoSpacing"/>
              <w:rPr>
                <w:sz w:val="20"/>
                <w:szCs w:val="20"/>
              </w:rPr>
            </w:pPr>
            <w:r w:rsidRPr="001B2484">
              <w:rPr>
                <w:sz w:val="20"/>
                <w:szCs w:val="20"/>
              </w:rPr>
              <w:t>Name:</w:t>
            </w:r>
          </w:p>
          <w:p w:rsidR="001B2484" w:rsidRPr="001B2484" w:rsidRDefault="001B2484" w:rsidP="001B2484">
            <w:pPr>
              <w:pStyle w:val="NoSpacing"/>
              <w:rPr>
                <w:sz w:val="20"/>
                <w:szCs w:val="20"/>
              </w:rPr>
            </w:pPr>
            <w:r w:rsidRPr="001B2484">
              <w:rPr>
                <w:sz w:val="20"/>
                <w:szCs w:val="20"/>
              </w:rPr>
              <w:t>Position:</w:t>
            </w:r>
          </w:p>
          <w:p w:rsidR="001B2484" w:rsidRPr="001B2484" w:rsidRDefault="001B2484" w:rsidP="001B2484">
            <w:pPr>
              <w:pStyle w:val="NoSpacing"/>
              <w:rPr>
                <w:sz w:val="20"/>
                <w:szCs w:val="20"/>
              </w:rPr>
            </w:pPr>
            <w:r w:rsidRPr="001B2484">
              <w:rPr>
                <w:sz w:val="20"/>
                <w:szCs w:val="20"/>
              </w:rPr>
              <w:t>Email:</w:t>
            </w:r>
          </w:p>
          <w:p w:rsidR="001B2484" w:rsidRPr="001B2484" w:rsidRDefault="001B2484" w:rsidP="001B2484">
            <w:pPr>
              <w:pStyle w:val="NoSpacing"/>
              <w:rPr>
                <w:sz w:val="20"/>
                <w:szCs w:val="20"/>
              </w:rPr>
            </w:pPr>
            <w:r w:rsidRPr="001B2484">
              <w:rPr>
                <w:sz w:val="20"/>
                <w:szCs w:val="20"/>
              </w:rPr>
              <w:t>Telephone:</w:t>
            </w:r>
          </w:p>
          <w:p w:rsidR="001B2484" w:rsidRDefault="001B2484" w:rsidP="001B2484">
            <w:pPr>
              <w:pStyle w:val="NoSpacing"/>
              <w:rPr>
                <w:sz w:val="24"/>
                <w:szCs w:val="24"/>
              </w:rPr>
            </w:pPr>
            <w:r w:rsidRPr="001B2484">
              <w:rPr>
                <w:sz w:val="20"/>
                <w:szCs w:val="20"/>
              </w:rPr>
              <w:t>Mobile phone:</w:t>
            </w:r>
          </w:p>
        </w:tc>
      </w:tr>
      <w:tr w:rsidR="001B2484" w:rsidTr="008B77CC">
        <w:tc>
          <w:tcPr>
            <w:tcW w:w="378" w:type="dxa"/>
          </w:tcPr>
          <w:p w:rsidR="001B2484" w:rsidRDefault="001B2484" w:rsidP="001B2484">
            <w:pPr>
              <w:pStyle w:val="NoSpacing"/>
              <w:jc w:val="center"/>
              <w:rPr>
                <w:sz w:val="24"/>
                <w:szCs w:val="24"/>
              </w:rPr>
            </w:pPr>
            <w:r>
              <w:rPr>
                <w:sz w:val="24"/>
                <w:szCs w:val="24"/>
              </w:rPr>
              <w:t>3</w:t>
            </w:r>
          </w:p>
        </w:tc>
        <w:tc>
          <w:tcPr>
            <w:tcW w:w="4765" w:type="dxa"/>
          </w:tcPr>
          <w:p w:rsidR="001B2484" w:rsidRPr="001B2484" w:rsidRDefault="001B2484" w:rsidP="001B2484">
            <w:pPr>
              <w:pStyle w:val="NoSpacing"/>
              <w:rPr>
                <w:sz w:val="20"/>
                <w:szCs w:val="20"/>
              </w:rPr>
            </w:pPr>
            <w:r w:rsidRPr="001B2484">
              <w:rPr>
                <w:sz w:val="20"/>
                <w:szCs w:val="20"/>
              </w:rPr>
              <w:t>Name:</w:t>
            </w:r>
          </w:p>
          <w:p w:rsidR="001B2484" w:rsidRPr="001B2484" w:rsidRDefault="001B2484" w:rsidP="001B2484">
            <w:pPr>
              <w:pStyle w:val="NoSpacing"/>
              <w:rPr>
                <w:sz w:val="20"/>
                <w:szCs w:val="20"/>
              </w:rPr>
            </w:pPr>
            <w:r w:rsidRPr="001B2484">
              <w:rPr>
                <w:sz w:val="20"/>
                <w:szCs w:val="20"/>
              </w:rPr>
              <w:t>Position:</w:t>
            </w:r>
          </w:p>
          <w:p w:rsidR="001B2484" w:rsidRPr="001B2484" w:rsidRDefault="001B2484" w:rsidP="001B2484">
            <w:pPr>
              <w:pStyle w:val="NoSpacing"/>
              <w:rPr>
                <w:sz w:val="20"/>
                <w:szCs w:val="20"/>
              </w:rPr>
            </w:pPr>
            <w:r w:rsidRPr="001B2484">
              <w:rPr>
                <w:sz w:val="20"/>
                <w:szCs w:val="20"/>
              </w:rPr>
              <w:t>Email:</w:t>
            </w:r>
          </w:p>
          <w:p w:rsidR="001B2484" w:rsidRPr="001B2484" w:rsidRDefault="001B2484" w:rsidP="001B2484">
            <w:pPr>
              <w:pStyle w:val="NoSpacing"/>
              <w:rPr>
                <w:sz w:val="20"/>
                <w:szCs w:val="20"/>
              </w:rPr>
            </w:pPr>
            <w:r w:rsidRPr="001B2484">
              <w:rPr>
                <w:sz w:val="20"/>
                <w:szCs w:val="20"/>
              </w:rPr>
              <w:t>Telephone:</w:t>
            </w:r>
          </w:p>
          <w:p w:rsidR="001B2484" w:rsidRDefault="001B2484" w:rsidP="001B2484">
            <w:pPr>
              <w:pStyle w:val="NoSpacing"/>
              <w:rPr>
                <w:sz w:val="24"/>
                <w:szCs w:val="24"/>
              </w:rPr>
            </w:pPr>
            <w:r w:rsidRPr="001B2484">
              <w:rPr>
                <w:sz w:val="20"/>
                <w:szCs w:val="20"/>
              </w:rPr>
              <w:t>Mobile phone:</w:t>
            </w:r>
          </w:p>
        </w:tc>
        <w:tc>
          <w:tcPr>
            <w:tcW w:w="460" w:type="dxa"/>
          </w:tcPr>
          <w:p w:rsidR="001B2484" w:rsidRDefault="001B2484" w:rsidP="001B2484">
            <w:pPr>
              <w:pStyle w:val="NoSpacing"/>
              <w:jc w:val="center"/>
              <w:rPr>
                <w:sz w:val="24"/>
                <w:szCs w:val="24"/>
              </w:rPr>
            </w:pPr>
            <w:r>
              <w:rPr>
                <w:sz w:val="24"/>
                <w:szCs w:val="24"/>
              </w:rPr>
              <w:t>9</w:t>
            </w:r>
          </w:p>
        </w:tc>
        <w:tc>
          <w:tcPr>
            <w:tcW w:w="4693" w:type="dxa"/>
          </w:tcPr>
          <w:p w:rsidR="001B2484" w:rsidRPr="001B2484" w:rsidRDefault="001B2484" w:rsidP="001B2484">
            <w:pPr>
              <w:pStyle w:val="NoSpacing"/>
              <w:rPr>
                <w:sz w:val="20"/>
                <w:szCs w:val="20"/>
              </w:rPr>
            </w:pPr>
            <w:r w:rsidRPr="001B2484">
              <w:rPr>
                <w:sz w:val="20"/>
                <w:szCs w:val="20"/>
              </w:rPr>
              <w:t>Name:</w:t>
            </w:r>
          </w:p>
          <w:p w:rsidR="001B2484" w:rsidRPr="001B2484" w:rsidRDefault="001B2484" w:rsidP="001B2484">
            <w:pPr>
              <w:pStyle w:val="NoSpacing"/>
              <w:rPr>
                <w:sz w:val="20"/>
                <w:szCs w:val="20"/>
              </w:rPr>
            </w:pPr>
            <w:r w:rsidRPr="001B2484">
              <w:rPr>
                <w:sz w:val="20"/>
                <w:szCs w:val="20"/>
              </w:rPr>
              <w:t>Position:</w:t>
            </w:r>
          </w:p>
          <w:p w:rsidR="001B2484" w:rsidRPr="001B2484" w:rsidRDefault="001B2484" w:rsidP="001B2484">
            <w:pPr>
              <w:pStyle w:val="NoSpacing"/>
              <w:rPr>
                <w:sz w:val="20"/>
                <w:szCs w:val="20"/>
              </w:rPr>
            </w:pPr>
            <w:r w:rsidRPr="001B2484">
              <w:rPr>
                <w:sz w:val="20"/>
                <w:szCs w:val="20"/>
              </w:rPr>
              <w:t>Email:</w:t>
            </w:r>
          </w:p>
          <w:p w:rsidR="001B2484" w:rsidRPr="001B2484" w:rsidRDefault="001B2484" w:rsidP="001B2484">
            <w:pPr>
              <w:pStyle w:val="NoSpacing"/>
              <w:rPr>
                <w:sz w:val="20"/>
                <w:szCs w:val="20"/>
              </w:rPr>
            </w:pPr>
            <w:r w:rsidRPr="001B2484">
              <w:rPr>
                <w:sz w:val="20"/>
                <w:szCs w:val="20"/>
              </w:rPr>
              <w:t>Telephone:</w:t>
            </w:r>
          </w:p>
          <w:p w:rsidR="001B2484" w:rsidRDefault="001B2484" w:rsidP="001B2484">
            <w:pPr>
              <w:pStyle w:val="NoSpacing"/>
              <w:rPr>
                <w:sz w:val="24"/>
                <w:szCs w:val="24"/>
              </w:rPr>
            </w:pPr>
            <w:r w:rsidRPr="001B2484">
              <w:rPr>
                <w:sz w:val="20"/>
                <w:szCs w:val="20"/>
              </w:rPr>
              <w:t>Mobile phone:</w:t>
            </w:r>
          </w:p>
        </w:tc>
      </w:tr>
      <w:tr w:rsidR="001B2484" w:rsidTr="008B77CC">
        <w:tc>
          <w:tcPr>
            <w:tcW w:w="378" w:type="dxa"/>
          </w:tcPr>
          <w:p w:rsidR="001B2484" w:rsidRDefault="001B2484" w:rsidP="001B2484">
            <w:pPr>
              <w:pStyle w:val="NoSpacing"/>
              <w:jc w:val="center"/>
              <w:rPr>
                <w:sz w:val="24"/>
                <w:szCs w:val="24"/>
              </w:rPr>
            </w:pPr>
            <w:r>
              <w:rPr>
                <w:sz w:val="24"/>
                <w:szCs w:val="24"/>
              </w:rPr>
              <w:t>4</w:t>
            </w:r>
          </w:p>
        </w:tc>
        <w:tc>
          <w:tcPr>
            <w:tcW w:w="4765" w:type="dxa"/>
          </w:tcPr>
          <w:p w:rsidR="001B2484" w:rsidRPr="001B2484" w:rsidRDefault="001B2484" w:rsidP="001B2484">
            <w:pPr>
              <w:pStyle w:val="NoSpacing"/>
              <w:rPr>
                <w:sz w:val="20"/>
                <w:szCs w:val="20"/>
              </w:rPr>
            </w:pPr>
            <w:r w:rsidRPr="001B2484">
              <w:rPr>
                <w:sz w:val="20"/>
                <w:szCs w:val="20"/>
              </w:rPr>
              <w:t>Name:</w:t>
            </w:r>
          </w:p>
          <w:p w:rsidR="001B2484" w:rsidRPr="001B2484" w:rsidRDefault="001B2484" w:rsidP="001B2484">
            <w:pPr>
              <w:pStyle w:val="NoSpacing"/>
              <w:rPr>
                <w:sz w:val="20"/>
                <w:szCs w:val="20"/>
              </w:rPr>
            </w:pPr>
            <w:r w:rsidRPr="001B2484">
              <w:rPr>
                <w:sz w:val="20"/>
                <w:szCs w:val="20"/>
              </w:rPr>
              <w:t>Position:</w:t>
            </w:r>
          </w:p>
          <w:p w:rsidR="001B2484" w:rsidRPr="001B2484" w:rsidRDefault="001B2484" w:rsidP="001B2484">
            <w:pPr>
              <w:pStyle w:val="NoSpacing"/>
              <w:rPr>
                <w:sz w:val="20"/>
                <w:szCs w:val="20"/>
              </w:rPr>
            </w:pPr>
            <w:r w:rsidRPr="001B2484">
              <w:rPr>
                <w:sz w:val="20"/>
                <w:szCs w:val="20"/>
              </w:rPr>
              <w:t>Email:</w:t>
            </w:r>
          </w:p>
          <w:p w:rsidR="001B2484" w:rsidRPr="001B2484" w:rsidRDefault="001B2484" w:rsidP="001B2484">
            <w:pPr>
              <w:pStyle w:val="NoSpacing"/>
              <w:rPr>
                <w:sz w:val="20"/>
                <w:szCs w:val="20"/>
              </w:rPr>
            </w:pPr>
            <w:r w:rsidRPr="001B2484">
              <w:rPr>
                <w:sz w:val="20"/>
                <w:szCs w:val="20"/>
              </w:rPr>
              <w:t>Telephone:</w:t>
            </w:r>
          </w:p>
          <w:p w:rsidR="001B2484" w:rsidRDefault="001B2484" w:rsidP="001B2484">
            <w:pPr>
              <w:pStyle w:val="NoSpacing"/>
              <w:rPr>
                <w:sz w:val="24"/>
                <w:szCs w:val="24"/>
              </w:rPr>
            </w:pPr>
            <w:r w:rsidRPr="001B2484">
              <w:rPr>
                <w:sz w:val="20"/>
                <w:szCs w:val="20"/>
              </w:rPr>
              <w:t>Mobile phone:</w:t>
            </w:r>
          </w:p>
        </w:tc>
        <w:tc>
          <w:tcPr>
            <w:tcW w:w="460" w:type="dxa"/>
          </w:tcPr>
          <w:p w:rsidR="001B2484" w:rsidRDefault="001B2484" w:rsidP="001B2484">
            <w:pPr>
              <w:pStyle w:val="NoSpacing"/>
              <w:jc w:val="center"/>
              <w:rPr>
                <w:sz w:val="24"/>
                <w:szCs w:val="24"/>
              </w:rPr>
            </w:pPr>
            <w:r>
              <w:rPr>
                <w:sz w:val="24"/>
                <w:szCs w:val="24"/>
              </w:rPr>
              <w:t>10</w:t>
            </w:r>
          </w:p>
        </w:tc>
        <w:tc>
          <w:tcPr>
            <w:tcW w:w="4693" w:type="dxa"/>
          </w:tcPr>
          <w:p w:rsidR="001B2484" w:rsidRPr="001B2484" w:rsidRDefault="001B2484" w:rsidP="001B2484">
            <w:pPr>
              <w:pStyle w:val="NoSpacing"/>
              <w:rPr>
                <w:sz w:val="20"/>
                <w:szCs w:val="20"/>
              </w:rPr>
            </w:pPr>
            <w:r w:rsidRPr="001B2484">
              <w:rPr>
                <w:sz w:val="20"/>
                <w:szCs w:val="20"/>
              </w:rPr>
              <w:t>Name:</w:t>
            </w:r>
          </w:p>
          <w:p w:rsidR="001B2484" w:rsidRPr="001B2484" w:rsidRDefault="001B2484" w:rsidP="001B2484">
            <w:pPr>
              <w:pStyle w:val="NoSpacing"/>
              <w:rPr>
                <w:sz w:val="20"/>
                <w:szCs w:val="20"/>
              </w:rPr>
            </w:pPr>
            <w:r w:rsidRPr="001B2484">
              <w:rPr>
                <w:sz w:val="20"/>
                <w:szCs w:val="20"/>
              </w:rPr>
              <w:t>Position:</w:t>
            </w:r>
          </w:p>
          <w:p w:rsidR="001B2484" w:rsidRPr="001B2484" w:rsidRDefault="001B2484" w:rsidP="001B2484">
            <w:pPr>
              <w:pStyle w:val="NoSpacing"/>
              <w:rPr>
                <w:sz w:val="20"/>
                <w:szCs w:val="20"/>
              </w:rPr>
            </w:pPr>
            <w:r w:rsidRPr="001B2484">
              <w:rPr>
                <w:sz w:val="20"/>
                <w:szCs w:val="20"/>
              </w:rPr>
              <w:t>Email:</w:t>
            </w:r>
          </w:p>
          <w:p w:rsidR="001B2484" w:rsidRPr="001B2484" w:rsidRDefault="001B2484" w:rsidP="001B2484">
            <w:pPr>
              <w:pStyle w:val="NoSpacing"/>
              <w:rPr>
                <w:sz w:val="20"/>
                <w:szCs w:val="20"/>
              </w:rPr>
            </w:pPr>
            <w:r w:rsidRPr="001B2484">
              <w:rPr>
                <w:sz w:val="20"/>
                <w:szCs w:val="20"/>
              </w:rPr>
              <w:t>Telephone:</w:t>
            </w:r>
          </w:p>
          <w:p w:rsidR="001B2484" w:rsidRDefault="001B2484" w:rsidP="001B2484">
            <w:pPr>
              <w:pStyle w:val="NoSpacing"/>
              <w:rPr>
                <w:sz w:val="24"/>
                <w:szCs w:val="24"/>
              </w:rPr>
            </w:pPr>
            <w:r w:rsidRPr="001B2484">
              <w:rPr>
                <w:sz w:val="20"/>
                <w:szCs w:val="20"/>
              </w:rPr>
              <w:t>Mobile phone:</w:t>
            </w:r>
          </w:p>
        </w:tc>
      </w:tr>
      <w:tr w:rsidR="001B2484" w:rsidTr="008B77CC">
        <w:tc>
          <w:tcPr>
            <w:tcW w:w="378" w:type="dxa"/>
          </w:tcPr>
          <w:p w:rsidR="001B2484" w:rsidRDefault="001B2484" w:rsidP="001B2484">
            <w:pPr>
              <w:pStyle w:val="NoSpacing"/>
              <w:jc w:val="center"/>
              <w:rPr>
                <w:sz w:val="24"/>
                <w:szCs w:val="24"/>
              </w:rPr>
            </w:pPr>
            <w:r>
              <w:rPr>
                <w:sz w:val="24"/>
                <w:szCs w:val="24"/>
              </w:rPr>
              <w:t>5</w:t>
            </w:r>
          </w:p>
        </w:tc>
        <w:tc>
          <w:tcPr>
            <w:tcW w:w="4765" w:type="dxa"/>
          </w:tcPr>
          <w:p w:rsidR="001B2484" w:rsidRPr="001B2484" w:rsidRDefault="001B2484" w:rsidP="001B2484">
            <w:pPr>
              <w:pStyle w:val="NoSpacing"/>
              <w:rPr>
                <w:sz w:val="20"/>
                <w:szCs w:val="20"/>
              </w:rPr>
            </w:pPr>
            <w:r w:rsidRPr="001B2484">
              <w:rPr>
                <w:sz w:val="20"/>
                <w:szCs w:val="20"/>
              </w:rPr>
              <w:t>Name:</w:t>
            </w:r>
          </w:p>
          <w:p w:rsidR="001B2484" w:rsidRPr="001B2484" w:rsidRDefault="001B2484" w:rsidP="001B2484">
            <w:pPr>
              <w:pStyle w:val="NoSpacing"/>
              <w:rPr>
                <w:sz w:val="20"/>
                <w:szCs w:val="20"/>
              </w:rPr>
            </w:pPr>
            <w:r w:rsidRPr="001B2484">
              <w:rPr>
                <w:sz w:val="20"/>
                <w:szCs w:val="20"/>
              </w:rPr>
              <w:t>Position:</w:t>
            </w:r>
          </w:p>
          <w:p w:rsidR="001B2484" w:rsidRPr="001B2484" w:rsidRDefault="001B2484" w:rsidP="001B2484">
            <w:pPr>
              <w:pStyle w:val="NoSpacing"/>
              <w:rPr>
                <w:sz w:val="20"/>
                <w:szCs w:val="20"/>
              </w:rPr>
            </w:pPr>
            <w:r w:rsidRPr="001B2484">
              <w:rPr>
                <w:sz w:val="20"/>
                <w:szCs w:val="20"/>
              </w:rPr>
              <w:t>Email:</w:t>
            </w:r>
          </w:p>
          <w:p w:rsidR="001B2484" w:rsidRPr="001B2484" w:rsidRDefault="001B2484" w:rsidP="001B2484">
            <w:pPr>
              <w:pStyle w:val="NoSpacing"/>
              <w:rPr>
                <w:sz w:val="20"/>
                <w:szCs w:val="20"/>
              </w:rPr>
            </w:pPr>
            <w:r w:rsidRPr="001B2484">
              <w:rPr>
                <w:sz w:val="20"/>
                <w:szCs w:val="20"/>
              </w:rPr>
              <w:t>Telephone:</w:t>
            </w:r>
          </w:p>
          <w:p w:rsidR="001B2484" w:rsidRDefault="001B2484" w:rsidP="001B2484">
            <w:pPr>
              <w:pStyle w:val="NoSpacing"/>
              <w:rPr>
                <w:sz w:val="24"/>
                <w:szCs w:val="24"/>
              </w:rPr>
            </w:pPr>
            <w:r w:rsidRPr="001B2484">
              <w:rPr>
                <w:sz w:val="20"/>
                <w:szCs w:val="20"/>
              </w:rPr>
              <w:t>Mobile phone:</w:t>
            </w:r>
          </w:p>
        </w:tc>
        <w:tc>
          <w:tcPr>
            <w:tcW w:w="460" w:type="dxa"/>
          </w:tcPr>
          <w:p w:rsidR="001B2484" w:rsidRDefault="001B2484" w:rsidP="001B2484">
            <w:pPr>
              <w:pStyle w:val="NoSpacing"/>
              <w:jc w:val="center"/>
              <w:rPr>
                <w:sz w:val="24"/>
                <w:szCs w:val="24"/>
              </w:rPr>
            </w:pPr>
            <w:r>
              <w:rPr>
                <w:sz w:val="24"/>
                <w:szCs w:val="24"/>
              </w:rPr>
              <w:t>11</w:t>
            </w:r>
          </w:p>
        </w:tc>
        <w:tc>
          <w:tcPr>
            <w:tcW w:w="4693" w:type="dxa"/>
          </w:tcPr>
          <w:p w:rsidR="001B2484" w:rsidRPr="001B2484" w:rsidRDefault="001B2484" w:rsidP="001B2484">
            <w:pPr>
              <w:pStyle w:val="NoSpacing"/>
              <w:rPr>
                <w:sz w:val="20"/>
                <w:szCs w:val="20"/>
              </w:rPr>
            </w:pPr>
            <w:r w:rsidRPr="001B2484">
              <w:rPr>
                <w:sz w:val="20"/>
                <w:szCs w:val="20"/>
              </w:rPr>
              <w:t>Name:</w:t>
            </w:r>
          </w:p>
          <w:p w:rsidR="001B2484" w:rsidRPr="001B2484" w:rsidRDefault="001B2484" w:rsidP="001B2484">
            <w:pPr>
              <w:pStyle w:val="NoSpacing"/>
              <w:rPr>
                <w:sz w:val="20"/>
                <w:szCs w:val="20"/>
              </w:rPr>
            </w:pPr>
            <w:r w:rsidRPr="001B2484">
              <w:rPr>
                <w:sz w:val="20"/>
                <w:szCs w:val="20"/>
              </w:rPr>
              <w:t>Position:</w:t>
            </w:r>
          </w:p>
          <w:p w:rsidR="001B2484" w:rsidRPr="001B2484" w:rsidRDefault="001B2484" w:rsidP="001B2484">
            <w:pPr>
              <w:pStyle w:val="NoSpacing"/>
              <w:rPr>
                <w:sz w:val="20"/>
                <w:szCs w:val="20"/>
              </w:rPr>
            </w:pPr>
            <w:r w:rsidRPr="001B2484">
              <w:rPr>
                <w:sz w:val="20"/>
                <w:szCs w:val="20"/>
              </w:rPr>
              <w:t>Email:</w:t>
            </w:r>
          </w:p>
          <w:p w:rsidR="001B2484" w:rsidRPr="001B2484" w:rsidRDefault="001B2484" w:rsidP="001B2484">
            <w:pPr>
              <w:pStyle w:val="NoSpacing"/>
              <w:rPr>
                <w:sz w:val="20"/>
                <w:szCs w:val="20"/>
              </w:rPr>
            </w:pPr>
            <w:r w:rsidRPr="001B2484">
              <w:rPr>
                <w:sz w:val="20"/>
                <w:szCs w:val="20"/>
              </w:rPr>
              <w:t>Telephone:</w:t>
            </w:r>
          </w:p>
          <w:p w:rsidR="001B2484" w:rsidRDefault="001B2484" w:rsidP="001B2484">
            <w:pPr>
              <w:pStyle w:val="NoSpacing"/>
              <w:rPr>
                <w:sz w:val="24"/>
                <w:szCs w:val="24"/>
              </w:rPr>
            </w:pPr>
            <w:r w:rsidRPr="001B2484">
              <w:rPr>
                <w:sz w:val="20"/>
                <w:szCs w:val="20"/>
              </w:rPr>
              <w:t>Mobile phone:</w:t>
            </w:r>
          </w:p>
        </w:tc>
      </w:tr>
      <w:tr w:rsidR="001B2484" w:rsidTr="008B77CC">
        <w:tc>
          <w:tcPr>
            <w:tcW w:w="378" w:type="dxa"/>
          </w:tcPr>
          <w:p w:rsidR="001B2484" w:rsidRDefault="001B2484" w:rsidP="001B2484">
            <w:pPr>
              <w:pStyle w:val="NoSpacing"/>
              <w:jc w:val="center"/>
              <w:rPr>
                <w:sz w:val="24"/>
                <w:szCs w:val="24"/>
              </w:rPr>
            </w:pPr>
            <w:r>
              <w:rPr>
                <w:sz w:val="24"/>
                <w:szCs w:val="24"/>
              </w:rPr>
              <w:t>6</w:t>
            </w:r>
          </w:p>
        </w:tc>
        <w:tc>
          <w:tcPr>
            <w:tcW w:w="4765" w:type="dxa"/>
          </w:tcPr>
          <w:p w:rsidR="001B2484" w:rsidRPr="001B2484" w:rsidRDefault="001B2484" w:rsidP="001B2484">
            <w:pPr>
              <w:pStyle w:val="NoSpacing"/>
              <w:rPr>
                <w:sz w:val="20"/>
                <w:szCs w:val="20"/>
              </w:rPr>
            </w:pPr>
            <w:r w:rsidRPr="001B2484">
              <w:rPr>
                <w:sz w:val="20"/>
                <w:szCs w:val="20"/>
              </w:rPr>
              <w:t>Name:</w:t>
            </w:r>
          </w:p>
          <w:p w:rsidR="001B2484" w:rsidRPr="001B2484" w:rsidRDefault="001B2484" w:rsidP="001B2484">
            <w:pPr>
              <w:pStyle w:val="NoSpacing"/>
              <w:rPr>
                <w:sz w:val="20"/>
                <w:szCs w:val="20"/>
              </w:rPr>
            </w:pPr>
            <w:r w:rsidRPr="001B2484">
              <w:rPr>
                <w:sz w:val="20"/>
                <w:szCs w:val="20"/>
              </w:rPr>
              <w:t>Position:</w:t>
            </w:r>
          </w:p>
          <w:p w:rsidR="001B2484" w:rsidRPr="001B2484" w:rsidRDefault="001B2484" w:rsidP="001B2484">
            <w:pPr>
              <w:pStyle w:val="NoSpacing"/>
              <w:rPr>
                <w:sz w:val="20"/>
                <w:szCs w:val="20"/>
              </w:rPr>
            </w:pPr>
            <w:r w:rsidRPr="001B2484">
              <w:rPr>
                <w:sz w:val="20"/>
                <w:szCs w:val="20"/>
              </w:rPr>
              <w:t>Email:</w:t>
            </w:r>
          </w:p>
          <w:p w:rsidR="001B2484" w:rsidRPr="001B2484" w:rsidRDefault="001B2484" w:rsidP="001B2484">
            <w:pPr>
              <w:pStyle w:val="NoSpacing"/>
              <w:rPr>
                <w:sz w:val="20"/>
                <w:szCs w:val="20"/>
              </w:rPr>
            </w:pPr>
            <w:r w:rsidRPr="001B2484">
              <w:rPr>
                <w:sz w:val="20"/>
                <w:szCs w:val="20"/>
              </w:rPr>
              <w:t>Telephone:</w:t>
            </w:r>
          </w:p>
          <w:p w:rsidR="001B2484" w:rsidRDefault="001B2484" w:rsidP="001B2484">
            <w:pPr>
              <w:pStyle w:val="NoSpacing"/>
              <w:rPr>
                <w:sz w:val="24"/>
                <w:szCs w:val="24"/>
              </w:rPr>
            </w:pPr>
            <w:r w:rsidRPr="001B2484">
              <w:rPr>
                <w:sz w:val="20"/>
                <w:szCs w:val="20"/>
              </w:rPr>
              <w:t>Mobile phone:</w:t>
            </w:r>
          </w:p>
        </w:tc>
        <w:tc>
          <w:tcPr>
            <w:tcW w:w="460" w:type="dxa"/>
          </w:tcPr>
          <w:p w:rsidR="001B2484" w:rsidRDefault="001B2484" w:rsidP="001B2484">
            <w:pPr>
              <w:pStyle w:val="NoSpacing"/>
              <w:jc w:val="center"/>
              <w:rPr>
                <w:sz w:val="24"/>
                <w:szCs w:val="24"/>
              </w:rPr>
            </w:pPr>
            <w:r>
              <w:rPr>
                <w:sz w:val="24"/>
                <w:szCs w:val="24"/>
              </w:rPr>
              <w:t>12</w:t>
            </w:r>
          </w:p>
        </w:tc>
        <w:tc>
          <w:tcPr>
            <w:tcW w:w="4693" w:type="dxa"/>
          </w:tcPr>
          <w:p w:rsidR="001B2484" w:rsidRPr="001B2484" w:rsidRDefault="001B2484" w:rsidP="001B2484">
            <w:pPr>
              <w:pStyle w:val="NoSpacing"/>
              <w:rPr>
                <w:sz w:val="20"/>
                <w:szCs w:val="20"/>
              </w:rPr>
            </w:pPr>
            <w:r w:rsidRPr="001B2484">
              <w:rPr>
                <w:sz w:val="20"/>
                <w:szCs w:val="20"/>
              </w:rPr>
              <w:t>Name:</w:t>
            </w:r>
          </w:p>
          <w:p w:rsidR="001B2484" w:rsidRPr="001B2484" w:rsidRDefault="001B2484" w:rsidP="001B2484">
            <w:pPr>
              <w:pStyle w:val="NoSpacing"/>
              <w:rPr>
                <w:sz w:val="20"/>
                <w:szCs w:val="20"/>
              </w:rPr>
            </w:pPr>
            <w:r w:rsidRPr="001B2484">
              <w:rPr>
                <w:sz w:val="20"/>
                <w:szCs w:val="20"/>
              </w:rPr>
              <w:t>Position:</w:t>
            </w:r>
          </w:p>
          <w:p w:rsidR="001B2484" w:rsidRPr="001B2484" w:rsidRDefault="001B2484" w:rsidP="001B2484">
            <w:pPr>
              <w:pStyle w:val="NoSpacing"/>
              <w:rPr>
                <w:sz w:val="20"/>
                <w:szCs w:val="20"/>
              </w:rPr>
            </w:pPr>
            <w:r w:rsidRPr="001B2484">
              <w:rPr>
                <w:sz w:val="20"/>
                <w:szCs w:val="20"/>
              </w:rPr>
              <w:t>Email:</w:t>
            </w:r>
          </w:p>
          <w:p w:rsidR="001B2484" w:rsidRPr="001B2484" w:rsidRDefault="001B2484" w:rsidP="001B2484">
            <w:pPr>
              <w:pStyle w:val="NoSpacing"/>
              <w:rPr>
                <w:sz w:val="20"/>
                <w:szCs w:val="20"/>
              </w:rPr>
            </w:pPr>
            <w:r w:rsidRPr="001B2484">
              <w:rPr>
                <w:sz w:val="20"/>
                <w:szCs w:val="20"/>
              </w:rPr>
              <w:t>Telephone:</w:t>
            </w:r>
          </w:p>
          <w:p w:rsidR="001B2484" w:rsidRDefault="001B2484" w:rsidP="001B2484">
            <w:pPr>
              <w:pStyle w:val="NoSpacing"/>
              <w:rPr>
                <w:sz w:val="24"/>
                <w:szCs w:val="24"/>
              </w:rPr>
            </w:pPr>
            <w:r w:rsidRPr="001B2484">
              <w:rPr>
                <w:sz w:val="20"/>
                <w:szCs w:val="20"/>
              </w:rPr>
              <w:t>Mobile phone:</w:t>
            </w:r>
          </w:p>
        </w:tc>
      </w:tr>
    </w:tbl>
    <w:p w:rsidR="001B2484" w:rsidRPr="00800025" w:rsidRDefault="001B2484" w:rsidP="001B2484">
      <w:pPr>
        <w:pStyle w:val="NoSpacing"/>
        <w:rPr>
          <w:sz w:val="24"/>
          <w:szCs w:val="24"/>
        </w:rPr>
      </w:pPr>
    </w:p>
    <w:sectPr w:rsidR="001B2484" w:rsidRPr="00800025" w:rsidSect="009C487B">
      <w:pgSz w:w="12240" w:h="15840"/>
      <w:pgMar w:top="720" w:right="720" w:bottom="144"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C15" w:rsidRDefault="00E81C15" w:rsidP="00702B3E">
      <w:pPr>
        <w:spacing w:after="0" w:line="240" w:lineRule="auto"/>
      </w:pPr>
      <w:r>
        <w:separator/>
      </w:r>
    </w:p>
  </w:endnote>
  <w:endnote w:type="continuationSeparator" w:id="0">
    <w:p w:rsidR="00E81C15" w:rsidRDefault="00E81C15" w:rsidP="00702B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C15" w:rsidRDefault="00E81C15" w:rsidP="00702B3E">
      <w:pPr>
        <w:spacing w:after="0" w:line="240" w:lineRule="auto"/>
      </w:pPr>
      <w:r>
        <w:separator/>
      </w:r>
    </w:p>
  </w:footnote>
  <w:footnote w:type="continuationSeparator" w:id="0">
    <w:p w:rsidR="00E81C15" w:rsidRDefault="00E81C15" w:rsidP="00702B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8678F"/>
    <w:multiLevelType w:val="hybridMultilevel"/>
    <w:tmpl w:val="6210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215DA1"/>
    <w:multiLevelType w:val="hybridMultilevel"/>
    <w:tmpl w:val="8CE46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2962"/>
    <w:rsid w:val="00006698"/>
    <w:rsid w:val="00065AED"/>
    <w:rsid w:val="000B26BD"/>
    <w:rsid w:val="00107767"/>
    <w:rsid w:val="00167578"/>
    <w:rsid w:val="001B2484"/>
    <w:rsid w:val="00231218"/>
    <w:rsid w:val="002833B8"/>
    <w:rsid w:val="002A3EBC"/>
    <w:rsid w:val="002B53FE"/>
    <w:rsid w:val="002B784A"/>
    <w:rsid w:val="00365AEE"/>
    <w:rsid w:val="003774B4"/>
    <w:rsid w:val="00397A4B"/>
    <w:rsid w:val="003B0EE2"/>
    <w:rsid w:val="003B15C1"/>
    <w:rsid w:val="003B6BD4"/>
    <w:rsid w:val="003B6F2C"/>
    <w:rsid w:val="003F6BFA"/>
    <w:rsid w:val="00404C60"/>
    <w:rsid w:val="00413830"/>
    <w:rsid w:val="004718E6"/>
    <w:rsid w:val="004740BC"/>
    <w:rsid w:val="0050762A"/>
    <w:rsid w:val="00532064"/>
    <w:rsid w:val="005365B5"/>
    <w:rsid w:val="00565137"/>
    <w:rsid w:val="00574800"/>
    <w:rsid w:val="00582695"/>
    <w:rsid w:val="005D65B8"/>
    <w:rsid w:val="005E7BB9"/>
    <w:rsid w:val="00672FA1"/>
    <w:rsid w:val="006D52E6"/>
    <w:rsid w:val="00702B3E"/>
    <w:rsid w:val="00706D38"/>
    <w:rsid w:val="00773522"/>
    <w:rsid w:val="007B3DAE"/>
    <w:rsid w:val="007B516E"/>
    <w:rsid w:val="007F1164"/>
    <w:rsid w:val="00800025"/>
    <w:rsid w:val="0081635A"/>
    <w:rsid w:val="00873908"/>
    <w:rsid w:val="00883055"/>
    <w:rsid w:val="008B77CC"/>
    <w:rsid w:val="008C799E"/>
    <w:rsid w:val="0096125D"/>
    <w:rsid w:val="00982962"/>
    <w:rsid w:val="00991056"/>
    <w:rsid w:val="009C487B"/>
    <w:rsid w:val="009C61E1"/>
    <w:rsid w:val="009E21F0"/>
    <w:rsid w:val="00A033DC"/>
    <w:rsid w:val="00A7755D"/>
    <w:rsid w:val="00AC16DB"/>
    <w:rsid w:val="00B64F2A"/>
    <w:rsid w:val="00BE717D"/>
    <w:rsid w:val="00C14459"/>
    <w:rsid w:val="00C97DCB"/>
    <w:rsid w:val="00D131F7"/>
    <w:rsid w:val="00D26F88"/>
    <w:rsid w:val="00D83619"/>
    <w:rsid w:val="00D91AB7"/>
    <w:rsid w:val="00DF176F"/>
    <w:rsid w:val="00E50CA6"/>
    <w:rsid w:val="00E81C15"/>
    <w:rsid w:val="00EE2DE6"/>
    <w:rsid w:val="00F073E8"/>
    <w:rsid w:val="00F450FF"/>
    <w:rsid w:val="00F81738"/>
    <w:rsid w:val="00FC4609"/>
    <w:rsid w:val="00FF4A68"/>
    <w:rsid w:val="00FF4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962"/>
    <w:pPr>
      <w:spacing w:after="0" w:line="240" w:lineRule="auto"/>
    </w:pPr>
  </w:style>
  <w:style w:type="table" w:styleId="TableGrid">
    <w:name w:val="Table Grid"/>
    <w:basedOn w:val="TableNormal"/>
    <w:uiPriority w:val="59"/>
    <w:rsid w:val="001B24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C61E1"/>
    <w:rPr>
      <w:color w:val="0000FF" w:themeColor="hyperlink"/>
      <w:u w:val="single"/>
    </w:rPr>
  </w:style>
  <w:style w:type="paragraph" w:styleId="BalloonText">
    <w:name w:val="Balloon Text"/>
    <w:basedOn w:val="Normal"/>
    <w:link w:val="BalloonTextChar"/>
    <w:uiPriority w:val="99"/>
    <w:semiHidden/>
    <w:unhideWhenUsed/>
    <w:rsid w:val="00231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218"/>
    <w:rPr>
      <w:rFonts w:ascii="Tahoma" w:hAnsi="Tahoma" w:cs="Tahoma"/>
      <w:sz w:val="16"/>
      <w:szCs w:val="16"/>
    </w:rPr>
  </w:style>
  <w:style w:type="character" w:customStyle="1" w:styleId="apple-converted-space">
    <w:name w:val="apple-converted-space"/>
    <w:basedOn w:val="DefaultParagraphFont"/>
    <w:uiPriority w:val="99"/>
    <w:rsid w:val="00672FA1"/>
    <w:rPr>
      <w:rFonts w:cs="Times New Roman"/>
    </w:rPr>
  </w:style>
  <w:style w:type="paragraph" w:styleId="ListParagraph">
    <w:name w:val="List Paragraph"/>
    <w:basedOn w:val="Normal"/>
    <w:uiPriority w:val="99"/>
    <w:qFormat/>
    <w:rsid w:val="00672FA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rsid w:val="001675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02B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2B3E"/>
  </w:style>
  <w:style w:type="paragraph" w:styleId="Footer">
    <w:name w:val="footer"/>
    <w:basedOn w:val="Normal"/>
    <w:link w:val="FooterChar"/>
    <w:uiPriority w:val="99"/>
    <w:unhideWhenUsed/>
    <w:rsid w:val="00702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B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boggs@mwcog.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how2000.com/iccbwi/splash.cf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thirtypercentsolution.com/" TargetMode="External"/><Relationship Id="rId4" Type="http://schemas.openxmlformats.org/officeDocument/2006/relationships/settings" Target="settings.xml"/><Relationship Id="rId9" Type="http://schemas.openxmlformats.org/officeDocument/2006/relationships/hyperlink" Target="mailto:caroline@imt.or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DA4D7-4AD0-4800-BCF6-72B3536A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lboggs</cp:lastModifiedBy>
  <cp:revision>2</cp:revision>
  <cp:lastPrinted>2010-05-25T16:33:00Z</cp:lastPrinted>
  <dcterms:created xsi:type="dcterms:W3CDTF">2010-06-17T15:05:00Z</dcterms:created>
  <dcterms:modified xsi:type="dcterms:W3CDTF">2010-06-17T15:05:00Z</dcterms:modified>
</cp:coreProperties>
</file>