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253" w:rsidRPr="00025B5A" w:rsidRDefault="00712253" w:rsidP="0062598D">
      <w:pPr>
        <w:spacing w:after="0" w:line="240" w:lineRule="auto"/>
        <w:jc w:val="center"/>
        <w:rPr>
          <w:rFonts w:cstheme="minorHAnsi"/>
          <w:b/>
          <w:caps/>
          <w:color w:val="548DD4" w:themeColor="text2" w:themeTint="99"/>
        </w:rPr>
      </w:pPr>
      <w:r w:rsidRPr="00025B5A">
        <w:rPr>
          <w:rFonts w:cstheme="minorHAnsi"/>
          <w:b/>
          <w:color w:val="548DD4" w:themeColor="text2" w:themeTint="99"/>
        </w:rPr>
        <w:t>Climate Energy and Environment Policy Committee</w:t>
      </w:r>
    </w:p>
    <w:p w:rsidR="00712253" w:rsidRPr="00025B5A" w:rsidRDefault="00712253" w:rsidP="0062598D">
      <w:pPr>
        <w:spacing w:after="0" w:line="240" w:lineRule="auto"/>
        <w:jc w:val="center"/>
        <w:rPr>
          <w:rFonts w:cstheme="minorHAnsi"/>
          <w:b/>
          <w:color w:val="548DD4" w:themeColor="text2" w:themeTint="99"/>
          <w:sz w:val="28"/>
          <w:szCs w:val="28"/>
        </w:rPr>
      </w:pPr>
      <w:r w:rsidRPr="00025B5A">
        <w:rPr>
          <w:rFonts w:cstheme="minorHAnsi"/>
          <w:b/>
          <w:color w:val="548DD4" w:themeColor="text2" w:themeTint="99"/>
          <w:sz w:val="28"/>
          <w:szCs w:val="28"/>
        </w:rPr>
        <w:t xml:space="preserve">PROPOSED </w:t>
      </w:r>
      <w:r w:rsidR="006F7EAE" w:rsidRPr="00025B5A">
        <w:rPr>
          <w:rFonts w:cstheme="minorHAnsi"/>
          <w:b/>
          <w:color w:val="548DD4" w:themeColor="text2" w:themeTint="99"/>
          <w:sz w:val="28"/>
          <w:szCs w:val="28"/>
        </w:rPr>
        <w:t xml:space="preserve">2013-2016 </w:t>
      </w:r>
      <w:r w:rsidRPr="00025B5A">
        <w:rPr>
          <w:rFonts w:cstheme="minorHAnsi"/>
          <w:b/>
          <w:color w:val="548DD4" w:themeColor="text2" w:themeTint="99"/>
          <w:sz w:val="28"/>
          <w:szCs w:val="28"/>
        </w:rPr>
        <w:t>WORKPLAN GOALS</w:t>
      </w:r>
    </w:p>
    <w:p w:rsidR="00712253" w:rsidRPr="00025B5A" w:rsidRDefault="00712253" w:rsidP="0062598D">
      <w:pPr>
        <w:spacing w:line="240" w:lineRule="auto"/>
        <w:jc w:val="center"/>
        <w:rPr>
          <w:rFonts w:cstheme="minorHAnsi"/>
          <w:b/>
          <w:caps/>
          <w:color w:val="548DD4" w:themeColor="text2" w:themeTint="99"/>
        </w:rPr>
      </w:pPr>
      <w:r w:rsidRPr="00025B5A">
        <w:rPr>
          <w:rFonts w:cstheme="minorHAnsi"/>
          <w:b/>
          <w:color w:val="548DD4" w:themeColor="text2" w:themeTint="99"/>
        </w:rPr>
        <w:t>Green Building</w:t>
      </w:r>
    </w:p>
    <w:p w:rsidR="00556566" w:rsidRPr="00C9620A" w:rsidRDefault="00556566" w:rsidP="00556566">
      <w:pPr>
        <w:autoSpaceDE w:val="0"/>
        <w:autoSpaceDN w:val="0"/>
        <w:adjustRightInd w:val="0"/>
        <w:spacing w:after="0" w:line="240" w:lineRule="auto"/>
        <w:rPr>
          <w:rFonts w:cstheme="minorHAnsi"/>
          <w:iCs/>
        </w:rPr>
      </w:pPr>
      <w:r>
        <w:rPr>
          <w:rFonts w:cstheme="minorHAnsi"/>
        </w:rPr>
        <w:t xml:space="preserve">Metropolitan Washington Council of Government’s (COG) </w:t>
      </w:r>
      <w:r>
        <w:rPr>
          <w:rFonts w:ascii="Calibri" w:hAnsi="Calibri" w:cs="Calibri"/>
        </w:rPr>
        <w:t xml:space="preserve">is in the process of developing a list of short-term goals and actions that will assist the region in achieving the long-term </w:t>
      </w:r>
      <w:r w:rsidRPr="004C5754">
        <w:rPr>
          <w:rStyle w:val="Emphasis"/>
          <w:rFonts w:cstheme="minorHAnsi"/>
        </w:rPr>
        <w:t>Region Forward</w:t>
      </w:r>
      <w:r w:rsidRPr="004C5754">
        <w:rPr>
          <w:rFonts w:cstheme="minorHAnsi"/>
        </w:rPr>
        <w:t xml:space="preserve"> </w:t>
      </w:r>
      <w:r>
        <w:rPr>
          <w:rFonts w:cstheme="minorHAnsi"/>
        </w:rPr>
        <w:t xml:space="preserve">targets and goals in the </w:t>
      </w:r>
      <w:r w:rsidRPr="00692B4A">
        <w:rPr>
          <w:rFonts w:cstheme="minorHAnsi"/>
          <w:i/>
        </w:rPr>
        <w:t xml:space="preserve">2008 </w:t>
      </w:r>
      <w:r w:rsidRPr="00692B4A">
        <w:rPr>
          <w:rFonts w:cstheme="minorHAnsi"/>
          <w:i/>
          <w:iCs/>
        </w:rPr>
        <w:t>National Capital Region Climate Change Report</w:t>
      </w:r>
      <w:r>
        <w:rPr>
          <w:rFonts w:cstheme="minorHAnsi"/>
          <w:i/>
          <w:iCs/>
        </w:rPr>
        <w:t xml:space="preserve"> </w:t>
      </w:r>
      <w:r w:rsidRPr="00C9620A">
        <w:rPr>
          <w:rFonts w:cstheme="minorHAnsi"/>
          <w:iCs/>
        </w:rPr>
        <w:t xml:space="preserve">and is currently seeking stakeholder input on proposed goals.  </w:t>
      </w:r>
    </w:p>
    <w:p w:rsidR="00556566" w:rsidRDefault="00556566" w:rsidP="00556566">
      <w:pPr>
        <w:autoSpaceDE w:val="0"/>
        <w:autoSpaceDN w:val="0"/>
        <w:adjustRightInd w:val="0"/>
        <w:spacing w:after="0" w:line="240" w:lineRule="auto"/>
        <w:rPr>
          <w:rFonts w:cstheme="minorHAnsi"/>
          <w:i/>
          <w:iCs/>
        </w:rPr>
      </w:pPr>
    </w:p>
    <w:p w:rsidR="00556566" w:rsidRDefault="00556566" w:rsidP="00556566">
      <w:pPr>
        <w:autoSpaceDE w:val="0"/>
        <w:autoSpaceDN w:val="0"/>
        <w:adjustRightInd w:val="0"/>
        <w:spacing w:after="0" w:line="240" w:lineRule="auto"/>
        <w:rPr>
          <w:rFonts w:cstheme="minorHAnsi"/>
        </w:rPr>
      </w:pPr>
      <w:r w:rsidRPr="004C5754">
        <w:rPr>
          <w:rStyle w:val="Emphasis"/>
          <w:rFonts w:cstheme="minorHAnsi"/>
        </w:rPr>
        <w:t>Region Forward</w:t>
      </w:r>
      <w:r>
        <w:rPr>
          <w:rFonts w:cstheme="minorHAnsi"/>
        </w:rPr>
        <w:t xml:space="preserve"> </w:t>
      </w:r>
      <w:r w:rsidRPr="004C5754">
        <w:rPr>
          <w:rFonts w:cstheme="minorHAnsi"/>
        </w:rPr>
        <w:t xml:space="preserve">is a commitment by COG and its member governments, who together seek to create a more accessible, sustainable, prosperous, and livable National Capital Region.  </w:t>
      </w:r>
      <w:r w:rsidRPr="00FD0E08">
        <w:rPr>
          <w:rFonts w:cstheme="minorHAnsi"/>
          <w:i/>
        </w:rPr>
        <w:t>Region Forward</w:t>
      </w:r>
      <w:r>
        <w:rPr>
          <w:rFonts w:cstheme="minorHAnsi"/>
        </w:rPr>
        <w:t xml:space="preserve"> targets have been established to help the region address challenges and move towards long-term goals for the region. </w:t>
      </w:r>
      <w:r w:rsidRPr="0004722B">
        <w:rPr>
          <w:rFonts w:cstheme="minorHAnsi"/>
          <w:i/>
          <w:iCs/>
        </w:rPr>
        <w:t xml:space="preserve">Region Forward </w:t>
      </w:r>
      <w:r w:rsidRPr="0004722B">
        <w:rPr>
          <w:rFonts w:cstheme="minorHAnsi"/>
        </w:rPr>
        <w:t>draws</w:t>
      </w:r>
      <w:r>
        <w:rPr>
          <w:rFonts w:ascii="Calibri" w:hAnsi="Calibri" w:cs="Calibri"/>
        </w:rPr>
        <w:t xml:space="preserve"> its greenhouse gas emission reduction target from the </w:t>
      </w:r>
      <w:r w:rsidRPr="00692B4A">
        <w:rPr>
          <w:rFonts w:cstheme="minorHAnsi"/>
          <w:i/>
        </w:rPr>
        <w:t xml:space="preserve">2008 </w:t>
      </w:r>
      <w:r w:rsidRPr="00692B4A">
        <w:rPr>
          <w:rFonts w:cstheme="minorHAnsi"/>
          <w:i/>
          <w:iCs/>
        </w:rPr>
        <w:t>National Capital Region Climate Change Report</w:t>
      </w:r>
      <w:r>
        <w:rPr>
          <w:rFonts w:cstheme="minorHAnsi"/>
          <w:i/>
          <w:iCs/>
        </w:rPr>
        <w:t>.</w:t>
      </w:r>
    </w:p>
    <w:p w:rsidR="00556566" w:rsidRDefault="00556566" w:rsidP="00556566">
      <w:pPr>
        <w:autoSpaceDE w:val="0"/>
        <w:autoSpaceDN w:val="0"/>
        <w:adjustRightInd w:val="0"/>
        <w:spacing w:after="0" w:line="240" w:lineRule="auto"/>
        <w:rPr>
          <w:rFonts w:cstheme="minorHAnsi"/>
        </w:rPr>
      </w:pPr>
    </w:p>
    <w:p w:rsidR="00712253" w:rsidRDefault="00556566" w:rsidP="00556566">
      <w:pPr>
        <w:autoSpaceDE w:val="0"/>
        <w:autoSpaceDN w:val="0"/>
        <w:adjustRightInd w:val="0"/>
        <w:spacing w:after="0" w:line="240" w:lineRule="auto"/>
        <w:rPr>
          <w:rFonts w:ascii="Calibri" w:hAnsi="Calibri" w:cs="Calibri"/>
        </w:rPr>
      </w:pPr>
      <w:r>
        <w:rPr>
          <w:rFonts w:ascii="Calibri" w:hAnsi="Calibri" w:cs="Calibri"/>
        </w:rPr>
        <w:t xml:space="preserve">The Climate, Energy and Environment Policy Committee (CEEPC) was created in 2009 by the COG Board of Directors to provide leadership on climate change, energy, green building, alternative fuels, solid waste and recycling issues and to help support area governments as they work together to meet the goals outlined in the </w:t>
      </w:r>
      <w:r w:rsidRPr="0004722B">
        <w:rPr>
          <w:rFonts w:cstheme="minorHAnsi"/>
        </w:rPr>
        <w:t xml:space="preserve">2008 </w:t>
      </w:r>
      <w:r w:rsidRPr="0004722B">
        <w:rPr>
          <w:rFonts w:cstheme="minorHAnsi"/>
          <w:i/>
          <w:iCs/>
        </w:rPr>
        <w:t>National Capital Region Climate Change Report</w:t>
      </w:r>
      <w:r w:rsidRPr="0004722B">
        <w:rPr>
          <w:rFonts w:cstheme="minorHAnsi"/>
        </w:rPr>
        <w:t>.</w:t>
      </w:r>
      <w:r>
        <w:rPr>
          <w:rFonts w:ascii="Calibri" w:hAnsi="Calibri" w:cs="Calibri"/>
        </w:rPr>
        <w:t xml:space="preserve"> </w:t>
      </w:r>
      <w:r>
        <w:rPr>
          <w:rFonts w:cstheme="minorHAnsi"/>
        </w:rPr>
        <w:t xml:space="preserve">In January 2010, </w:t>
      </w:r>
      <w:r>
        <w:rPr>
          <w:rFonts w:ascii="Calibri" w:hAnsi="Calibri" w:cs="Calibri"/>
        </w:rPr>
        <w:t xml:space="preserve">CEEPC adopted the 2010‐2012 Workplan and is now in the process of updating it to a 2013-2016 Workplan. </w:t>
      </w:r>
      <w:r w:rsidR="00712253">
        <w:rPr>
          <w:rFonts w:ascii="Calibri" w:hAnsi="Calibri" w:cs="Calibri"/>
        </w:rPr>
        <w:t xml:space="preserve">Proposed goals related to green building are as follows: </w:t>
      </w:r>
    </w:p>
    <w:p w:rsidR="00712253" w:rsidRPr="009136D6" w:rsidRDefault="00712253" w:rsidP="0062598D">
      <w:pPr>
        <w:autoSpaceDE w:val="0"/>
        <w:autoSpaceDN w:val="0"/>
        <w:adjustRightInd w:val="0"/>
        <w:spacing w:after="0" w:line="240" w:lineRule="auto"/>
        <w:rPr>
          <w:rFonts w:cstheme="minorHAnsi"/>
          <w:color w:val="4F6228" w:themeColor="accent3" w:themeShade="80"/>
          <w:u w:val="single"/>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tblPr>
      <w:tblGrid>
        <w:gridCol w:w="918"/>
        <w:gridCol w:w="6930"/>
        <w:gridCol w:w="1728"/>
      </w:tblGrid>
      <w:tr w:rsidR="008C6988" w:rsidTr="00CD2372">
        <w:tc>
          <w:tcPr>
            <w:tcW w:w="918" w:type="dxa"/>
            <w:shd w:val="clear" w:color="auto" w:fill="D0E0F4"/>
          </w:tcPr>
          <w:p w:rsidR="008C6988" w:rsidRPr="00025B5A" w:rsidRDefault="008C6988" w:rsidP="0062598D">
            <w:pPr>
              <w:contextualSpacing/>
              <w:rPr>
                <w:rFonts w:cstheme="minorHAnsi"/>
                <w:b/>
                <w:color w:val="548DD4" w:themeColor="text2" w:themeTint="99"/>
              </w:rPr>
            </w:pPr>
            <w:r w:rsidRPr="00025B5A">
              <w:rPr>
                <w:rFonts w:cstheme="minorHAnsi"/>
                <w:b/>
                <w:color w:val="548DD4" w:themeColor="text2" w:themeTint="99"/>
              </w:rPr>
              <w:t>Status*</w:t>
            </w:r>
          </w:p>
        </w:tc>
        <w:tc>
          <w:tcPr>
            <w:tcW w:w="6930" w:type="dxa"/>
            <w:shd w:val="clear" w:color="auto" w:fill="D0E0F4"/>
          </w:tcPr>
          <w:p w:rsidR="008C6988" w:rsidRPr="00025B5A" w:rsidRDefault="008C6988" w:rsidP="0062598D">
            <w:pPr>
              <w:contextualSpacing/>
              <w:rPr>
                <w:rFonts w:cstheme="minorHAnsi"/>
                <w:b/>
                <w:color w:val="548DD4" w:themeColor="text2" w:themeTint="99"/>
              </w:rPr>
            </w:pPr>
            <w:r w:rsidRPr="00025B5A">
              <w:rPr>
                <w:rFonts w:cstheme="minorHAnsi"/>
                <w:b/>
                <w:color w:val="548DD4" w:themeColor="text2" w:themeTint="99"/>
              </w:rPr>
              <w:t>CEEPC Workplan Goals</w:t>
            </w:r>
          </w:p>
        </w:tc>
        <w:tc>
          <w:tcPr>
            <w:tcW w:w="1728" w:type="dxa"/>
            <w:shd w:val="clear" w:color="auto" w:fill="D0E0F4"/>
          </w:tcPr>
          <w:p w:rsidR="008C6988" w:rsidRPr="00025B5A" w:rsidRDefault="008C6988" w:rsidP="0062598D">
            <w:pPr>
              <w:contextualSpacing/>
              <w:rPr>
                <w:rFonts w:cstheme="minorHAnsi"/>
                <w:b/>
                <w:color w:val="548DD4" w:themeColor="text2" w:themeTint="99"/>
              </w:rPr>
            </w:pPr>
            <w:r w:rsidRPr="00025B5A">
              <w:rPr>
                <w:rFonts w:cstheme="minorHAnsi"/>
                <w:b/>
                <w:color w:val="548DD4" w:themeColor="text2" w:themeTint="99"/>
              </w:rPr>
              <w:t>Progress</w:t>
            </w:r>
          </w:p>
        </w:tc>
      </w:tr>
      <w:tr w:rsidR="008C6988" w:rsidTr="00CD2372">
        <w:tc>
          <w:tcPr>
            <w:tcW w:w="918" w:type="dxa"/>
            <w:shd w:val="clear" w:color="auto" w:fill="FFFFFF" w:themeFill="background1"/>
          </w:tcPr>
          <w:p w:rsidR="008C6988" w:rsidRPr="008C6988" w:rsidRDefault="008C6988" w:rsidP="0062598D">
            <w:pPr>
              <w:contextualSpacing/>
              <w:rPr>
                <w:rFonts w:cstheme="minorHAnsi"/>
              </w:rPr>
            </w:pPr>
            <w:r w:rsidRPr="008C6988">
              <w:rPr>
                <w:rFonts w:cstheme="minorHAnsi"/>
              </w:rPr>
              <w:t>Existing</w:t>
            </w:r>
          </w:p>
        </w:tc>
        <w:tc>
          <w:tcPr>
            <w:tcW w:w="6930" w:type="dxa"/>
            <w:shd w:val="clear" w:color="auto" w:fill="FFFFFF" w:themeFill="background1"/>
          </w:tcPr>
          <w:p w:rsidR="008C6988" w:rsidRPr="008C6988" w:rsidRDefault="008C6988" w:rsidP="0062598D">
            <w:pPr>
              <w:pStyle w:val="Default"/>
              <w:rPr>
                <w:rFonts w:cstheme="minorHAnsi"/>
                <w:color w:val="auto"/>
              </w:rPr>
            </w:pPr>
            <w:r>
              <w:rPr>
                <w:rFonts w:asciiTheme="minorHAnsi" w:hAnsiTheme="minorHAnsi" w:cstheme="minorHAnsi"/>
                <w:color w:val="auto"/>
                <w:sz w:val="22"/>
                <w:szCs w:val="22"/>
              </w:rPr>
              <w:t xml:space="preserve">100% of jurisdictions adopt a green building policy. </w:t>
            </w:r>
          </w:p>
        </w:tc>
        <w:tc>
          <w:tcPr>
            <w:tcW w:w="1728" w:type="dxa"/>
            <w:shd w:val="clear" w:color="auto" w:fill="FFFFFF" w:themeFill="background1"/>
          </w:tcPr>
          <w:p w:rsidR="008C6988" w:rsidRPr="008C6988" w:rsidRDefault="0057234C" w:rsidP="0062598D">
            <w:pPr>
              <w:contextualSpacing/>
              <w:rPr>
                <w:rFonts w:cstheme="minorHAnsi"/>
              </w:rPr>
            </w:pPr>
            <w:r>
              <w:rPr>
                <w:rFonts w:cstheme="minorHAnsi"/>
              </w:rPr>
              <w:t>5</w:t>
            </w:r>
            <w:r w:rsidR="00F96871">
              <w:rPr>
                <w:rFonts w:cstheme="minorHAnsi"/>
              </w:rPr>
              <w:t>8</w:t>
            </w:r>
            <w:r>
              <w:rPr>
                <w:rFonts w:cstheme="minorHAnsi"/>
              </w:rPr>
              <w:t>%</w:t>
            </w:r>
          </w:p>
        </w:tc>
      </w:tr>
      <w:tr w:rsidR="006D0530" w:rsidTr="00CD2372">
        <w:tc>
          <w:tcPr>
            <w:tcW w:w="918" w:type="dxa"/>
            <w:vMerge w:val="restart"/>
            <w:shd w:val="clear" w:color="auto" w:fill="FFFFFF" w:themeFill="background1"/>
          </w:tcPr>
          <w:p w:rsidR="006D0530" w:rsidRDefault="00F049DC" w:rsidP="0062598D">
            <w:pPr>
              <w:contextualSpacing/>
              <w:rPr>
                <w:rFonts w:cstheme="minorHAnsi"/>
              </w:rPr>
            </w:pPr>
            <w:r>
              <w:rPr>
                <w:rFonts w:cstheme="minorHAnsi"/>
              </w:rPr>
              <w:t>New</w:t>
            </w:r>
          </w:p>
        </w:tc>
        <w:tc>
          <w:tcPr>
            <w:tcW w:w="6930" w:type="dxa"/>
            <w:shd w:val="clear" w:color="auto" w:fill="FFFFFF" w:themeFill="background1"/>
          </w:tcPr>
          <w:p w:rsidR="006D0530" w:rsidRDefault="006D0530"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Set regional goal for number of certified green buildings. </w:t>
            </w:r>
          </w:p>
        </w:tc>
        <w:tc>
          <w:tcPr>
            <w:tcW w:w="1728" w:type="dxa"/>
            <w:shd w:val="clear" w:color="auto" w:fill="FFFFFF" w:themeFill="background1"/>
          </w:tcPr>
          <w:p w:rsidR="006D0530" w:rsidRDefault="006D0530" w:rsidP="0062598D">
            <w:pPr>
              <w:contextualSpacing/>
              <w:rPr>
                <w:rFonts w:cstheme="minorHAnsi"/>
              </w:rPr>
            </w:pPr>
            <w:r>
              <w:rPr>
                <w:rFonts w:cstheme="minorHAnsi"/>
              </w:rPr>
              <w:t>171 LEED</w:t>
            </w:r>
            <w:r>
              <w:rPr>
                <w:rStyle w:val="FootnoteReference"/>
                <w:rFonts w:cstheme="minorHAnsi"/>
              </w:rPr>
              <w:footnoteReference w:id="1"/>
            </w:r>
            <w:r>
              <w:rPr>
                <w:rFonts w:cstheme="minorHAnsi"/>
              </w:rPr>
              <w:t>, 764 ENERGY STAR</w:t>
            </w:r>
            <w:r>
              <w:rPr>
                <w:rStyle w:val="FootnoteReference"/>
                <w:rFonts w:cstheme="minorHAnsi"/>
              </w:rPr>
              <w:footnoteReference w:id="2"/>
            </w:r>
          </w:p>
        </w:tc>
      </w:tr>
      <w:tr w:rsidR="006D0530" w:rsidTr="00CD2372">
        <w:tc>
          <w:tcPr>
            <w:tcW w:w="918" w:type="dxa"/>
            <w:vMerge/>
            <w:shd w:val="clear" w:color="auto" w:fill="FFFFFF" w:themeFill="background1"/>
          </w:tcPr>
          <w:p w:rsidR="006D0530" w:rsidRPr="008C6988" w:rsidRDefault="006D0530" w:rsidP="0062598D">
            <w:pPr>
              <w:contextualSpacing/>
              <w:rPr>
                <w:rFonts w:cstheme="minorHAnsi"/>
              </w:rPr>
            </w:pPr>
          </w:p>
        </w:tc>
        <w:tc>
          <w:tcPr>
            <w:tcW w:w="6930" w:type="dxa"/>
            <w:shd w:val="clear" w:color="auto" w:fill="FFFFFF" w:themeFill="background1"/>
          </w:tcPr>
          <w:p w:rsidR="006D0530" w:rsidRDefault="006D0530"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35% of jurisdictions implement affordable housing green rehabilitation program. </w:t>
            </w:r>
          </w:p>
        </w:tc>
        <w:tc>
          <w:tcPr>
            <w:tcW w:w="1728" w:type="dxa"/>
            <w:shd w:val="clear" w:color="auto" w:fill="FFFFFF" w:themeFill="background1"/>
          </w:tcPr>
          <w:p w:rsidR="006D0530" w:rsidRPr="008C6988" w:rsidRDefault="006D0530" w:rsidP="0062598D">
            <w:pPr>
              <w:contextualSpacing/>
              <w:rPr>
                <w:rFonts w:cstheme="minorHAnsi"/>
              </w:rPr>
            </w:pPr>
            <w:r>
              <w:rPr>
                <w:rFonts w:cstheme="minorHAnsi"/>
              </w:rPr>
              <w:t>19%</w:t>
            </w:r>
          </w:p>
        </w:tc>
      </w:tr>
      <w:tr w:rsidR="006D0530" w:rsidTr="00CD2372">
        <w:tc>
          <w:tcPr>
            <w:tcW w:w="918" w:type="dxa"/>
            <w:vMerge/>
            <w:shd w:val="clear" w:color="auto" w:fill="FFFFFF" w:themeFill="background1"/>
          </w:tcPr>
          <w:p w:rsidR="006D0530" w:rsidRPr="008C6988" w:rsidRDefault="006D0530" w:rsidP="0062598D">
            <w:pPr>
              <w:contextualSpacing/>
              <w:rPr>
                <w:rFonts w:cstheme="minorHAnsi"/>
              </w:rPr>
            </w:pPr>
          </w:p>
        </w:tc>
        <w:tc>
          <w:tcPr>
            <w:tcW w:w="6930" w:type="dxa"/>
            <w:shd w:val="clear" w:color="auto" w:fill="FFFFFF" w:themeFill="background1"/>
          </w:tcPr>
          <w:p w:rsidR="006D0530" w:rsidRDefault="006D0530"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100% of jurisdictions achieve LEED-EB certification for 5% of their total existing building stock. </w:t>
            </w:r>
          </w:p>
        </w:tc>
        <w:tc>
          <w:tcPr>
            <w:tcW w:w="1728" w:type="dxa"/>
            <w:shd w:val="clear" w:color="auto" w:fill="FFFFFF" w:themeFill="background1"/>
          </w:tcPr>
          <w:p w:rsidR="006D0530" w:rsidRPr="005A3D5B" w:rsidRDefault="006D0530" w:rsidP="00556566">
            <w:pPr>
              <w:contextualSpacing/>
              <w:rPr>
                <w:rFonts w:cstheme="minorHAnsi"/>
              </w:rPr>
            </w:pPr>
            <w:r w:rsidRPr="005A3D5B">
              <w:rPr>
                <w:rFonts w:cstheme="minorHAnsi"/>
              </w:rPr>
              <w:t>Unknown</w:t>
            </w:r>
            <w:r w:rsidR="005A3D5B">
              <w:rPr>
                <w:rFonts w:cstheme="minorHAnsi"/>
              </w:rPr>
              <w:t xml:space="preserve"> </w:t>
            </w:r>
          </w:p>
        </w:tc>
      </w:tr>
      <w:tr w:rsidR="006D0530" w:rsidTr="00CD2372">
        <w:tc>
          <w:tcPr>
            <w:tcW w:w="918" w:type="dxa"/>
            <w:vMerge/>
            <w:shd w:val="clear" w:color="auto" w:fill="FFFFFF" w:themeFill="background1"/>
          </w:tcPr>
          <w:p w:rsidR="006D0530" w:rsidRPr="008C6988" w:rsidRDefault="006D0530" w:rsidP="0062598D">
            <w:pPr>
              <w:contextualSpacing/>
              <w:rPr>
                <w:rFonts w:cstheme="minorHAnsi"/>
              </w:rPr>
            </w:pPr>
          </w:p>
        </w:tc>
        <w:tc>
          <w:tcPr>
            <w:tcW w:w="6930" w:type="dxa"/>
            <w:shd w:val="clear" w:color="auto" w:fill="FFFFFF" w:themeFill="background1"/>
          </w:tcPr>
          <w:p w:rsidR="006D0530" w:rsidRDefault="006D0530" w:rsidP="00990EA2">
            <w:pPr>
              <w:pStyle w:val="Default"/>
              <w:rPr>
                <w:rFonts w:asciiTheme="minorHAnsi" w:hAnsiTheme="minorHAnsi" w:cstheme="minorHAnsi"/>
                <w:color w:val="auto"/>
                <w:sz w:val="22"/>
                <w:szCs w:val="22"/>
              </w:rPr>
            </w:pPr>
            <w:r w:rsidRPr="00B815C4">
              <w:rPr>
                <w:rFonts w:asciiTheme="minorHAnsi" w:hAnsiTheme="minorHAnsi" w:cstheme="minorHAnsi"/>
                <w:color w:val="FF0000"/>
                <w:sz w:val="22"/>
                <w:szCs w:val="22"/>
              </w:rPr>
              <w:t>x</w:t>
            </w:r>
            <w:r w:rsidRPr="00A8177F">
              <w:rPr>
                <w:rFonts w:asciiTheme="minorHAnsi" w:hAnsiTheme="minorHAnsi" w:cstheme="minorHAnsi"/>
                <w:color w:val="auto"/>
                <w:sz w:val="22"/>
                <w:szCs w:val="22"/>
              </w:rPr>
              <w:t>% of jurisdictions offer incentives for homes certified by a green rating system (LEED, ENERGY STAR, EarthCraft, EPA WaterSense, EPA Indoor airPLUS, etc) such as expediting planning development review process, offering reductions/waivers of development fees.</w:t>
            </w:r>
          </w:p>
        </w:tc>
        <w:tc>
          <w:tcPr>
            <w:tcW w:w="1728" w:type="dxa"/>
            <w:shd w:val="clear" w:color="auto" w:fill="FFFFFF" w:themeFill="background1"/>
          </w:tcPr>
          <w:p w:rsidR="006D0530" w:rsidRPr="005A3D5B" w:rsidRDefault="007A1AE0" w:rsidP="0062598D">
            <w:pPr>
              <w:contextualSpacing/>
              <w:rPr>
                <w:rFonts w:cstheme="minorHAnsi"/>
              </w:rPr>
            </w:pPr>
            <w:r w:rsidRPr="005A3D5B">
              <w:rPr>
                <w:rFonts w:cstheme="minorHAnsi"/>
              </w:rPr>
              <w:t>14% (LEED)</w:t>
            </w:r>
          </w:p>
        </w:tc>
      </w:tr>
      <w:tr w:rsidR="006D0530" w:rsidTr="00CD2372">
        <w:tc>
          <w:tcPr>
            <w:tcW w:w="918" w:type="dxa"/>
            <w:vMerge/>
            <w:shd w:val="clear" w:color="auto" w:fill="FFFFFF" w:themeFill="background1"/>
          </w:tcPr>
          <w:p w:rsidR="006D0530" w:rsidRPr="008C6988" w:rsidRDefault="006D0530" w:rsidP="0062598D">
            <w:pPr>
              <w:contextualSpacing/>
              <w:rPr>
                <w:rFonts w:cstheme="minorHAnsi"/>
              </w:rPr>
            </w:pPr>
          </w:p>
        </w:tc>
        <w:tc>
          <w:tcPr>
            <w:tcW w:w="6930" w:type="dxa"/>
            <w:shd w:val="clear" w:color="auto" w:fill="FFFFFF" w:themeFill="background1"/>
          </w:tcPr>
          <w:p w:rsidR="006D0530" w:rsidRDefault="006D0530" w:rsidP="0062598D">
            <w:pPr>
              <w:pStyle w:val="Default"/>
              <w:rPr>
                <w:rFonts w:asciiTheme="minorHAnsi" w:hAnsiTheme="minorHAnsi" w:cstheme="minorHAnsi"/>
                <w:color w:val="auto"/>
                <w:sz w:val="22"/>
                <w:szCs w:val="22"/>
              </w:rPr>
            </w:pPr>
            <w:r w:rsidRPr="00B815C4">
              <w:rPr>
                <w:rFonts w:asciiTheme="minorHAnsi" w:hAnsiTheme="minorHAnsi" w:cstheme="minorHAnsi"/>
                <w:color w:val="FF0000"/>
                <w:sz w:val="22"/>
                <w:szCs w:val="22"/>
              </w:rPr>
              <w:t>x</w:t>
            </w:r>
            <w:r w:rsidRPr="00A8177F">
              <w:rPr>
                <w:rFonts w:asciiTheme="minorHAnsi" w:hAnsiTheme="minorHAnsi" w:cstheme="minorHAnsi"/>
                <w:color w:val="auto"/>
                <w:sz w:val="22"/>
                <w:szCs w:val="22"/>
              </w:rPr>
              <w:t>% of jurisdictions offer incentives to certify affordable housing as LEED for Homes, ENERGY STAR, EPA Water Sense, EPA Indoor airPLUS, EarthCraft, EarthCraft Multifamily, and/or other green rating systems.</w:t>
            </w:r>
          </w:p>
        </w:tc>
        <w:tc>
          <w:tcPr>
            <w:tcW w:w="1728" w:type="dxa"/>
            <w:shd w:val="clear" w:color="auto" w:fill="FFFFFF" w:themeFill="background1"/>
          </w:tcPr>
          <w:p w:rsidR="006D0530" w:rsidRPr="005A3D5B" w:rsidRDefault="006D0530" w:rsidP="0062598D">
            <w:pPr>
              <w:contextualSpacing/>
              <w:rPr>
                <w:rFonts w:cstheme="minorHAnsi"/>
              </w:rPr>
            </w:pPr>
            <w:r w:rsidRPr="005A3D5B">
              <w:rPr>
                <w:rFonts w:cstheme="minorHAnsi"/>
              </w:rPr>
              <w:t>Unknown</w:t>
            </w:r>
          </w:p>
        </w:tc>
      </w:tr>
      <w:tr w:rsidR="006D0530" w:rsidTr="00CD2372">
        <w:tc>
          <w:tcPr>
            <w:tcW w:w="918" w:type="dxa"/>
            <w:vMerge/>
            <w:shd w:val="clear" w:color="auto" w:fill="FFFFFF" w:themeFill="background1"/>
          </w:tcPr>
          <w:p w:rsidR="006D0530" w:rsidRPr="008C6988" w:rsidRDefault="006D0530" w:rsidP="0062598D">
            <w:pPr>
              <w:contextualSpacing/>
              <w:rPr>
                <w:rFonts w:cstheme="minorHAnsi"/>
              </w:rPr>
            </w:pPr>
          </w:p>
        </w:tc>
        <w:tc>
          <w:tcPr>
            <w:tcW w:w="6930" w:type="dxa"/>
            <w:shd w:val="clear" w:color="auto" w:fill="FFFFFF" w:themeFill="background1"/>
          </w:tcPr>
          <w:p w:rsidR="006D0530" w:rsidRDefault="006D0530" w:rsidP="0062598D">
            <w:pPr>
              <w:pStyle w:val="Default"/>
              <w:rPr>
                <w:rFonts w:asciiTheme="minorHAnsi" w:hAnsiTheme="minorHAnsi" w:cstheme="minorHAnsi"/>
                <w:color w:val="auto"/>
                <w:sz w:val="22"/>
                <w:szCs w:val="22"/>
              </w:rPr>
            </w:pPr>
            <w:r w:rsidRPr="00B815C4">
              <w:rPr>
                <w:rFonts w:asciiTheme="minorHAnsi" w:hAnsiTheme="minorHAnsi" w:cstheme="minorHAnsi"/>
                <w:color w:val="FF0000"/>
                <w:sz w:val="22"/>
                <w:szCs w:val="22"/>
              </w:rPr>
              <w:t>x</w:t>
            </w:r>
            <w:r w:rsidRPr="007F3F9B">
              <w:rPr>
                <w:rFonts w:asciiTheme="minorHAnsi" w:hAnsiTheme="minorHAnsi" w:cstheme="minorHAnsi"/>
                <w:color w:val="auto"/>
                <w:sz w:val="22"/>
                <w:szCs w:val="22"/>
              </w:rPr>
              <w:t>% of jurisdictions incorporate energy terms and language in lease agreements for public facilities.</w:t>
            </w:r>
          </w:p>
        </w:tc>
        <w:tc>
          <w:tcPr>
            <w:tcW w:w="1728" w:type="dxa"/>
            <w:shd w:val="clear" w:color="auto" w:fill="FFFFFF" w:themeFill="background1"/>
          </w:tcPr>
          <w:p w:rsidR="006D0530" w:rsidRDefault="006D0530" w:rsidP="0062598D">
            <w:pPr>
              <w:contextualSpacing/>
              <w:rPr>
                <w:rFonts w:cstheme="minorHAnsi"/>
              </w:rPr>
            </w:pPr>
            <w:r>
              <w:rPr>
                <w:rFonts w:cstheme="minorHAnsi"/>
              </w:rPr>
              <w:t>Unknown</w:t>
            </w:r>
          </w:p>
        </w:tc>
      </w:tr>
    </w:tbl>
    <w:p w:rsidR="003E1FAA" w:rsidRPr="00D15F8C" w:rsidRDefault="003E1FAA" w:rsidP="0062598D">
      <w:pPr>
        <w:spacing w:after="0" w:line="240" w:lineRule="auto"/>
        <w:contextualSpacing/>
        <w:rPr>
          <w:rFonts w:cstheme="minorHAnsi"/>
          <w:sz w:val="18"/>
          <w:szCs w:val="18"/>
        </w:rPr>
      </w:pPr>
      <w:r w:rsidRPr="003304BC">
        <w:rPr>
          <w:rFonts w:cstheme="minorHAnsi"/>
        </w:rPr>
        <w:t>*</w:t>
      </w:r>
      <w:r w:rsidRPr="00FE0B91">
        <w:rPr>
          <w:rFonts w:cstheme="minorHAnsi"/>
          <w:sz w:val="18"/>
          <w:szCs w:val="18"/>
        </w:rPr>
        <w:t>The Status</w:t>
      </w:r>
      <w:r>
        <w:rPr>
          <w:rFonts w:cstheme="minorHAnsi"/>
        </w:rPr>
        <w:t xml:space="preserve"> i</w:t>
      </w:r>
      <w:r w:rsidRPr="00D15F8C">
        <w:rPr>
          <w:rFonts w:cstheme="minorHAnsi"/>
          <w:sz w:val="18"/>
          <w:szCs w:val="18"/>
        </w:rPr>
        <w:t xml:space="preserve">dentifies the goal as one of the following: </w:t>
      </w:r>
    </w:p>
    <w:p w:rsidR="003E1FAA" w:rsidRPr="00D15F8C" w:rsidRDefault="003E1FAA" w:rsidP="0062598D">
      <w:pPr>
        <w:pStyle w:val="ListParagraph"/>
        <w:numPr>
          <w:ilvl w:val="0"/>
          <w:numId w:val="42"/>
        </w:numPr>
        <w:contextualSpacing/>
        <w:rPr>
          <w:rFonts w:asciiTheme="minorHAnsi" w:hAnsiTheme="minorHAnsi" w:cstheme="minorHAnsi"/>
          <w:sz w:val="18"/>
          <w:szCs w:val="18"/>
        </w:rPr>
      </w:pPr>
      <w:r>
        <w:rPr>
          <w:rFonts w:asciiTheme="minorHAnsi" w:hAnsiTheme="minorHAnsi" w:cstheme="minorHAnsi"/>
          <w:sz w:val="18"/>
          <w:szCs w:val="18"/>
        </w:rPr>
        <w:t xml:space="preserve">Existing: </w:t>
      </w:r>
      <w:r w:rsidRPr="00D15F8C">
        <w:rPr>
          <w:rFonts w:asciiTheme="minorHAnsi" w:hAnsiTheme="minorHAnsi" w:cstheme="minorHAnsi"/>
          <w:sz w:val="18"/>
          <w:szCs w:val="18"/>
        </w:rPr>
        <w:t>The goal exists in the 2010-2012 Workplan and is proposed for the 2013–2016 Workplan</w:t>
      </w:r>
    </w:p>
    <w:p w:rsidR="006F70F1" w:rsidRPr="00D15F8C" w:rsidRDefault="006F70F1" w:rsidP="006F70F1">
      <w:pPr>
        <w:pStyle w:val="ListParagraph"/>
        <w:numPr>
          <w:ilvl w:val="0"/>
          <w:numId w:val="42"/>
        </w:numPr>
        <w:contextualSpacing/>
        <w:rPr>
          <w:rFonts w:asciiTheme="minorHAnsi" w:hAnsiTheme="minorHAnsi" w:cstheme="minorHAnsi"/>
          <w:sz w:val="18"/>
          <w:szCs w:val="18"/>
        </w:rPr>
      </w:pPr>
      <w:r>
        <w:rPr>
          <w:rFonts w:asciiTheme="minorHAnsi" w:hAnsiTheme="minorHAnsi" w:cstheme="minorHAnsi"/>
          <w:sz w:val="18"/>
          <w:szCs w:val="18"/>
        </w:rPr>
        <w:t xml:space="preserve">Revised: </w:t>
      </w:r>
      <w:r w:rsidRPr="00D15F8C">
        <w:rPr>
          <w:rFonts w:asciiTheme="minorHAnsi" w:hAnsiTheme="minorHAnsi" w:cstheme="minorHAnsi"/>
          <w:sz w:val="18"/>
          <w:szCs w:val="18"/>
        </w:rPr>
        <w:t>The goal exists in the 2010-2012 Workplan and a revision is proposed for the 2013–2016 Workplan</w:t>
      </w:r>
    </w:p>
    <w:p w:rsidR="003E1FAA" w:rsidRPr="00D15F8C" w:rsidRDefault="003E1FAA" w:rsidP="0062598D">
      <w:pPr>
        <w:pStyle w:val="ListParagraph"/>
        <w:numPr>
          <w:ilvl w:val="0"/>
          <w:numId w:val="42"/>
        </w:numPr>
        <w:contextualSpacing/>
        <w:rPr>
          <w:rFonts w:asciiTheme="minorHAnsi" w:hAnsiTheme="minorHAnsi" w:cstheme="minorHAnsi"/>
          <w:sz w:val="18"/>
          <w:szCs w:val="18"/>
        </w:rPr>
      </w:pPr>
      <w:r>
        <w:rPr>
          <w:rFonts w:asciiTheme="minorHAnsi" w:hAnsiTheme="minorHAnsi" w:cstheme="minorHAnsi"/>
          <w:sz w:val="18"/>
          <w:szCs w:val="18"/>
        </w:rPr>
        <w:t xml:space="preserve">New: </w:t>
      </w:r>
      <w:r w:rsidRPr="00D15F8C">
        <w:rPr>
          <w:rFonts w:asciiTheme="minorHAnsi" w:hAnsiTheme="minorHAnsi" w:cstheme="minorHAnsi"/>
          <w:sz w:val="18"/>
          <w:szCs w:val="18"/>
        </w:rPr>
        <w:t>The goal does not exist in the 2010–2012 Workplan and is prop</w:t>
      </w:r>
      <w:r>
        <w:rPr>
          <w:rFonts w:asciiTheme="minorHAnsi" w:hAnsiTheme="minorHAnsi" w:cstheme="minorHAnsi"/>
          <w:sz w:val="18"/>
          <w:szCs w:val="18"/>
        </w:rPr>
        <w:t>osed as a new goal for the 2013</w:t>
      </w:r>
      <w:r w:rsidRPr="00D15F8C">
        <w:rPr>
          <w:rFonts w:asciiTheme="minorHAnsi" w:hAnsiTheme="minorHAnsi" w:cstheme="minorHAnsi"/>
          <w:sz w:val="18"/>
          <w:szCs w:val="18"/>
        </w:rPr>
        <w:t>–2016 Workplan</w:t>
      </w:r>
    </w:p>
    <w:p w:rsidR="0062598D" w:rsidRDefault="0062598D" w:rsidP="0062598D">
      <w:pPr>
        <w:pStyle w:val="Default"/>
        <w:rPr>
          <w:rFonts w:asciiTheme="minorHAnsi" w:hAnsiTheme="minorHAnsi" w:cstheme="minorHAnsi"/>
          <w:color w:val="auto"/>
          <w:sz w:val="22"/>
          <w:szCs w:val="22"/>
        </w:rPr>
      </w:pPr>
    </w:p>
    <w:p w:rsidR="00A94C59" w:rsidRDefault="00A94C59" w:rsidP="0062598D">
      <w:pPr>
        <w:pStyle w:val="Default"/>
        <w:rPr>
          <w:rFonts w:asciiTheme="minorHAnsi" w:hAnsiTheme="minorHAnsi" w:cstheme="minorHAnsi"/>
          <w:color w:val="auto"/>
          <w:sz w:val="22"/>
          <w:szCs w:val="22"/>
        </w:rPr>
      </w:pPr>
      <w:r w:rsidRPr="006B2212">
        <w:rPr>
          <w:rFonts w:asciiTheme="minorHAnsi" w:hAnsiTheme="minorHAnsi" w:cstheme="minorHAnsi"/>
          <w:color w:val="auto"/>
          <w:sz w:val="22"/>
          <w:szCs w:val="22"/>
        </w:rPr>
        <w:t xml:space="preserve">The </w:t>
      </w:r>
      <w:r w:rsidR="00556566">
        <w:rPr>
          <w:rFonts w:asciiTheme="minorHAnsi" w:hAnsiTheme="minorHAnsi" w:cstheme="minorHAnsi"/>
          <w:color w:val="auto"/>
          <w:sz w:val="22"/>
          <w:szCs w:val="22"/>
        </w:rPr>
        <w:t>g</w:t>
      </w:r>
      <w:r w:rsidRPr="006B2212">
        <w:rPr>
          <w:rFonts w:asciiTheme="minorHAnsi" w:hAnsiTheme="minorHAnsi" w:cstheme="minorHAnsi"/>
          <w:color w:val="auto"/>
          <w:sz w:val="22"/>
          <w:szCs w:val="22"/>
        </w:rPr>
        <w:t xml:space="preserve">reen </w:t>
      </w:r>
      <w:r w:rsidR="00556566">
        <w:rPr>
          <w:rFonts w:asciiTheme="minorHAnsi" w:hAnsiTheme="minorHAnsi" w:cstheme="minorHAnsi"/>
          <w:color w:val="auto"/>
          <w:sz w:val="22"/>
          <w:szCs w:val="22"/>
        </w:rPr>
        <w:t>b</w:t>
      </w:r>
      <w:r w:rsidRPr="006B2212">
        <w:rPr>
          <w:rFonts w:asciiTheme="minorHAnsi" w:hAnsiTheme="minorHAnsi" w:cstheme="minorHAnsi"/>
          <w:color w:val="auto"/>
          <w:sz w:val="22"/>
          <w:szCs w:val="22"/>
        </w:rPr>
        <w:t>uilding goals in the 2013-</w:t>
      </w:r>
      <w:r w:rsidR="00556566">
        <w:rPr>
          <w:rFonts w:asciiTheme="minorHAnsi" w:hAnsiTheme="minorHAnsi" w:cstheme="minorHAnsi"/>
          <w:color w:val="auto"/>
          <w:sz w:val="22"/>
          <w:szCs w:val="22"/>
        </w:rPr>
        <w:t>2</w:t>
      </w:r>
      <w:r w:rsidRPr="006B2212">
        <w:rPr>
          <w:rFonts w:asciiTheme="minorHAnsi" w:hAnsiTheme="minorHAnsi" w:cstheme="minorHAnsi"/>
          <w:color w:val="auto"/>
          <w:sz w:val="22"/>
          <w:szCs w:val="22"/>
        </w:rPr>
        <w:t>0</w:t>
      </w:r>
      <w:r w:rsidR="00556566">
        <w:rPr>
          <w:rFonts w:asciiTheme="minorHAnsi" w:hAnsiTheme="minorHAnsi" w:cstheme="minorHAnsi"/>
          <w:color w:val="auto"/>
          <w:sz w:val="22"/>
          <w:szCs w:val="22"/>
        </w:rPr>
        <w:t>1</w:t>
      </w:r>
      <w:r w:rsidRPr="006B2212">
        <w:rPr>
          <w:rFonts w:asciiTheme="minorHAnsi" w:hAnsiTheme="minorHAnsi" w:cstheme="minorHAnsi"/>
          <w:color w:val="auto"/>
          <w:sz w:val="22"/>
          <w:szCs w:val="22"/>
        </w:rPr>
        <w:t xml:space="preserve">6 </w:t>
      </w:r>
      <w:r w:rsidR="00556566">
        <w:rPr>
          <w:rFonts w:asciiTheme="minorHAnsi" w:hAnsiTheme="minorHAnsi" w:cstheme="minorHAnsi"/>
          <w:color w:val="auto"/>
          <w:sz w:val="22"/>
          <w:szCs w:val="22"/>
        </w:rPr>
        <w:t>CEEPC</w:t>
      </w:r>
      <w:r w:rsidRPr="006B2212">
        <w:rPr>
          <w:rFonts w:asciiTheme="minorHAnsi" w:hAnsiTheme="minorHAnsi" w:cstheme="minorHAnsi"/>
          <w:color w:val="auto"/>
          <w:sz w:val="22"/>
          <w:szCs w:val="22"/>
        </w:rPr>
        <w:t xml:space="preserve"> Workplan are designed to assist the region meet the following long-term </w:t>
      </w:r>
      <w:r w:rsidRPr="00025B5A">
        <w:rPr>
          <w:rFonts w:asciiTheme="minorHAnsi" w:hAnsiTheme="minorHAnsi" w:cstheme="minorHAnsi"/>
          <w:i/>
          <w:color w:val="auto"/>
          <w:sz w:val="22"/>
          <w:szCs w:val="22"/>
        </w:rPr>
        <w:t>Region Forward</w:t>
      </w:r>
      <w:r w:rsidR="00025B5A" w:rsidRPr="00025B5A">
        <w:rPr>
          <w:rFonts w:asciiTheme="minorHAnsi" w:hAnsiTheme="minorHAnsi" w:cstheme="minorHAnsi"/>
          <w:color w:val="auto"/>
          <w:sz w:val="22"/>
          <w:szCs w:val="22"/>
        </w:rPr>
        <w:t xml:space="preserve"> t</w:t>
      </w:r>
      <w:r w:rsidRPr="00025B5A">
        <w:rPr>
          <w:rFonts w:asciiTheme="minorHAnsi" w:hAnsiTheme="minorHAnsi" w:cstheme="minorHAnsi"/>
          <w:color w:val="auto"/>
          <w:sz w:val="22"/>
          <w:szCs w:val="22"/>
        </w:rPr>
        <w:t>arget</w:t>
      </w:r>
      <w:r w:rsidR="00556566">
        <w:rPr>
          <w:rFonts w:asciiTheme="minorHAnsi" w:hAnsiTheme="minorHAnsi" w:cstheme="minorHAnsi"/>
          <w:color w:val="auto"/>
          <w:sz w:val="22"/>
          <w:szCs w:val="22"/>
        </w:rPr>
        <w:t>s</w:t>
      </w:r>
      <w:r w:rsidRPr="006B2212">
        <w:rPr>
          <w:rFonts w:asciiTheme="minorHAnsi" w:hAnsiTheme="minorHAnsi" w:cstheme="minorHAnsi"/>
          <w:color w:val="auto"/>
          <w:sz w:val="22"/>
          <w:szCs w:val="22"/>
        </w:rPr>
        <w:t xml:space="preserve">: </w:t>
      </w:r>
    </w:p>
    <w:p w:rsidR="00332E24" w:rsidRDefault="00332E24" w:rsidP="0062598D">
      <w:pPr>
        <w:pStyle w:val="Default"/>
        <w:rPr>
          <w:rFonts w:asciiTheme="minorHAnsi" w:hAnsiTheme="minorHAnsi" w:cstheme="minorHAnsi"/>
          <w:color w:val="auto"/>
          <w:sz w:val="22"/>
          <w:szCs w:val="22"/>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tblPr>
      <w:tblGrid>
        <w:gridCol w:w="9558"/>
      </w:tblGrid>
      <w:tr w:rsidR="00A27A10" w:rsidRPr="00436A4F" w:rsidTr="00025B5A">
        <w:tc>
          <w:tcPr>
            <w:tcW w:w="9558" w:type="dxa"/>
            <w:shd w:val="clear" w:color="auto" w:fill="D0E0F4"/>
          </w:tcPr>
          <w:p w:rsidR="00A27A10" w:rsidRPr="00025B5A" w:rsidRDefault="00A27A10" w:rsidP="0062598D">
            <w:pPr>
              <w:contextualSpacing/>
              <w:rPr>
                <w:rFonts w:cstheme="minorHAnsi"/>
                <w:b/>
                <w:color w:val="548DD4" w:themeColor="text2" w:themeTint="99"/>
              </w:rPr>
            </w:pPr>
            <w:r w:rsidRPr="00025B5A">
              <w:rPr>
                <w:rFonts w:cstheme="minorHAnsi"/>
                <w:b/>
                <w:i/>
                <w:color w:val="548DD4" w:themeColor="text2" w:themeTint="99"/>
              </w:rPr>
              <w:t>Region Forward</w:t>
            </w:r>
            <w:r w:rsidRPr="00025B5A">
              <w:rPr>
                <w:rFonts w:cstheme="minorHAnsi"/>
                <w:b/>
                <w:color w:val="548DD4" w:themeColor="text2" w:themeTint="99"/>
              </w:rPr>
              <w:t xml:space="preserve"> Target</w:t>
            </w:r>
          </w:p>
        </w:tc>
      </w:tr>
      <w:tr w:rsidR="00A27A10" w:rsidTr="00025B5A">
        <w:tc>
          <w:tcPr>
            <w:tcW w:w="9558" w:type="dxa"/>
          </w:tcPr>
          <w:p w:rsidR="00A27A10" w:rsidRDefault="00A27A10" w:rsidP="0062598D">
            <w:pPr>
              <w:pStyle w:val="Default"/>
              <w:rPr>
                <w:rFonts w:cstheme="minorHAnsi"/>
              </w:rPr>
            </w:pPr>
            <w:r w:rsidRPr="009C66CB">
              <w:rPr>
                <w:rFonts w:asciiTheme="minorHAnsi" w:hAnsiTheme="minorHAnsi" w:cstheme="minorHAnsi"/>
                <w:color w:val="auto"/>
                <w:sz w:val="22"/>
                <w:szCs w:val="22"/>
              </w:rPr>
              <w:t xml:space="preserve">By 2020, reduce regional GHG by 20% below 2005 levels and by 2050, reduce regional GHG emissions by 80% below 2005 levels. </w:t>
            </w:r>
          </w:p>
        </w:tc>
      </w:tr>
      <w:tr w:rsidR="00A27A10" w:rsidTr="00025B5A">
        <w:tc>
          <w:tcPr>
            <w:tcW w:w="9558" w:type="dxa"/>
          </w:tcPr>
          <w:p w:rsidR="00A27A10" w:rsidRPr="009C66CB" w:rsidRDefault="00A27A10"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By 2020, all new residential and commercial buildings will be built using sustainable design practices equivalent to LEED Silver Standards.  </w:t>
            </w:r>
          </w:p>
        </w:tc>
      </w:tr>
      <w:tr w:rsidR="00A27A10" w:rsidTr="00025B5A">
        <w:tc>
          <w:tcPr>
            <w:tcW w:w="9558" w:type="dxa"/>
          </w:tcPr>
          <w:p w:rsidR="00A27A10" w:rsidRPr="009C66CB" w:rsidRDefault="00A27A10"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Beginning in 2012, capture 75% of the square footage of new commercial construction and 50% of new households in Regional Activity Centers.</w:t>
            </w:r>
          </w:p>
        </w:tc>
      </w:tr>
      <w:tr w:rsidR="00A27A10" w:rsidTr="00025B5A">
        <w:tc>
          <w:tcPr>
            <w:tcW w:w="9558" w:type="dxa"/>
          </w:tcPr>
          <w:p w:rsidR="00A27A10" w:rsidRPr="009C66CB" w:rsidRDefault="00A27A10"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Increase the rate of bicycle and pedestrian construction. </w:t>
            </w:r>
          </w:p>
        </w:tc>
      </w:tr>
      <w:tr w:rsidR="00A27A10" w:rsidTr="00025B5A">
        <w:tc>
          <w:tcPr>
            <w:tcW w:w="9558" w:type="dxa"/>
          </w:tcPr>
          <w:p w:rsidR="00A27A10" w:rsidRPr="009C66CB" w:rsidRDefault="00A27A10"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Reduce pedestrian and bicycle fatalities across the region. </w:t>
            </w:r>
          </w:p>
        </w:tc>
      </w:tr>
      <w:tr w:rsidR="00A27A10" w:rsidTr="00025B5A">
        <w:tc>
          <w:tcPr>
            <w:tcW w:w="9558" w:type="dxa"/>
          </w:tcPr>
          <w:p w:rsidR="00A27A10" w:rsidRDefault="00A27A10"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By 2050, 50% of all sentinel watersheds will be in good or excellent condition. </w:t>
            </w:r>
          </w:p>
        </w:tc>
      </w:tr>
      <w:tr w:rsidR="00A27A10" w:rsidTr="00025B5A">
        <w:tc>
          <w:tcPr>
            <w:tcW w:w="9558" w:type="dxa"/>
          </w:tcPr>
          <w:p w:rsidR="00A27A10" w:rsidRDefault="00A27A10"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Beginning in 2012, the region will dedicate 15% of all new housing units to be affordable – or a comparable amount of existing housing units through rehabilitation or preservation efforts – for households earning less than 80% of the regional median income. </w:t>
            </w:r>
          </w:p>
        </w:tc>
      </w:tr>
    </w:tbl>
    <w:p w:rsidR="003A5BFB" w:rsidRPr="006B2212" w:rsidRDefault="003A5BFB" w:rsidP="0062598D">
      <w:pPr>
        <w:pStyle w:val="Default"/>
        <w:rPr>
          <w:rFonts w:asciiTheme="minorHAnsi" w:hAnsiTheme="minorHAnsi" w:cstheme="minorHAnsi"/>
          <w:color w:val="auto"/>
          <w:sz w:val="22"/>
          <w:szCs w:val="22"/>
        </w:rPr>
      </w:pPr>
    </w:p>
    <w:p w:rsidR="00DB26AC" w:rsidRDefault="00DB26AC" w:rsidP="0062598D">
      <w:pPr>
        <w:autoSpaceDE w:val="0"/>
        <w:autoSpaceDN w:val="0"/>
        <w:spacing w:after="0" w:line="240" w:lineRule="auto"/>
        <w:rPr>
          <w:rFonts w:cstheme="minorHAnsi"/>
          <w:b/>
          <w:color w:val="31849B" w:themeColor="accent5" w:themeShade="BF"/>
        </w:rPr>
      </w:pPr>
    </w:p>
    <w:p w:rsidR="00DB26AC" w:rsidRDefault="00DB26AC" w:rsidP="0062598D">
      <w:pPr>
        <w:autoSpaceDE w:val="0"/>
        <w:autoSpaceDN w:val="0"/>
        <w:spacing w:after="0" w:line="240" w:lineRule="auto"/>
        <w:rPr>
          <w:rFonts w:cstheme="minorHAnsi"/>
          <w:b/>
          <w:color w:val="31849B" w:themeColor="accent5" w:themeShade="BF"/>
        </w:rPr>
      </w:pPr>
    </w:p>
    <w:p w:rsidR="00DB26AC" w:rsidRDefault="00DB26AC" w:rsidP="0062598D">
      <w:pPr>
        <w:autoSpaceDE w:val="0"/>
        <w:autoSpaceDN w:val="0"/>
        <w:spacing w:after="0" w:line="240" w:lineRule="auto"/>
        <w:rPr>
          <w:rFonts w:cstheme="minorHAnsi"/>
          <w:b/>
          <w:color w:val="31849B" w:themeColor="accent5" w:themeShade="BF"/>
        </w:rPr>
      </w:pPr>
    </w:p>
    <w:p w:rsidR="00DB26AC" w:rsidRDefault="00DB26AC" w:rsidP="0062598D">
      <w:pPr>
        <w:autoSpaceDE w:val="0"/>
        <w:autoSpaceDN w:val="0"/>
        <w:spacing w:after="0" w:line="240" w:lineRule="auto"/>
        <w:rPr>
          <w:rFonts w:cstheme="minorHAnsi"/>
          <w:b/>
          <w:color w:val="31849B" w:themeColor="accent5" w:themeShade="BF"/>
        </w:rPr>
      </w:pPr>
    </w:p>
    <w:p w:rsidR="00DB26AC" w:rsidRDefault="00DB26AC" w:rsidP="0062598D">
      <w:pPr>
        <w:autoSpaceDE w:val="0"/>
        <w:autoSpaceDN w:val="0"/>
        <w:spacing w:after="0" w:line="240" w:lineRule="auto"/>
        <w:rPr>
          <w:rFonts w:cstheme="minorHAnsi"/>
          <w:b/>
          <w:color w:val="31849B" w:themeColor="accent5" w:themeShade="BF"/>
        </w:rPr>
      </w:pPr>
    </w:p>
    <w:p w:rsidR="00DB26AC" w:rsidRDefault="00DB26AC" w:rsidP="0062598D">
      <w:pPr>
        <w:autoSpaceDE w:val="0"/>
        <w:autoSpaceDN w:val="0"/>
        <w:spacing w:after="0" w:line="240" w:lineRule="auto"/>
        <w:rPr>
          <w:rFonts w:cstheme="minorHAnsi"/>
          <w:b/>
          <w:color w:val="31849B" w:themeColor="accent5" w:themeShade="BF"/>
        </w:rPr>
      </w:pPr>
    </w:p>
    <w:p w:rsidR="00DB26AC" w:rsidRDefault="00DB26AC" w:rsidP="0062598D">
      <w:pPr>
        <w:autoSpaceDE w:val="0"/>
        <w:autoSpaceDN w:val="0"/>
        <w:spacing w:after="0" w:line="240" w:lineRule="auto"/>
        <w:rPr>
          <w:rFonts w:cstheme="minorHAnsi"/>
          <w:b/>
          <w:color w:val="31849B" w:themeColor="accent5" w:themeShade="BF"/>
        </w:rPr>
      </w:pPr>
    </w:p>
    <w:p w:rsidR="00DB26AC" w:rsidRDefault="00DB26AC" w:rsidP="0062598D">
      <w:pPr>
        <w:autoSpaceDE w:val="0"/>
        <w:autoSpaceDN w:val="0"/>
        <w:spacing w:after="0" w:line="240" w:lineRule="auto"/>
        <w:rPr>
          <w:rFonts w:cstheme="minorHAnsi"/>
          <w:b/>
          <w:color w:val="31849B" w:themeColor="accent5" w:themeShade="BF"/>
        </w:rPr>
      </w:pPr>
    </w:p>
    <w:p w:rsidR="00DB26AC" w:rsidRDefault="00DB26AC" w:rsidP="0062598D">
      <w:pPr>
        <w:autoSpaceDE w:val="0"/>
        <w:autoSpaceDN w:val="0"/>
        <w:spacing w:after="0" w:line="240" w:lineRule="auto"/>
        <w:rPr>
          <w:rFonts w:cstheme="minorHAnsi"/>
          <w:b/>
          <w:color w:val="31849B" w:themeColor="accent5" w:themeShade="BF"/>
        </w:rPr>
      </w:pPr>
    </w:p>
    <w:p w:rsidR="00DB26AC" w:rsidRDefault="00DB26AC"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p w:rsidR="0062598D" w:rsidRDefault="0062598D" w:rsidP="0062598D">
      <w:pPr>
        <w:autoSpaceDE w:val="0"/>
        <w:autoSpaceDN w:val="0"/>
        <w:spacing w:after="0" w:line="240" w:lineRule="auto"/>
        <w:rPr>
          <w:rFonts w:cstheme="minorHAnsi"/>
          <w:b/>
          <w:color w:val="31849B" w:themeColor="accent5" w:themeShade="BF"/>
        </w:rPr>
      </w:pPr>
    </w:p>
    <w:p w:rsidR="0062598D" w:rsidRDefault="0062598D" w:rsidP="0062598D">
      <w:pPr>
        <w:autoSpaceDE w:val="0"/>
        <w:autoSpaceDN w:val="0"/>
        <w:spacing w:after="0" w:line="240" w:lineRule="auto"/>
        <w:rPr>
          <w:rFonts w:cstheme="minorHAnsi"/>
          <w:b/>
          <w:color w:val="31849B" w:themeColor="accent5" w:themeShade="BF"/>
        </w:rPr>
      </w:pPr>
    </w:p>
    <w:p w:rsidR="0062598D" w:rsidRDefault="0062598D" w:rsidP="0062598D">
      <w:pPr>
        <w:autoSpaceDE w:val="0"/>
        <w:autoSpaceDN w:val="0"/>
        <w:spacing w:after="0" w:line="240" w:lineRule="auto"/>
        <w:rPr>
          <w:rFonts w:cstheme="minorHAnsi"/>
          <w:b/>
          <w:color w:val="31849B" w:themeColor="accent5" w:themeShade="BF"/>
        </w:rPr>
      </w:pPr>
    </w:p>
    <w:p w:rsidR="0062598D" w:rsidRDefault="0062598D" w:rsidP="0062598D">
      <w:pPr>
        <w:autoSpaceDE w:val="0"/>
        <w:autoSpaceDN w:val="0"/>
        <w:spacing w:after="0" w:line="240" w:lineRule="auto"/>
        <w:rPr>
          <w:rFonts w:cstheme="minorHAnsi"/>
          <w:b/>
          <w:color w:val="31849B" w:themeColor="accent5" w:themeShade="BF"/>
        </w:rPr>
      </w:pPr>
    </w:p>
    <w:p w:rsidR="008F039E" w:rsidRDefault="008F039E" w:rsidP="0062598D">
      <w:pPr>
        <w:autoSpaceDE w:val="0"/>
        <w:autoSpaceDN w:val="0"/>
        <w:spacing w:after="0" w:line="240" w:lineRule="auto"/>
        <w:rPr>
          <w:rFonts w:cstheme="minorHAnsi"/>
          <w:b/>
          <w:color w:val="31849B" w:themeColor="accent5" w:themeShade="BF"/>
        </w:rPr>
      </w:pPr>
    </w:p>
    <w:p w:rsidR="0062598D" w:rsidRDefault="0062598D" w:rsidP="0062598D">
      <w:pPr>
        <w:autoSpaceDE w:val="0"/>
        <w:autoSpaceDN w:val="0"/>
        <w:spacing w:after="0" w:line="240" w:lineRule="auto"/>
        <w:rPr>
          <w:rFonts w:cstheme="minorHAnsi"/>
          <w:b/>
          <w:color w:val="31849B" w:themeColor="accent5" w:themeShade="BF"/>
        </w:rPr>
      </w:pPr>
    </w:p>
    <w:p w:rsidR="0062598D" w:rsidRDefault="0062598D" w:rsidP="0062598D">
      <w:pPr>
        <w:autoSpaceDE w:val="0"/>
        <w:autoSpaceDN w:val="0"/>
        <w:spacing w:after="0" w:line="240" w:lineRule="auto"/>
        <w:rPr>
          <w:rFonts w:cstheme="minorHAnsi"/>
          <w:b/>
          <w:color w:val="31849B" w:themeColor="accent5" w:themeShade="BF"/>
        </w:rPr>
      </w:pPr>
    </w:p>
    <w:p w:rsidR="009D0871" w:rsidRDefault="009D0871" w:rsidP="0062598D">
      <w:pPr>
        <w:autoSpaceDE w:val="0"/>
        <w:autoSpaceDN w:val="0"/>
        <w:spacing w:after="0" w:line="240" w:lineRule="auto"/>
        <w:rPr>
          <w:rFonts w:cstheme="minorHAnsi"/>
          <w:b/>
          <w:color w:val="31849B" w:themeColor="accent5" w:themeShade="BF"/>
        </w:rPr>
      </w:pPr>
    </w:p>
    <w:sectPr w:rsidR="009D0871" w:rsidSect="003F50DE">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B5A" w:rsidRDefault="00025B5A" w:rsidP="008C411F">
      <w:pPr>
        <w:spacing w:after="0" w:line="240" w:lineRule="auto"/>
      </w:pPr>
      <w:r>
        <w:separator/>
      </w:r>
    </w:p>
  </w:endnote>
  <w:endnote w:type="continuationSeparator" w:id="0">
    <w:p w:rsidR="00025B5A" w:rsidRDefault="00025B5A" w:rsidP="008C4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B5A" w:rsidRDefault="00025B5A" w:rsidP="008C411F">
      <w:pPr>
        <w:spacing w:after="0" w:line="240" w:lineRule="auto"/>
      </w:pPr>
      <w:r>
        <w:separator/>
      </w:r>
    </w:p>
  </w:footnote>
  <w:footnote w:type="continuationSeparator" w:id="0">
    <w:p w:rsidR="00025B5A" w:rsidRDefault="00025B5A" w:rsidP="008C411F">
      <w:pPr>
        <w:spacing w:after="0" w:line="240" w:lineRule="auto"/>
      </w:pPr>
      <w:r>
        <w:continuationSeparator/>
      </w:r>
    </w:p>
  </w:footnote>
  <w:footnote w:id="1">
    <w:p w:rsidR="00025B5A" w:rsidRPr="00E50E2B" w:rsidRDefault="00025B5A">
      <w:pPr>
        <w:pStyle w:val="FootnoteText"/>
      </w:pPr>
      <w:r>
        <w:rPr>
          <w:rStyle w:val="FootnoteReference"/>
        </w:rPr>
        <w:footnoteRef/>
      </w:r>
      <w:r>
        <w:t xml:space="preserve"> </w:t>
      </w:r>
      <w:hyperlink r:id="rId1" w:history="1">
        <w:r w:rsidRPr="00D0570B">
          <w:rPr>
            <w:rStyle w:val="Hyperlink"/>
          </w:rPr>
          <w:t>COG Green Building Trends Report</w:t>
        </w:r>
      </w:hyperlink>
      <w:r>
        <w:t xml:space="preserve">: How Green Building Impacted the National Capital Region Between 2003 and 2009. </w:t>
      </w:r>
      <w:r w:rsidRPr="00E50E2B">
        <w:rPr>
          <w:rFonts w:cstheme="minorHAnsi"/>
        </w:rPr>
        <w:t xml:space="preserve">70% of LEED buildings are located in regional activity centers and 64% </w:t>
      </w:r>
      <w:r>
        <w:rPr>
          <w:rFonts w:cstheme="minorHAnsi"/>
        </w:rPr>
        <w:t>are</w:t>
      </w:r>
      <w:r w:rsidRPr="00E50E2B">
        <w:rPr>
          <w:rFonts w:cstheme="minorHAnsi"/>
        </w:rPr>
        <w:t xml:space="preserve"> within ½-mile of a Metro station</w:t>
      </w:r>
      <w:r>
        <w:rPr>
          <w:rFonts w:cstheme="minorHAnsi"/>
        </w:rPr>
        <w:t>.</w:t>
      </w:r>
    </w:p>
  </w:footnote>
  <w:footnote w:id="2">
    <w:p w:rsidR="00025B5A" w:rsidRDefault="00025B5A">
      <w:pPr>
        <w:pStyle w:val="FootnoteText"/>
      </w:pPr>
      <w:r>
        <w:rPr>
          <w:rStyle w:val="FootnoteReference"/>
        </w:rPr>
        <w:footnoteRef/>
      </w:r>
      <w:r>
        <w:t xml:space="preserve"> </w:t>
      </w:r>
      <w:hyperlink r:id="rId2" w:history="1">
        <w:r w:rsidRPr="00EA78D4">
          <w:rPr>
            <w:rStyle w:val="Hyperlink"/>
          </w:rPr>
          <w:t>www.energystar.gov/</w:t>
        </w:r>
      </w:hyperlink>
      <w:r>
        <w:t xml:space="preserve">: includes commercial and industrial ENERGY STAR buildings only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B5A" w:rsidRPr="00C44D21" w:rsidRDefault="00025B5A" w:rsidP="00C44D21">
    <w:pPr>
      <w:pStyle w:val="Header"/>
    </w:pPr>
    <w:r w:rsidRPr="00C17B90">
      <w:rPr>
        <w:i/>
      </w:rPr>
      <w:t xml:space="preserve">DRAFT </w:t>
    </w:r>
    <w:r>
      <w:tab/>
    </w:r>
    <w:r>
      <w:tab/>
    </w:r>
    <w:r w:rsidR="00556566">
      <w:t>September 4</w:t>
    </w:r>
    <w:r>
      <w:t>,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4047"/>
    <w:multiLevelType w:val="hybridMultilevel"/>
    <w:tmpl w:val="59E632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D55C2C"/>
    <w:multiLevelType w:val="hybridMultilevel"/>
    <w:tmpl w:val="826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507AF"/>
    <w:multiLevelType w:val="hybridMultilevel"/>
    <w:tmpl w:val="BECE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F7289"/>
    <w:multiLevelType w:val="hybridMultilevel"/>
    <w:tmpl w:val="E0C43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55B5D"/>
    <w:multiLevelType w:val="hybridMultilevel"/>
    <w:tmpl w:val="047EADE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ECD095E"/>
    <w:multiLevelType w:val="hybridMultilevel"/>
    <w:tmpl w:val="475A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10239"/>
    <w:multiLevelType w:val="hybridMultilevel"/>
    <w:tmpl w:val="0ED6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1707D"/>
    <w:multiLevelType w:val="hybridMultilevel"/>
    <w:tmpl w:val="8124E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672ED7"/>
    <w:multiLevelType w:val="hybridMultilevel"/>
    <w:tmpl w:val="5A8AF8F4"/>
    <w:lvl w:ilvl="0" w:tplc="9A60DE3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6E4E13"/>
    <w:multiLevelType w:val="hybridMultilevel"/>
    <w:tmpl w:val="DFA0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D784E"/>
    <w:multiLevelType w:val="hybridMultilevel"/>
    <w:tmpl w:val="2A124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5D2CFE"/>
    <w:multiLevelType w:val="hybridMultilevel"/>
    <w:tmpl w:val="9A96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612632"/>
    <w:multiLevelType w:val="hybridMultilevel"/>
    <w:tmpl w:val="0474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9A1866"/>
    <w:multiLevelType w:val="hybridMultilevel"/>
    <w:tmpl w:val="C96830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260601"/>
    <w:multiLevelType w:val="hybridMultilevel"/>
    <w:tmpl w:val="2456842C"/>
    <w:lvl w:ilvl="0" w:tplc="2F06512A">
      <w:start w:val="29"/>
      <w:numFmt w:val="bullet"/>
      <w:lvlText w:val="-"/>
      <w:lvlJc w:val="left"/>
      <w:pPr>
        <w:ind w:left="390" w:hanging="360"/>
      </w:pPr>
      <w:rPr>
        <w:rFonts w:ascii="Calibri" w:eastAsiaTheme="minorHAns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nsid w:val="3B277756"/>
    <w:multiLevelType w:val="hybridMultilevel"/>
    <w:tmpl w:val="B1EE779A"/>
    <w:lvl w:ilvl="0" w:tplc="F5EACA20">
      <w:numFmt w:val="bullet"/>
      <w:lvlText w:val="-"/>
      <w:lvlJc w:val="left"/>
      <w:pPr>
        <w:ind w:left="390" w:hanging="360"/>
      </w:pPr>
      <w:rPr>
        <w:rFonts w:ascii="Calibri" w:eastAsiaTheme="minorHAns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6">
    <w:nsid w:val="3DB75F5F"/>
    <w:multiLevelType w:val="hybridMultilevel"/>
    <w:tmpl w:val="2D882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DC730B"/>
    <w:multiLevelType w:val="hybridMultilevel"/>
    <w:tmpl w:val="3932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E2000"/>
    <w:multiLevelType w:val="hybridMultilevel"/>
    <w:tmpl w:val="B024E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990E42"/>
    <w:multiLevelType w:val="hybridMultilevel"/>
    <w:tmpl w:val="5F22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12466"/>
    <w:multiLevelType w:val="hybridMultilevel"/>
    <w:tmpl w:val="ED8E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612F65"/>
    <w:multiLevelType w:val="hybridMultilevel"/>
    <w:tmpl w:val="93440A7C"/>
    <w:lvl w:ilvl="0" w:tplc="B220E91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042877"/>
    <w:multiLevelType w:val="hybridMultilevel"/>
    <w:tmpl w:val="3E48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B04F6"/>
    <w:multiLevelType w:val="hybridMultilevel"/>
    <w:tmpl w:val="06BE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134ED8"/>
    <w:multiLevelType w:val="hybridMultilevel"/>
    <w:tmpl w:val="EB76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784DD2"/>
    <w:multiLevelType w:val="hybridMultilevel"/>
    <w:tmpl w:val="906AD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8B6A68"/>
    <w:multiLevelType w:val="hybridMultilevel"/>
    <w:tmpl w:val="3D148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9B77A9D"/>
    <w:multiLevelType w:val="hybridMultilevel"/>
    <w:tmpl w:val="7B60B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11A7C16"/>
    <w:multiLevelType w:val="hybridMultilevel"/>
    <w:tmpl w:val="608C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831B63"/>
    <w:multiLevelType w:val="hybridMultilevel"/>
    <w:tmpl w:val="A628F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2F67C7"/>
    <w:multiLevelType w:val="hybridMultilevel"/>
    <w:tmpl w:val="05E0BE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67101F50"/>
    <w:multiLevelType w:val="hybridMultilevel"/>
    <w:tmpl w:val="0C14D6E8"/>
    <w:lvl w:ilvl="0" w:tplc="F7762E0C">
      <w:numFmt w:val="bullet"/>
      <w:lvlText w:val="-"/>
      <w:lvlJc w:val="left"/>
      <w:pPr>
        <w:ind w:left="390" w:hanging="360"/>
      </w:pPr>
      <w:rPr>
        <w:rFonts w:ascii="Calibri" w:eastAsiaTheme="minorHAns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2">
    <w:nsid w:val="6B7C4E5D"/>
    <w:multiLevelType w:val="hybridMultilevel"/>
    <w:tmpl w:val="E4C0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B092B"/>
    <w:multiLevelType w:val="hybridMultilevel"/>
    <w:tmpl w:val="B77A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912CA9"/>
    <w:multiLevelType w:val="hybridMultilevel"/>
    <w:tmpl w:val="04463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3096D62"/>
    <w:multiLevelType w:val="hybridMultilevel"/>
    <w:tmpl w:val="30467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F841F5"/>
    <w:multiLevelType w:val="hybridMultilevel"/>
    <w:tmpl w:val="06EAAF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AFC7BA8"/>
    <w:multiLevelType w:val="hybridMultilevel"/>
    <w:tmpl w:val="6B949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1F20E7"/>
    <w:multiLevelType w:val="hybridMultilevel"/>
    <w:tmpl w:val="C722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D73DDB"/>
    <w:multiLevelType w:val="hybridMultilevel"/>
    <w:tmpl w:val="808A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8D61F5"/>
    <w:multiLevelType w:val="hybridMultilevel"/>
    <w:tmpl w:val="9EFCD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E3578BD"/>
    <w:multiLevelType w:val="hybridMultilevel"/>
    <w:tmpl w:val="84BA3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0"/>
  </w:num>
  <w:num w:numId="3">
    <w:abstractNumId w:val="21"/>
  </w:num>
  <w:num w:numId="4">
    <w:abstractNumId w:val="39"/>
  </w:num>
  <w:num w:numId="5">
    <w:abstractNumId w:val="16"/>
  </w:num>
  <w:num w:numId="6">
    <w:abstractNumId w:val="10"/>
  </w:num>
  <w:num w:numId="7">
    <w:abstractNumId w:val="34"/>
  </w:num>
  <w:num w:numId="8">
    <w:abstractNumId w:val="41"/>
  </w:num>
  <w:num w:numId="9">
    <w:abstractNumId w:val="36"/>
  </w:num>
  <w:num w:numId="10">
    <w:abstractNumId w:val="27"/>
  </w:num>
  <w:num w:numId="11">
    <w:abstractNumId w:val="0"/>
  </w:num>
  <w:num w:numId="12">
    <w:abstractNumId w:val="37"/>
  </w:num>
  <w:num w:numId="13">
    <w:abstractNumId w:val="25"/>
  </w:num>
  <w:num w:numId="14">
    <w:abstractNumId w:val="29"/>
  </w:num>
  <w:num w:numId="15">
    <w:abstractNumId w:val="35"/>
  </w:num>
  <w:num w:numId="16">
    <w:abstractNumId w:val="18"/>
  </w:num>
  <w:num w:numId="17">
    <w:abstractNumId w:val="13"/>
  </w:num>
  <w:num w:numId="18">
    <w:abstractNumId w:val="40"/>
  </w:num>
  <w:num w:numId="19">
    <w:abstractNumId w:val="19"/>
  </w:num>
  <w:num w:numId="20">
    <w:abstractNumId w:val="31"/>
  </w:num>
  <w:num w:numId="21">
    <w:abstractNumId w:val="15"/>
  </w:num>
  <w:num w:numId="22">
    <w:abstractNumId w:val="8"/>
  </w:num>
  <w:num w:numId="23">
    <w:abstractNumId w:val="14"/>
  </w:num>
  <w:num w:numId="24">
    <w:abstractNumId w:val="5"/>
  </w:num>
  <w:num w:numId="25">
    <w:abstractNumId w:val="1"/>
  </w:num>
  <w:num w:numId="26">
    <w:abstractNumId w:val="28"/>
  </w:num>
  <w:num w:numId="27">
    <w:abstractNumId w:val="2"/>
  </w:num>
  <w:num w:numId="28">
    <w:abstractNumId w:val="33"/>
  </w:num>
  <w:num w:numId="29">
    <w:abstractNumId w:val="20"/>
  </w:num>
  <w:num w:numId="30">
    <w:abstractNumId w:val="23"/>
  </w:num>
  <w:num w:numId="31">
    <w:abstractNumId w:val="7"/>
  </w:num>
  <w:num w:numId="32">
    <w:abstractNumId w:val="17"/>
  </w:num>
  <w:num w:numId="33">
    <w:abstractNumId w:val="24"/>
  </w:num>
  <w:num w:numId="34">
    <w:abstractNumId w:val="32"/>
  </w:num>
  <w:num w:numId="35">
    <w:abstractNumId w:val="38"/>
  </w:num>
  <w:num w:numId="36">
    <w:abstractNumId w:val="26"/>
  </w:num>
  <w:num w:numId="37">
    <w:abstractNumId w:val="9"/>
  </w:num>
  <w:num w:numId="38">
    <w:abstractNumId w:val="3"/>
  </w:num>
  <w:num w:numId="39">
    <w:abstractNumId w:val="11"/>
  </w:num>
  <w:num w:numId="40">
    <w:abstractNumId w:val="6"/>
  </w:num>
  <w:num w:numId="41">
    <w:abstractNumId w:val="12"/>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21">
      <o:colormenu v:ext="edit" fillcolor="none" strokecolor="none"/>
    </o:shapedefaults>
  </w:hdrShapeDefaults>
  <w:footnotePr>
    <w:footnote w:id="-1"/>
    <w:footnote w:id="0"/>
  </w:footnotePr>
  <w:endnotePr>
    <w:endnote w:id="-1"/>
    <w:endnote w:id="0"/>
  </w:endnotePr>
  <w:compat/>
  <w:rsids>
    <w:rsidRoot w:val="00B272D8"/>
    <w:rsid w:val="00001A9C"/>
    <w:rsid w:val="00001E65"/>
    <w:rsid w:val="000025A2"/>
    <w:rsid w:val="00004187"/>
    <w:rsid w:val="0000460D"/>
    <w:rsid w:val="000107BF"/>
    <w:rsid w:val="000108D3"/>
    <w:rsid w:val="0001148D"/>
    <w:rsid w:val="00012897"/>
    <w:rsid w:val="00015688"/>
    <w:rsid w:val="00015F1B"/>
    <w:rsid w:val="0002224A"/>
    <w:rsid w:val="00025648"/>
    <w:rsid w:val="00025B5A"/>
    <w:rsid w:val="00026505"/>
    <w:rsid w:val="00030C96"/>
    <w:rsid w:val="000346DB"/>
    <w:rsid w:val="00035E87"/>
    <w:rsid w:val="000412AF"/>
    <w:rsid w:val="000414A8"/>
    <w:rsid w:val="000433FB"/>
    <w:rsid w:val="00045097"/>
    <w:rsid w:val="000461C3"/>
    <w:rsid w:val="00046558"/>
    <w:rsid w:val="0004722B"/>
    <w:rsid w:val="00047CC4"/>
    <w:rsid w:val="000517E0"/>
    <w:rsid w:val="000532DF"/>
    <w:rsid w:val="00061078"/>
    <w:rsid w:val="00063B60"/>
    <w:rsid w:val="0006465C"/>
    <w:rsid w:val="00066D97"/>
    <w:rsid w:val="00077489"/>
    <w:rsid w:val="00080FE5"/>
    <w:rsid w:val="00081B69"/>
    <w:rsid w:val="000826A1"/>
    <w:rsid w:val="0008409B"/>
    <w:rsid w:val="00084599"/>
    <w:rsid w:val="00084DA8"/>
    <w:rsid w:val="00085A0E"/>
    <w:rsid w:val="00086D85"/>
    <w:rsid w:val="00090D34"/>
    <w:rsid w:val="00091349"/>
    <w:rsid w:val="00092CFC"/>
    <w:rsid w:val="00093C6A"/>
    <w:rsid w:val="00094C69"/>
    <w:rsid w:val="00096D9F"/>
    <w:rsid w:val="000A118A"/>
    <w:rsid w:val="000A2BB0"/>
    <w:rsid w:val="000A515A"/>
    <w:rsid w:val="000A531A"/>
    <w:rsid w:val="000A5B4D"/>
    <w:rsid w:val="000B6404"/>
    <w:rsid w:val="000B6B94"/>
    <w:rsid w:val="000C0724"/>
    <w:rsid w:val="000C268A"/>
    <w:rsid w:val="000C4914"/>
    <w:rsid w:val="000C4EDA"/>
    <w:rsid w:val="000C5BC2"/>
    <w:rsid w:val="000C6071"/>
    <w:rsid w:val="000C7694"/>
    <w:rsid w:val="000C7BF2"/>
    <w:rsid w:val="000D084B"/>
    <w:rsid w:val="000D0BE0"/>
    <w:rsid w:val="000D1D55"/>
    <w:rsid w:val="000D28AE"/>
    <w:rsid w:val="000D58EA"/>
    <w:rsid w:val="000E290C"/>
    <w:rsid w:val="000E2BB9"/>
    <w:rsid w:val="000E3130"/>
    <w:rsid w:val="000E5BAE"/>
    <w:rsid w:val="000E7CA3"/>
    <w:rsid w:val="000F18A0"/>
    <w:rsid w:val="000F282E"/>
    <w:rsid w:val="000F372F"/>
    <w:rsid w:val="000F4052"/>
    <w:rsid w:val="000F5B56"/>
    <w:rsid w:val="000F7D14"/>
    <w:rsid w:val="00100314"/>
    <w:rsid w:val="001025F6"/>
    <w:rsid w:val="00103498"/>
    <w:rsid w:val="001038BF"/>
    <w:rsid w:val="00104754"/>
    <w:rsid w:val="00105AB3"/>
    <w:rsid w:val="00106143"/>
    <w:rsid w:val="001078D1"/>
    <w:rsid w:val="0011545B"/>
    <w:rsid w:val="00115652"/>
    <w:rsid w:val="00120C6E"/>
    <w:rsid w:val="00123F8E"/>
    <w:rsid w:val="001262A5"/>
    <w:rsid w:val="00127BC9"/>
    <w:rsid w:val="001328FD"/>
    <w:rsid w:val="00133443"/>
    <w:rsid w:val="001355BA"/>
    <w:rsid w:val="001423E4"/>
    <w:rsid w:val="00142E0E"/>
    <w:rsid w:val="0014320C"/>
    <w:rsid w:val="001505E2"/>
    <w:rsid w:val="00150BAC"/>
    <w:rsid w:val="00151FBC"/>
    <w:rsid w:val="0015399E"/>
    <w:rsid w:val="0015737A"/>
    <w:rsid w:val="0016003A"/>
    <w:rsid w:val="00160216"/>
    <w:rsid w:val="00161EF2"/>
    <w:rsid w:val="00163EB2"/>
    <w:rsid w:val="00166ACB"/>
    <w:rsid w:val="00170E93"/>
    <w:rsid w:val="00174872"/>
    <w:rsid w:val="00174C15"/>
    <w:rsid w:val="0017690D"/>
    <w:rsid w:val="00184647"/>
    <w:rsid w:val="001864E5"/>
    <w:rsid w:val="00187C47"/>
    <w:rsid w:val="00190339"/>
    <w:rsid w:val="001904ED"/>
    <w:rsid w:val="00192CE1"/>
    <w:rsid w:val="00195D29"/>
    <w:rsid w:val="001A291E"/>
    <w:rsid w:val="001A59B0"/>
    <w:rsid w:val="001B0416"/>
    <w:rsid w:val="001B1BA1"/>
    <w:rsid w:val="001B2E15"/>
    <w:rsid w:val="001B4C54"/>
    <w:rsid w:val="001B6134"/>
    <w:rsid w:val="001C1EA5"/>
    <w:rsid w:val="001C2994"/>
    <w:rsid w:val="001C2ECD"/>
    <w:rsid w:val="001C32B3"/>
    <w:rsid w:val="001C483E"/>
    <w:rsid w:val="001D2C89"/>
    <w:rsid w:val="001D3082"/>
    <w:rsid w:val="001D432A"/>
    <w:rsid w:val="001D446D"/>
    <w:rsid w:val="001D6E57"/>
    <w:rsid w:val="001D730E"/>
    <w:rsid w:val="001E416F"/>
    <w:rsid w:val="001E520F"/>
    <w:rsid w:val="001F0873"/>
    <w:rsid w:val="001F098C"/>
    <w:rsid w:val="001F12B0"/>
    <w:rsid w:val="001F2D56"/>
    <w:rsid w:val="00203E53"/>
    <w:rsid w:val="00205A68"/>
    <w:rsid w:val="002065E2"/>
    <w:rsid w:val="00207B8C"/>
    <w:rsid w:val="00212537"/>
    <w:rsid w:val="002145F8"/>
    <w:rsid w:val="00214B5F"/>
    <w:rsid w:val="002152B2"/>
    <w:rsid w:val="00216BE7"/>
    <w:rsid w:val="00224606"/>
    <w:rsid w:val="0022737F"/>
    <w:rsid w:val="002312C0"/>
    <w:rsid w:val="00237BFA"/>
    <w:rsid w:val="00237C45"/>
    <w:rsid w:val="00243523"/>
    <w:rsid w:val="0024625C"/>
    <w:rsid w:val="00247D7D"/>
    <w:rsid w:val="00250AC4"/>
    <w:rsid w:val="00253F1A"/>
    <w:rsid w:val="00256EC8"/>
    <w:rsid w:val="00257650"/>
    <w:rsid w:val="0026006C"/>
    <w:rsid w:val="002619E9"/>
    <w:rsid w:val="002625CD"/>
    <w:rsid w:val="00264034"/>
    <w:rsid w:val="00266254"/>
    <w:rsid w:val="00270E98"/>
    <w:rsid w:val="002746F5"/>
    <w:rsid w:val="00275E16"/>
    <w:rsid w:val="00276F68"/>
    <w:rsid w:val="00277B51"/>
    <w:rsid w:val="0028177F"/>
    <w:rsid w:val="00284A43"/>
    <w:rsid w:val="00290BE3"/>
    <w:rsid w:val="002910BE"/>
    <w:rsid w:val="00291CCB"/>
    <w:rsid w:val="0029206A"/>
    <w:rsid w:val="00293CDA"/>
    <w:rsid w:val="0029474C"/>
    <w:rsid w:val="0029736C"/>
    <w:rsid w:val="002A0A90"/>
    <w:rsid w:val="002A7B96"/>
    <w:rsid w:val="002B0F44"/>
    <w:rsid w:val="002B1663"/>
    <w:rsid w:val="002B2AEF"/>
    <w:rsid w:val="002B6A01"/>
    <w:rsid w:val="002B6D96"/>
    <w:rsid w:val="002B754B"/>
    <w:rsid w:val="002C5A4F"/>
    <w:rsid w:val="002D0610"/>
    <w:rsid w:val="002D50D3"/>
    <w:rsid w:val="002D6E0A"/>
    <w:rsid w:val="002E0BD3"/>
    <w:rsid w:val="002E42EB"/>
    <w:rsid w:val="002E4786"/>
    <w:rsid w:val="002E5AAF"/>
    <w:rsid w:val="002E5F9C"/>
    <w:rsid w:val="002F0FBA"/>
    <w:rsid w:val="002F172C"/>
    <w:rsid w:val="002F2970"/>
    <w:rsid w:val="002F326A"/>
    <w:rsid w:val="002F3376"/>
    <w:rsid w:val="002F43F1"/>
    <w:rsid w:val="002F451E"/>
    <w:rsid w:val="00300641"/>
    <w:rsid w:val="00300BA4"/>
    <w:rsid w:val="00301862"/>
    <w:rsid w:val="0030703D"/>
    <w:rsid w:val="00307110"/>
    <w:rsid w:val="00311912"/>
    <w:rsid w:val="00311F1D"/>
    <w:rsid w:val="003130B4"/>
    <w:rsid w:val="003155FE"/>
    <w:rsid w:val="00316B16"/>
    <w:rsid w:val="00322160"/>
    <w:rsid w:val="0032597F"/>
    <w:rsid w:val="003304BC"/>
    <w:rsid w:val="0033132A"/>
    <w:rsid w:val="00332E24"/>
    <w:rsid w:val="00332EEE"/>
    <w:rsid w:val="00335CD2"/>
    <w:rsid w:val="00336A7F"/>
    <w:rsid w:val="00337AEB"/>
    <w:rsid w:val="00340403"/>
    <w:rsid w:val="0034136D"/>
    <w:rsid w:val="00341654"/>
    <w:rsid w:val="00341919"/>
    <w:rsid w:val="00344277"/>
    <w:rsid w:val="00345AF9"/>
    <w:rsid w:val="00346281"/>
    <w:rsid w:val="0035095C"/>
    <w:rsid w:val="00352490"/>
    <w:rsid w:val="00353F92"/>
    <w:rsid w:val="00356681"/>
    <w:rsid w:val="003609B4"/>
    <w:rsid w:val="003621CA"/>
    <w:rsid w:val="00362A23"/>
    <w:rsid w:val="00364CDF"/>
    <w:rsid w:val="00365BA8"/>
    <w:rsid w:val="0037019C"/>
    <w:rsid w:val="003725AB"/>
    <w:rsid w:val="00373973"/>
    <w:rsid w:val="00380A2F"/>
    <w:rsid w:val="00380B9F"/>
    <w:rsid w:val="00385120"/>
    <w:rsid w:val="0038592B"/>
    <w:rsid w:val="00390F95"/>
    <w:rsid w:val="003922D8"/>
    <w:rsid w:val="00392C5C"/>
    <w:rsid w:val="00392EB2"/>
    <w:rsid w:val="0039604C"/>
    <w:rsid w:val="00397DB0"/>
    <w:rsid w:val="00397E7F"/>
    <w:rsid w:val="003A3F3B"/>
    <w:rsid w:val="003A4D2D"/>
    <w:rsid w:val="003A56CF"/>
    <w:rsid w:val="003A5BFB"/>
    <w:rsid w:val="003A5F73"/>
    <w:rsid w:val="003B050C"/>
    <w:rsid w:val="003B0BB3"/>
    <w:rsid w:val="003B27B0"/>
    <w:rsid w:val="003B5097"/>
    <w:rsid w:val="003B5FD1"/>
    <w:rsid w:val="003B6505"/>
    <w:rsid w:val="003B6CFE"/>
    <w:rsid w:val="003C0C36"/>
    <w:rsid w:val="003C1815"/>
    <w:rsid w:val="003C1AC6"/>
    <w:rsid w:val="003C1B00"/>
    <w:rsid w:val="003C2537"/>
    <w:rsid w:val="003C4391"/>
    <w:rsid w:val="003C51DF"/>
    <w:rsid w:val="003C5740"/>
    <w:rsid w:val="003C6F97"/>
    <w:rsid w:val="003D015F"/>
    <w:rsid w:val="003D115A"/>
    <w:rsid w:val="003D364A"/>
    <w:rsid w:val="003D4CF0"/>
    <w:rsid w:val="003D4FB5"/>
    <w:rsid w:val="003D51E6"/>
    <w:rsid w:val="003D7012"/>
    <w:rsid w:val="003D7C73"/>
    <w:rsid w:val="003E1881"/>
    <w:rsid w:val="003E1FAA"/>
    <w:rsid w:val="003E2975"/>
    <w:rsid w:val="003E3C84"/>
    <w:rsid w:val="003E3D5C"/>
    <w:rsid w:val="003E5B92"/>
    <w:rsid w:val="003E5E45"/>
    <w:rsid w:val="003E6F8E"/>
    <w:rsid w:val="003F02E7"/>
    <w:rsid w:val="003F1836"/>
    <w:rsid w:val="003F2719"/>
    <w:rsid w:val="003F2B59"/>
    <w:rsid w:val="003F50DE"/>
    <w:rsid w:val="003F6C0A"/>
    <w:rsid w:val="003F7951"/>
    <w:rsid w:val="00400BAB"/>
    <w:rsid w:val="00401ACF"/>
    <w:rsid w:val="004044B6"/>
    <w:rsid w:val="00405AE1"/>
    <w:rsid w:val="00411320"/>
    <w:rsid w:val="004121FC"/>
    <w:rsid w:val="00412FB7"/>
    <w:rsid w:val="004236F8"/>
    <w:rsid w:val="00425C5A"/>
    <w:rsid w:val="00426C73"/>
    <w:rsid w:val="00430179"/>
    <w:rsid w:val="00436A4F"/>
    <w:rsid w:val="004400EE"/>
    <w:rsid w:val="0044214C"/>
    <w:rsid w:val="00445ABC"/>
    <w:rsid w:val="00451AAE"/>
    <w:rsid w:val="0045294B"/>
    <w:rsid w:val="00452EF8"/>
    <w:rsid w:val="0045364A"/>
    <w:rsid w:val="00454798"/>
    <w:rsid w:val="00455F8A"/>
    <w:rsid w:val="00456221"/>
    <w:rsid w:val="004613DF"/>
    <w:rsid w:val="00465237"/>
    <w:rsid w:val="00466142"/>
    <w:rsid w:val="00467CFF"/>
    <w:rsid w:val="0047007E"/>
    <w:rsid w:val="0047028C"/>
    <w:rsid w:val="00470C80"/>
    <w:rsid w:val="00472628"/>
    <w:rsid w:val="00472745"/>
    <w:rsid w:val="00472EAD"/>
    <w:rsid w:val="00473D9F"/>
    <w:rsid w:val="00480D16"/>
    <w:rsid w:val="00481C72"/>
    <w:rsid w:val="004821E5"/>
    <w:rsid w:val="0048295C"/>
    <w:rsid w:val="00490B8F"/>
    <w:rsid w:val="00490C88"/>
    <w:rsid w:val="004914FD"/>
    <w:rsid w:val="0049199F"/>
    <w:rsid w:val="00491E69"/>
    <w:rsid w:val="00493D92"/>
    <w:rsid w:val="00495D20"/>
    <w:rsid w:val="00497512"/>
    <w:rsid w:val="004A0991"/>
    <w:rsid w:val="004A1DB3"/>
    <w:rsid w:val="004A64C0"/>
    <w:rsid w:val="004B11B9"/>
    <w:rsid w:val="004B1674"/>
    <w:rsid w:val="004B25AC"/>
    <w:rsid w:val="004B3521"/>
    <w:rsid w:val="004B5CCB"/>
    <w:rsid w:val="004C00B2"/>
    <w:rsid w:val="004C5754"/>
    <w:rsid w:val="004D1648"/>
    <w:rsid w:val="004D3DA1"/>
    <w:rsid w:val="004D4C86"/>
    <w:rsid w:val="004D51FF"/>
    <w:rsid w:val="004E1DC1"/>
    <w:rsid w:val="004E2EE8"/>
    <w:rsid w:val="004E457C"/>
    <w:rsid w:val="004E469B"/>
    <w:rsid w:val="004E4F35"/>
    <w:rsid w:val="004E5334"/>
    <w:rsid w:val="004E6210"/>
    <w:rsid w:val="004F31F9"/>
    <w:rsid w:val="004F405A"/>
    <w:rsid w:val="004F78EF"/>
    <w:rsid w:val="00501055"/>
    <w:rsid w:val="0050180B"/>
    <w:rsid w:val="00502A46"/>
    <w:rsid w:val="005031B4"/>
    <w:rsid w:val="00504F83"/>
    <w:rsid w:val="005068E4"/>
    <w:rsid w:val="00512A1F"/>
    <w:rsid w:val="00520DF9"/>
    <w:rsid w:val="00522CA9"/>
    <w:rsid w:val="00522E9A"/>
    <w:rsid w:val="00523408"/>
    <w:rsid w:val="005234CF"/>
    <w:rsid w:val="005237F9"/>
    <w:rsid w:val="00530666"/>
    <w:rsid w:val="00530703"/>
    <w:rsid w:val="005360F4"/>
    <w:rsid w:val="00536655"/>
    <w:rsid w:val="00543952"/>
    <w:rsid w:val="0054584A"/>
    <w:rsid w:val="00551B50"/>
    <w:rsid w:val="005524B8"/>
    <w:rsid w:val="00552D1A"/>
    <w:rsid w:val="005556FD"/>
    <w:rsid w:val="00556566"/>
    <w:rsid w:val="00563049"/>
    <w:rsid w:val="00565469"/>
    <w:rsid w:val="005702F8"/>
    <w:rsid w:val="0057143A"/>
    <w:rsid w:val="005719D1"/>
    <w:rsid w:val="005720B1"/>
    <w:rsid w:val="0057234C"/>
    <w:rsid w:val="00572A2B"/>
    <w:rsid w:val="00574EE0"/>
    <w:rsid w:val="0057561C"/>
    <w:rsid w:val="00575C4A"/>
    <w:rsid w:val="00576EB9"/>
    <w:rsid w:val="00577444"/>
    <w:rsid w:val="00580EA3"/>
    <w:rsid w:val="005832CF"/>
    <w:rsid w:val="005850A2"/>
    <w:rsid w:val="005859D7"/>
    <w:rsid w:val="00594F00"/>
    <w:rsid w:val="00596187"/>
    <w:rsid w:val="005964D2"/>
    <w:rsid w:val="0059680E"/>
    <w:rsid w:val="005A1613"/>
    <w:rsid w:val="005A2ECF"/>
    <w:rsid w:val="005A3A79"/>
    <w:rsid w:val="005A3D5B"/>
    <w:rsid w:val="005A7DD2"/>
    <w:rsid w:val="005B01FA"/>
    <w:rsid w:val="005B68AE"/>
    <w:rsid w:val="005B6B8E"/>
    <w:rsid w:val="005C0220"/>
    <w:rsid w:val="005C0D47"/>
    <w:rsid w:val="005C5F35"/>
    <w:rsid w:val="005D3CC7"/>
    <w:rsid w:val="005D521E"/>
    <w:rsid w:val="005D5EB2"/>
    <w:rsid w:val="005D6FEB"/>
    <w:rsid w:val="005E0B96"/>
    <w:rsid w:val="005E245C"/>
    <w:rsid w:val="005E4970"/>
    <w:rsid w:val="005E615E"/>
    <w:rsid w:val="005F3259"/>
    <w:rsid w:val="005F6B8D"/>
    <w:rsid w:val="00600080"/>
    <w:rsid w:val="00600F24"/>
    <w:rsid w:val="00605A6B"/>
    <w:rsid w:val="006117AC"/>
    <w:rsid w:val="006174C7"/>
    <w:rsid w:val="006176ED"/>
    <w:rsid w:val="00622035"/>
    <w:rsid w:val="00623485"/>
    <w:rsid w:val="006239B9"/>
    <w:rsid w:val="0062497A"/>
    <w:rsid w:val="0062598D"/>
    <w:rsid w:val="00627D8B"/>
    <w:rsid w:val="00630AFB"/>
    <w:rsid w:val="00630CEA"/>
    <w:rsid w:val="00631574"/>
    <w:rsid w:val="0063531F"/>
    <w:rsid w:val="00636775"/>
    <w:rsid w:val="00636BBC"/>
    <w:rsid w:val="00636E1C"/>
    <w:rsid w:val="006407D2"/>
    <w:rsid w:val="00642526"/>
    <w:rsid w:val="00646104"/>
    <w:rsid w:val="0064756C"/>
    <w:rsid w:val="00654032"/>
    <w:rsid w:val="00661FB2"/>
    <w:rsid w:val="00663129"/>
    <w:rsid w:val="00665C96"/>
    <w:rsid w:val="0067039E"/>
    <w:rsid w:val="006703BC"/>
    <w:rsid w:val="00672459"/>
    <w:rsid w:val="00674B4C"/>
    <w:rsid w:val="0067622E"/>
    <w:rsid w:val="00677890"/>
    <w:rsid w:val="00680C3F"/>
    <w:rsid w:val="00686897"/>
    <w:rsid w:val="00687917"/>
    <w:rsid w:val="00687A3E"/>
    <w:rsid w:val="00687C6B"/>
    <w:rsid w:val="00690A27"/>
    <w:rsid w:val="00691049"/>
    <w:rsid w:val="0069142E"/>
    <w:rsid w:val="00691850"/>
    <w:rsid w:val="00692B4A"/>
    <w:rsid w:val="006936A2"/>
    <w:rsid w:val="00694A49"/>
    <w:rsid w:val="00694FE6"/>
    <w:rsid w:val="00695A19"/>
    <w:rsid w:val="00696B1E"/>
    <w:rsid w:val="006A1B6D"/>
    <w:rsid w:val="006A3A7C"/>
    <w:rsid w:val="006B2212"/>
    <w:rsid w:val="006B5395"/>
    <w:rsid w:val="006B5686"/>
    <w:rsid w:val="006B775A"/>
    <w:rsid w:val="006C0081"/>
    <w:rsid w:val="006C2151"/>
    <w:rsid w:val="006C24EA"/>
    <w:rsid w:val="006C2719"/>
    <w:rsid w:val="006D0530"/>
    <w:rsid w:val="006D0A10"/>
    <w:rsid w:val="006D0EAD"/>
    <w:rsid w:val="006D488E"/>
    <w:rsid w:val="006D4DDF"/>
    <w:rsid w:val="006D6E87"/>
    <w:rsid w:val="006D76A9"/>
    <w:rsid w:val="006E0D42"/>
    <w:rsid w:val="006E0F3E"/>
    <w:rsid w:val="006E239C"/>
    <w:rsid w:val="006E2457"/>
    <w:rsid w:val="006E2CA3"/>
    <w:rsid w:val="006E2ED9"/>
    <w:rsid w:val="006E44DC"/>
    <w:rsid w:val="006E473D"/>
    <w:rsid w:val="006E564A"/>
    <w:rsid w:val="006E5934"/>
    <w:rsid w:val="006E5996"/>
    <w:rsid w:val="006F679C"/>
    <w:rsid w:val="006F70F1"/>
    <w:rsid w:val="006F7792"/>
    <w:rsid w:val="006F7EAE"/>
    <w:rsid w:val="0070282C"/>
    <w:rsid w:val="00705BE1"/>
    <w:rsid w:val="00706348"/>
    <w:rsid w:val="00710FAA"/>
    <w:rsid w:val="00711B7C"/>
    <w:rsid w:val="00711C3D"/>
    <w:rsid w:val="00712253"/>
    <w:rsid w:val="007123FF"/>
    <w:rsid w:val="00714DE9"/>
    <w:rsid w:val="00722BF6"/>
    <w:rsid w:val="00723C69"/>
    <w:rsid w:val="0072422C"/>
    <w:rsid w:val="00725D93"/>
    <w:rsid w:val="00725F3C"/>
    <w:rsid w:val="0073086F"/>
    <w:rsid w:val="00731C8D"/>
    <w:rsid w:val="007327A1"/>
    <w:rsid w:val="00734438"/>
    <w:rsid w:val="007357F8"/>
    <w:rsid w:val="00736093"/>
    <w:rsid w:val="00740CBE"/>
    <w:rsid w:val="00742946"/>
    <w:rsid w:val="00747BBD"/>
    <w:rsid w:val="0075348F"/>
    <w:rsid w:val="0075397E"/>
    <w:rsid w:val="0075671B"/>
    <w:rsid w:val="00756EC2"/>
    <w:rsid w:val="00763CCB"/>
    <w:rsid w:val="007657D3"/>
    <w:rsid w:val="007705AA"/>
    <w:rsid w:val="00771DB4"/>
    <w:rsid w:val="007754A7"/>
    <w:rsid w:val="00777791"/>
    <w:rsid w:val="00782D3F"/>
    <w:rsid w:val="00783D9A"/>
    <w:rsid w:val="0078694A"/>
    <w:rsid w:val="00795732"/>
    <w:rsid w:val="007A1A22"/>
    <w:rsid w:val="007A1AE0"/>
    <w:rsid w:val="007A1C4A"/>
    <w:rsid w:val="007A5564"/>
    <w:rsid w:val="007B3237"/>
    <w:rsid w:val="007B36D2"/>
    <w:rsid w:val="007B43AC"/>
    <w:rsid w:val="007B6BC1"/>
    <w:rsid w:val="007B6F32"/>
    <w:rsid w:val="007C07B5"/>
    <w:rsid w:val="007D0527"/>
    <w:rsid w:val="007D2852"/>
    <w:rsid w:val="007D7D5F"/>
    <w:rsid w:val="007E1C58"/>
    <w:rsid w:val="007E3507"/>
    <w:rsid w:val="007F3F55"/>
    <w:rsid w:val="007F3F9B"/>
    <w:rsid w:val="007F4325"/>
    <w:rsid w:val="007F515D"/>
    <w:rsid w:val="007F713C"/>
    <w:rsid w:val="00801137"/>
    <w:rsid w:val="008035ED"/>
    <w:rsid w:val="008106E0"/>
    <w:rsid w:val="008128C8"/>
    <w:rsid w:val="0081558A"/>
    <w:rsid w:val="0081796A"/>
    <w:rsid w:val="00822297"/>
    <w:rsid w:val="0082304A"/>
    <w:rsid w:val="00823FCF"/>
    <w:rsid w:val="008241F6"/>
    <w:rsid w:val="00826C97"/>
    <w:rsid w:val="008276C9"/>
    <w:rsid w:val="00830A75"/>
    <w:rsid w:val="00832411"/>
    <w:rsid w:val="00850E66"/>
    <w:rsid w:val="00861BCB"/>
    <w:rsid w:val="008709D1"/>
    <w:rsid w:val="00873B54"/>
    <w:rsid w:val="00875CDC"/>
    <w:rsid w:val="0087620B"/>
    <w:rsid w:val="00877946"/>
    <w:rsid w:val="0088230D"/>
    <w:rsid w:val="0088333F"/>
    <w:rsid w:val="00885559"/>
    <w:rsid w:val="008859E1"/>
    <w:rsid w:val="00886C1E"/>
    <w:rsid w:val="00895E8A"/>
    <w:rsid w:val="00896054"/>
    <w:rsid w:val="00897E7D"/>
    <w:rsid w:val="008A1D99"/>
    <w:rsid w:val="008A4FAA"/>
    <w:rsid w:val="008A786E"/>
    <w:rsid w:val="008B0CC1"/>
    <w:rsid w:val="008B238F"/>
    <w:rsid w:val="008B2A37"/>
    <w:rsid w:val="008B6D72"/>
    <w:rsid w:val="008B70A2"/>
    <w:rsid w:val="008C411F"/>
    <w:rsid w:val="008C421D"/>
    <w:rsid w:val="008C46AA"/>
    <w:rsid w:val="008C6988"/>
    <w:rsid w:val="008D46DE"/>
    <w:rsid w:val="008D5404"/>
    <w:rsid w:val="008D77FD"/>
    <w:rsid w:val="008E04AB"/>
    <w:rsid w:val="008E3339"/>
    <w:rsid w:val="008E484B"/>
    <w:rsid w:val="008E58F6"/>
    <w:rsid w:val="008E614C"/>
    <w:rsid w:val="008F039E"/>
    <w:rsid w:val="008F0865"/>
    <w:rsid w:val="008F0AED"/>
    <w:rsid w:val="008F1673"/>
    <w:rsid w:val="008F3DB4"/>
    <w:rsid w:val="00903076"/>
    <w:rsid w:val="0090385A"/>
    <w:rsid w:val="009059D0"/>
    <w:rsid w:val="00910D2A"/>
    <w:rsid w:val="009136D6"/>
    <w:rsid w:val="00913BC9"/>
    <w:rsid w:val="00916316"/>
    <w:rsid w:val="00917A0A"/>
    <w:rsid w:val="00921890"/>
    <w:rsid w:val="00925489"/>
    <w:rsid w:val="00926ACE"/>
    <w:rsid w:val="009278B9"/>
    <w:rsid w:val="0093077E"/>
    <w:rsid w:val="0093398B"/>
    <w:rsid w:val="0093532D"/>
    <w:rsid w:val="00935D13"/>
    <w:rsid w:val="0094067E"/>
    <w:rsid w:val="00943BFB"/>
    <w:rsid w:val="00944C35"/>
    <w:rsid w:val="00950B33"/>
    <w:rsid w:val="00951373"/>
    <w:rsid w:val="00953B99"/>
    <w:rsid w:val="0095492D"/>
    <w:rsid w:val="00955DFE"/>
    <w:rsid w:val="00957249"/>
    <w:rsid w:val="009579EF"/>
    <w:rsid w:val="009602E6"/>
    <w:rsid w:val="00961B63"/>
    <w:rsid w:val="00967F40"/>
    <w:rsid w:val="00973F27"/>
    <w:rsid w:val="00975C12"/>
    <w:rsid w:val="00977141"/>
    <w:rsid w:val="009810DE"/>
    <w:rsid w:val="009848DD"/>
    <w:rsid w:val="00987121"/>
    <w:rsid w:val="00990EA2"/>
    <w:rsid w:val="009928A2"/>
    <w:rsid w:val="009942EA"/>
    <w:rsid w:val="009943BF"/>
    <w:rsid w:val="00996F59"/>
    <w:rsid w:val="00997FC7"/>
    <w:rsid w:val="009A6382"/>
    <w:rsid w:val="009B6B6F"/>
    <w:rsid w:val="009C19B8"/>
    <w:rsid w:val="009C5D0E"/>
    <w:rsid w:val="009C66CB"/>
    <w:rsid w:val="009D0871"/>
    <w:rsid w:val="009D0E8C"/>
    <w:rsid w:val="009D1C4D"/>
    <w:rsid w:val="009D3DA1"/>
    <w:rsid w:val="009D429D"/>
    <w:rsid w:val="009D49C5"/>
    <w:rsid w:val="009E20E0"/>
    <w:rsid w:val="009E2CE2"/>
    <w:rsid w:val="009E71E3"/>
    <w:rsid w:val="009F03B7"/>
    <w:rsid w:val="009F6AF5"/>
    <w:rsid w:val="009F7B6C"/>
    <w:rsid w:val="00A00096"/>
    <w:rsid w:val="00A0043F"/>
    <w:rsid w:val="00A013B6"/>
    <w:rsid w:val="00A03A03"/>
    <w:rsid w:val="00A03F1E"/>
    <w:rsid w:val="00A0478F"/>
    <w:rsid w:val="00A05004"/>
    <w:rsid w:val="00A100EA"/>
    <w:rsid w:val="00A121A8"/>
    <w:rsid w:val="00A138F8"/>
    <w:rsid w:val="00A15424"/>
    <w:rsid w:val="00A15DCB"/>
    <w:rsid w:val="00A20E23"/>
    <w:rsid w:val="00A21BB0"/>
    <w:rsid w:val="00A2464C"/>
    <w:rsid w:val="00A2597A"/>
    <w:rsid w:val="00A27A10"/>
    <w:rsid w:val="00A3084C"/>
    <w:rsid w:val="00A30D01"/>
    <w:rsid w:val="00A31A4E"/>
    <w:rsid w:val="00A32A73"/>
    <w:rsid w:val="00A34CA4"/>
    <w:rsid w:val="00A37660"/>
    <w:rsid w:val="00A376D3"/>
    <w:rsid w:val="00A40592"/>
    <w:rsid w:val="00A410E9"/>
    <w:rsid w:val="00A456EC"/>
    <w:rsid w:val="00A46EDE"/>
    <w:rsid w:val="00A60C25"/>
    <w:rsid w:val="00A610B1"/>
    <w:rsid w:val="00A6504C"/>
    <w:rsid w:val="00A675FD"/>
    <w:rsid w:val="00A70049"/>
    <w:rsid w:val="00A70FF3"/>
    <w:rsid w:val="00A710E4"/>
    <w:rsid w:val="00A7292E"/>
    <w:rsid w:val="00A731DE"/>
    <w:rsid w:val="00A748E9"/>
    <w:rsid w:val="00A7771C"/>
    <w:rsid w:val="00A77D12"/>
    <w:rsid w:val="00A804E3"/>
    <w:rsid w:val="00A808CF"/>
    <w:rsid w:val="00A81516"/>
    <w:rsid w:val="00A8177F"/>
    <w:rsid w:val="00A833FB"/>
    <w:rsid w:val="00A84654"/>
    <w:rsid w:val="00A86098"/>
    <w:rsid w:val="00A868D3"/>
    <w:rsid w:val="00A90205"/>
    <w:rsid w:val="00A9118E"/>
    <w:rsid w:val="00A92C99"/>
    <w:rsid w:val="00A93A40"/>
    <w:rsid w:val="00A94C59"/>
    <w:rsid w:val="00A95A44"/>
    <w:rsid w:val="00A96AB4"/>
    <w:rsid w:val="00A96C8E"/>
    <w:rsid w:val="00A97879"/>
    <w:rsid w:val="00AA121A"/>
    <w:rsid w:val="00AA4DA1"/>
    <w:rsid w:val="00AB15B8"/>
    <w:rsid w:val="00AB2C95"/>
    <w:rsid w:val="00AB603C"/>
    <w:rsid w:val="00AB643B"/>
    <w:rsid w:val="00AB6990"/>
    <w:rsid w:val="00AB7B00"/>
    <w:rsid w:val="00AC3180"/>
    <w:rsid w:val="00AC5981"/>
    <w:rsid w:val="00AD0286"/>
    <w:rsid w:val="00AD0B64"/>
    <w:rsid w:val="00AD331A"/>
    <w:rsid w:val="00AD3B11"/>
    <w:rsid w:val="00AD41AC"/>
    <w:rsid w:val="00AD4FE2"/>
    <w:rsid w:val="00AD52C2"/>
    <w:rsid w:val="00AD7ECC"/>
    <w:rsid w:val="00AE5FFB"/>
    <w:rsid w:val="00AE68E1"/>
    <w:rsid w:val="00AF2C9D"/>
    <w:rsid w:val="00AF3C0D"/>
    <w:rsid w:val="00AF45E3"/>
    <w:rsid w:val="00AF4DA3"/>
    <w:rsid w:val="00B01928"/>
    <w:rsid w:val="00B03113"/>
    <w:rsid w:val="00B0446A"/>
    <w:rsid w:val="00B050CC"/>
    <w:rsid w:val="00B13613"/>
    <w:rsid w:val="00B272D8"/>
    <w:rsid w:val="00B308E4"/>
    <w:rsid w:val="00B36B3B"/>
    <w:rsid w:val="00B4389C"/>
    <w:rsid w:val="00B43973"/>
    <w:rsid w:val="00B43DC0"/>
    <w:rsid w:val="00B45334"/>
    <w:rsid w:val="00B54F53"/>
    <w:rsid w:val="00B5531C"/>
    <w:rsid w:val="00B55ADF"/>
    <w:rsid w:val="00B5663C"/>
    <w:rsid w:val="00B57ADB"/>
    <w:rsid w:val="00B603BF"/>
    <w:rsid w:val="00B61968"/>
    <w:rsid w:val="00B61CA2"/>
    <w:rsid w:val="00B6270C"/>
    <w:rsid w:val="00B65916"/>
    <w:rsid w:val="00B66C5C"/>
    <w:rsid w:val="00B66DDA"/>
    <w:rsid w:val="00B74242"/>
    <w:rsid w:val="00B74E93"/>
    <w:rsid w:val="00B7563C"/>
    <w:rsid w:val="00B75ACA"/>
    <w:rsid w:val="00B77EAA"/>
    <w:rsid w:val="00B815C4"/>
    <w:rsid w:val="00B832D3"/>
    <w:rsid w:val="00B84C14"/>
    <w:rsid w:val="00B86A5A"/>
    <w:rsid w:val="00B87178"/>
    <w:rsid w:val="00B91CAA"/>
    <w:rsid w:val="00B95A14"/>
    <w:rsid w:val="00B97D06"/>
    <w:rsid w:val="00BA265C"/>
    <w:rsid w:val="00BA3C2B"/>
    <w:rsid w:val="00BA4C40"/>
    <w:rsid w:val="00BB037F"/>
    <w:rsid w:val="00BB03BB"/>
    <w:rsid w:val="00BB0B94"/>
    <w:rsid w:val="00BB1951"/>
    <w:rsid w:val="00BB2F72"/>
    <w:rsid w:val="00BB5F5A"/>
    <w:rsid w:val="00BB76E0"/>
    <w:rsid w:val="00BC08EB"/>
    <w:rsid w:val="00BC35C2"/>
    <w:rsid w:val="00BC39E5"/>
    <w:rsid w:val="00BD05EF"/>
    <w:rsid w:val="00BD079C"/>
    <w:rsid w:val="00BD6908"/>
    <w:rsid w:val="00BE2A57"/>
    <w:rsid w:val="00BE3148"/>
    <w:rsid w:val="00BE3EB0"/>
    <w:rsid w:val="00BF2205"/>
    <w:rsid w:val="00BF3301"/>
    <w:rsid w:val="00BF4948"/>
    <w:rsid w:val="00BF684D"/>
    <w:rsid w:val="00BF689E"/>
    <w:rsid w:val="00BF7B32"/>
    <w:rsid w:val="00C00438"/>
    <w:rsid w:val="00C00A06"/>
    <w:rsid w:val="00C0285C"/>
    <w:rsid w:val="00C03D0B"/>
    <w:rsid w:val="00C04294"/>
    <w:rsid w:val="00C0496B"/>
    <w:rsid w:val="00C140B1"/>
    <w:rsid w:val="00C16FE9"/>
    <w:rsid w:val="00C170C8"/>
    <w:rsid w:val="00C172DB"/>
    <w:rsid w:val="00C17B90"/>
    <w:rsid w:val="00C23C04"/>
    <w:rsid w:val="00C33C65"/>
    <w:rsid w:val="00C3519E"/>
    <w:rsid w:val="00C3630A"/>
    <w:rsid w:val="00C36C5B"/>
    <w:rsid w:val="00C37981"/>
    <w:rsid w:val="00C40542"/>
    <w:rsid w:val="00C40AC7"/>
    <w:rsid w:val="00C417D3"/>
    <w:rsid w:val="00C4206E"/>
    <w:rsid w:val="00C4223F"/>
    <w:rsid w:val="00C44D21"/>
    <w:rsid w:val="00C500DE"/>
    <w:rsid w:val="00C52E37"/>
    <w:rsid w:val="00C52F56"/>
    <w:rsid w:val="00C539F3"/>
    <w:rsid w:val="00C545FA"/>
    <w:rsid w:val="00C57C80"/>
    <w:rsid w:val="00C623D6"/>
    <w:rsid w:val="00C63DB3"/>
    <w:rsid w:val="00C71555"/>
    <w:rsid w:val="00C71923"/>
    <w:rsid w:val="00C74B3C"/>
    <w:rsid w:val="00C80B94"/>
    <w:rsid w:val="00C81683"/>
    <w:rsid w:val="00C84C85"/>
    <w:rsid w:val="00C862C1"/>
    <w:rsid w:val="00C944C3"/>
    <w:rsid w:val="00C96207"/>
    <w:rsid w:val="00C964B1"/>
    <w:rsid w:val="00C97255"/>
    <w:rsid w:val="00C97B1B"/>
    <w:rsid w:val="00CA1625"/>
    <w:rsid w:val="00CB6CA0"/>
    <w:rsid w:val="00CB706E"/>
    <w:rsid w:val="00CB7415"/>
    <w:rsid w:val="00CC159B"/>
    <w:rsid w:val="00CC1757"/>
    <w:rsid w:val="00CC27FA"/>
    <w:rsid w:val="00CC77B9"/>
    <w:rsid w:val="00CD1C3C"/>
    <w:rsid w:val="00CD1C7C"/>
    <w:rsid w:val="00CD2372"/>
    <w:rsid w:val="00CD7529"/>
    <w:rsid w:val="00CD7906"/>
    <w:rsid w:val="00CE367F"/>
    <w:rsid w:val="00CE3D00"/>
    <w:rsid w:val="00CE415D"/>
    <w:rsid w:val="00CE5108"/>
    <w:rsid w:val="00CE7355"/>
    <w:rsid w:val="00CF15B7"/>
    <w:rsid w:val="00CF326E"/>
    <w:rsid w:val="00CF3D1A"/>
    <w:rsid w:val="00CF719E"/>
    <w:rsid w:val="00D037C1"/>
    <w:rsid w:val="00D0570B"/>
    <w:rsid w:val="00D07859"/>
    <w:rsid w:val="00D10997"/>
    <w:rsid w:val="00D112E5"/>
    <w:rsid w:val="00D14B8D"/>
    <w:rsid w:val="00D15F8C"/>
    <w:rsid w:val="00D171B6"/>
    <w:rsid w:val="00D208DF"/>
    <w:rsid w:val="00D215DB"/>
    <w:rsid w:val="00D24EA8"/>
    <w:rsid w:val="00D2600B"/>
    <w:rsid w:val="00D26FEE"/>
    <w:rsid w:val="00D321AE"/>
    <w:rsid w:val="00D5160C"/>
    <w:rsid w:val="00D51EEE"/>
    <w:rsid w:val="00D53FA3"/>
    <w:rsid w:val="00D56AB0"/>
    <w:rsid w:val="00D5710B"/>
    <w:rsid w:val="00D6239B"/>
    <w:rsid w:val="00D62768"/>
    <w:rsid w:val="00D64563"/>
    <w:rsid w:val="00D65E3D"/>
    <w:rsid w:val="00D70B06"/>
    <w:rsid w:val="00D711AA"/>
    <w:rsid w:val="00D72CFA"/>
    <w:rsid w:val="00D75761"/>
    <w:rsid w:val="00D757B6"/>
    <w:rsid w:val="00D82617"/>
    <w:rsid w:val="00D82EE5"/>
    <w:rsid w:val="00D842F6"/>
    <w:rsid w:val="00D84E68"/>
    <w:rsid w:val="00D85F64"/>
    <w:rsid w:val="00D86391"/>
    <w:rsid w:val="00D8648D"/>
    <w:rsid w:val="00D9369A"/>
    <w:rsid w:val="00D942E3"/>
    <w:rsid w:val="00D956AA"/>
    <w:rsid w:val="00D95728"/>
    <w:rsid w:val="00DA0DB7"/>
    <w:rsid w:val="00DA10BC"/>
    <w:rsid w:val="00DA1E05"/>
    <w:rsid w:val="00DA24F0"/>
    <w:rsid w:val="00DA4662"/>
    <w:rsid w:val="00DB26AC"/>
    <w:rsid w:val="00DB4EAF"/>
    <w:rsid w:val="00DB5559"/>
    <w:rsid w:val="00DB6AAF"/>
    <w:rsid w:val="00DB7917"/>
    <w:rsid w:val="00DB7B1F"/>
    <w:rsid w:val="00DC6C34"/>
    <w:rsid w:val="00DC6F77"/>
    <w:rsid w:val="00DD3831"/>
    <w:rsid w:val="00DD3C42"/>
    <w:rsid w:val="00DD470D"/>
    <w:rsid w:val="00DE672B"/>
    <w:rsid w:val="00DE6D6B"/>
    <w:rsid w:val="00DE6DA7"/>
    <w:rsid w:val="00DF0DDF"/>
    <w:rsid w:val="00DF0FA0"/>
    <w:rsid w:val="00DF1AA3"/>
    <w:rsid w:val="00DF6807"/>
    <w:rsid w:val="00E040BB"/>
    <w:rsid w:val="00E04794"/>
    <w:rsid w:val="00E0586A"/>
    <w:rsid w:val="00E10A78"/>
    <w:rsid w:val="00E12A6D"/>
    <w:rsid w:val="00E139B6"/>
    <w:rsid w:val="00E13D29"/>
    <w:rsid w:val="00E14A0D"/>
    <w:rsid w:val="00E1614D"/>
    <w:rsid w:val="00E17C22"/>
    <w:rsid w:val="00E21487"/>
    <w:rsid w:val="00E224BF"/>
    <w:rsid w:val="00E22DB7"/>
    <w:rsid w:val="00E26959"/>
    <w:rsid w:val="00E323E2"/>
    <w:rsid w:val="00E333C9"/>
    <w:rsid w:val="00E4293F"/>
    <w:rsid w:val="00E43129"/>
    <w:rsid w:val="00E4425D"/>
    <w:rsid w:val="00E443A7"/>
    <w:rsid w:val="00E44B35"/>
    <w:rsid w:val="00E44F41"/>
    <w:rsid w:val="00E450E1"/>
    <w:rsid w:val="00E45DFC"/>
    <w:rsid w:val="00E46A98"/>
    <w:rsid w:val="00E47143"/>
    <w:rsid w:val="00E47D4C"/>
    <w:rsid w:val="00E50E2B"/>
    <w:rsid w:val="00E54318"/>
    <w:rsid w:val="00E54376"/>
    <w:rsid w:val="00E546CE"/>
    <w:rsid w:val="00E57196"/>
    <w:rsid w:val="00E60750"/>
    <w:rsid w:val="00E60BDF"/>
    <w:rsid w:val="00E61427"/>
    <w:rsid w:val="00E615FF"/>
    <w:rsid w:val="00E61CDE"/>
    <w:rsid w:val="00E6297F"/>
    <w:rsid w:val="00E63EF1"/>
    <w:rsid w:val="00E6532F"/>
    <w:rsid w:val="00E67DF3"/>
    <w:rsid w:val="00E70018"/>
    <w:rsid w:val="00E74972"/>
    <w:rsid w:val="00E7627D"/>
    <w:rsid w:val="00E82DA3"/>
    <w:rsid w:val="00E836E2"/>
    <w:rsid w:val="00E870AB"/>
    <w:rsid w:val="00E9015E"/>
    <w:rsid w:val="00E91928"/>
    <w:rsid w:val="00E93484"/>
    <w:rsid w:val="00E946E4"/>
    <w:rsid w:val="00E9575B"/>
    <w:rsid w:val="00E977D8"/>
    <w:rsid w:val="00EA208E"/>
    <w:rsid w:val="00EA48F1"/>
    <w:rsid w:val="00EB0F6C"/>
    <w:rsid w:val="00EB627A"/>
    <w:rsid w:val="00EC0FF5"/>
    <w:rsid w:val="00EC1CAF"/>
    <w:rsid w:val="00EC3E57"/>
    <w:rsid w:val="00ED076E"/>
    <w:rsid w:val="00ED2354"/>
    <w:rsid w:val="00ED45B5"/>
    <w:rsid w:val="00ED48A7"/>
    <w:rsid w:val="00ED75CD"/>
    <w:rsid w:val="00EE147A"/>
    <w:rsid w:val="00EE28D6"/>
    <w:rsid w:val="00EE3CA4"/>
    <w:rsid w:val="00EE4944"/>
    <w:rsid w:val="00EE599E"/>
    <w:rsid w:val="00EF310B"/>
    <w:rsid w:val="00EF31EA"/>
    <w:rsid w:val="00EF32E5"/>
    <w:rsid w:val="00EF3F5E"/>
    <w:rsid w:val="00EF49E5"/>
    <w:rsid w:val="00EF7D18"/>
    <w:rsid w:val="00EF7F99"/>
    <w:rsid w:val="00F00679"/>
    <w:rsid w:val="00F02F1C"/>
    <w:rsid w:val="00F049DC"/>
    <w:rsid w:val="00F04C24"/>
    <w:rsid w:val="00F06032"/>
    <w:rsid w:val="00F1270E"/>
    <w:rsid w:val="00F17B79"/>
    <w:rsid w:val="00F17DE9"/>
    <w:rsid w:val="00F26540"/>
    <w:rsid w:val="00F26A84"/>
    <w:rsid w:val="00F26E5C"/>
    <w:rsid w:val="00F2765C"/>
    <w:rsid w:val="00F313D1"/>
    <w:rsid w:val="00F365F7"/>
    <w:rsid w:val="00F50DA0"/>
    <w:rsid w:val="00F5263C"/>
    <w:rsid w:val="00F57354"/>
    <w:rsid w:val="00F65B02"/>
    <w:rsid w:val="00F70E3B"/>
    <w:rsid w:val="00F71336"/>
    <w:rsid w:val="00F734B1"/>
    <w:rsid w:val="00F757C5"/>
    <w:rsid w:val="00F758BA"/>
    <w:rsid w:val="00F804BA"/>
    <w:rsid w:val="00F80A65"/>
    <w:rsid w:val="00F82B06"/>
    <w:rsid w:val="00F86270"/>
    <w:rsid w:val="00F870BD"/>
    <w:rsid w:val="00F87EDA"/>
    <w:rsid w:val="00F96871"/>
    <w:rsid w:val="00FA1268"/>
    <w:rsid w:val="00FA3C5E"/>
    <w:rsid w:val="00FA578A"/>
    <w:rsid w:val="00FB0CD2"/>
    <w:rsid w:val="00FB17EB"/>
    <w:rsid w:val="00FB1F0E"/>
    <w:rsid w:val="00FB54B8"/>
    <w:rsid w:val="00FB5829"/>
    <w:rsid w:val="00FB7226"/>
    <w:rsid w:val="00FB7CDB"/>
    <w:rsid w:val="00FC1375"/>
    <w:rsid w:val="00FC30B5"/>
    <w:rsid w:val="00FC3785"/>
    <w:rsid w:val="00FD0E08"/>
    <w:rsid w:val="00FD3213"/>
    <w:rsid w:val="00FE0B91"/>
    <w:rsid w:val="00FE7107"/>
    <w:rsid w:val="00FE72E6"/>
    <w:rsid w:val="00FF09C8"/>
    <w:rsid w:val="00FF0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strokecolor="none"/>
    </o:shapedefaults>
    <o:shapelayout v:ext="edit">
      <o:idmap v:ext="edit" data="1"/>
      <o:regrouptable v:ext="edit">
        <o:entry new="1" old="0"/>
        <o:entry new="2" old="0"/>
        <o:entry new="3" old="0"/>
        <o:entry new="4" old="0"/>
        <o:entry new="5" old="0"/>
        <o:entry new="6" old="0"/>
        <o:entry new="7" old="0"/>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D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28C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B76E0"/>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rsid w:val="00BB76E0"/>
    <w:rPr>
      <w:color w:val="0000FF"/>
      <w:u w:val="single"/>
    </w:rPr>
  </w:style>
  <w:style w:type="paragraph" w:styleId="PlainText">
    <w:name w:val="Plain Text"/>
    <w:basedOn w:val="Normal"/>
    <w:link w:val="PlainTextChar"/>
    <w:uiPriority w:val="99"/>
    <w:rsid w:val="002B754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B754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85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F64"/>
    <w:rPr>
      <w:rFonts w:ascii="Tahoma" w:hAnsi="Tahoma" w:cs="Tahoma"/>
      <w:sz w:val="16"/>
      <w:szCs w:val="16"/>
    </w:rPr>
  </w:style>
  <w:style w:type="paragraph" w:styleId="NormalWeb">
    <w:name w:val="Normal (Web)"/>
    <w:basedOn w:val="Normal"/>
    <w:uiPriority w:val="99"/>
    <w:semiHidden/>
    <w:unhideWhenUsed/>
    <w:rsid w:val="00A376D3"/>
    <w:pPr>
      <w:spacing w:before="100" w:beforeAutospacing="1" w:after="100" w:afterAutospacing="1" w:line="240" w:lineRule="auto"/>
    </w:pPr>
    <w:rPr>
      <w:rFonts w:ascii="Arial" w:eastAsia="Times New Roman" w:hAnsi="Arial" w:cs="Arial"/>
      <w:sz w:val="18"/>
      <w:szCs w:val="18"/>
    </w:rPr>
  </w:style>
  <w:style w:type="paragraph" w:styleId="NoSpacing">
    <w:name w:val="No Spacing"/>
    <w:uiPriority w:val="1"/>
    <w:qFormat/>
    <w:rsid w:val="006D0A10"/>
    <w:pPr>
      <w:spacing w:after="0" w:line="240" w:lineRule="auto"/>
    </w:pPr>
  </w:style>
  <w:style w:type="paragraph" w:styleId="Header">
    <w:name w:val="header"/>
    <w:basedOn w:val="Normal"/>
    <w:link w:val="HeaderChar"/>
    <w:uiPriority w:val="99"/>
    <w:unhideWhenUsed/>
    <w:rsid w:val="008C4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11F"/>
  </w:style>
  <w:style w:type="paragraph" w:styleId="Footer">
    <w:name w:val="footer"/>
    <w:basedOn w:val="Normal"/>
    <w:link w:val="FooterChar"/>
    <w:uiPriority w:val="99"/>
    <w:unhideWhenUsed/>
    <w:rsid w:val="008C4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11F"/>
  </w:style>
  <w:style w:type="character" w:styleId="FollowedHyperlink">
    <w:name w:val="FollowedHyperlink"/>
    <w:basedOn w:val="DefaultParagraphFont"/>
    <w:uiPriority w:val="99"/>
    <w:semiHidden/>
    <w:unhideWhenUsed/>
    <w:rsid w:val="00AD0B64"/>
    <w:rPr>
      <w:color w:val="800080" w:themeColor="followedHyperlink"/>
      <w:u w:val="single"/>
    </w:rPr>
  </w:style>
  <w:style w:type="character" w:styleId="IntenseReference">
    <w:name w:val="Intense Reference"/>
    <w:uiPriority w:val="32"/>
    <w:qFormat/>
    <w:rsid w:val="00530666"/>
    <w:rPr>
      <w:b/>
      <w:bCs/>
      <w:smallCaps/>
    </w:rPr>
  </w:style>
  <w:style w:type="table" w:styleId="TableGrid">
    <w:name w:val="Table Grid"/>
    <w:basedOn w:val="TableNormal"/>
    <w:uiPriority w:val="59"/>
    <w:rsid w:val="00D70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6E24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2457"/>
    <w:rPr>
      <w:sz w:val="20"/>
      <w:szCs w:val="20"/>
    </w:rPr>
  </w:style>
  <w:style w:type="character" w:styleId="EndnoteReference">
    <w:name w:val="endnote reference"/>
    <w:basedOn w:val="DefaultParagraphFont"/>
    <w:uiPriority w:val="99"/>
    <w:semiHidden/>
    <w:unhideWhenUsed/>
    <w:rsid w:val="006E2457"/>
    <w:rPr>
      <w:vertAlign w:val="superscript"/>
    </w:rPr>
  </w:style>
  <w:style w:type="paragraph" w:styleId="FootnoteText">
    <w:name w:val="footnote text"/>
    <w:basedOn w:val="Normal"/>
    <w:link w:val="FootnoteTextChar"/>
    <w:uiPriority w:val="99"/>
    <w:semiHidden/>
    <w:unhideWhenUsed/>
    <w:rsid w:val="006E2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457"/>
    <w:rPr>
      <w:sz w:val="20"/>
      <w:szCs w:val="20"/>
    </w:rPr>
  </w:style>
  <w:style w:type="character" w:styleId="FootnoteReference">
    <w:name w:val="footnote reference"/>
    <w:basedOn w:val="DefaultParagraphFont"/>
    <w:uiPriority w:val="99"/>
    <w:semiHidden/>
    <w:unhideWhenUsed/>
    <w:rsid w:val="006E2457"/>
    <w:rPr>
      <w:vertAlign w:val="superscript"/>
    </w:rPr>
  </w:style>
  <w:style w:type="character" w:styleId="Emphasis">
    <w:name w:val="Emphasis"/>
    <w:basedOn w:val="DefaultParagraphFont"/>
    <w:uiPriority w:val="20"/>
    <w:qFormat/>
    <w:rsid w:val="00A675FD"/>
    <w:rPr>
      <w:i/>
      <w:iCs/>
    </w:rPr>
  </w:style>
</w:styles>
</file>

<file path=word/webSettings.xml><?xml version="1.0" encoding="utf-8"?>
<w:webSettings xmlns:r="http://schemas.openxmlformats.org/officeDocument/2006/relationships" xmlns:w="http://schemas.openxmlformats.org/wordprocessingml/2006/main">
  <w:divs>
    <w:div w:id="177891407">
      <w:bodyDiv w:val="1"/>
      <w:marLeft w:val="0"/>
      <w:marRight w:val="0"/>
      <w:marTop w:val="0"/>
      <w:marBottom w:val="0"/>
      <w:divBdr>
        <w:top w:val="none" w:sz="0" w:space="0" w:color="auto"/>
        <w:left w:val="none" w:sz="0" w:space="0" w:color="auto"/>
        <w:bottom w:val="none" w:sz="0" w:space="0" w:color="auto"/>
        <w:right w:val="none" w:sz="0" w:space="0" w:color="auto"/>
      </w:divBdr>
    </w:div>
    <w:div w:id="443885036">
      <w:bodyDiv w:val="1"/>
      <w:marLeft w:val="0"/>
      <w:marRight w:val="0"/>
      <w:marTop w:val="0"/>
      <w:marBottom w:val="0"/>
      <w:divBdr>
        <w:top w:val="none" w:sz="0" w:space="0" w:color="auto"/>
        <w:left w:val="none" w:sz="0" w:space="0" w:color="auto"/>
        <w:bottom w:val="none" w:sz="0" w:space="0" w:color="auto"/>
        <w:right w:val="none" w:sz="0" w:space="0" w:color="auto"/>
      </w:divBdr>
      <w:divsChild>
        <w:div w:id="1503737066">
          <w:marLeft w:val="180"/>
          <w:marRight w:val="180"/>
          <w:marTop w:val="0"/>
          <w:marBottom w:val="0"/>
          <w:divBdr>
            <w:top w:val="none" w:sz="0" w:space="0" w:color="auto"/>
            <w:left w:val="none" w:sz="0" w:space="0" w:color="auto"/>
            <w:bottom w:val="none" w:sz="0" w:space="0" w:color="auto"/>
            <w:right w:val="none" w:sz="0" w:space="0" w:color="auto"/>
          </w:divBdr>
        </w:div>
      </w:divsChild>
    </w:div>
    <w:div w:id="542863232">
      <w:bodyDiv w:val="1"/>
      <w:marLeft w:val="0"/>
      <w:marRight w:val="0"/>
      <w:marTop w:val="0"/>
      <w:marBottom w:val="0"/>
      <w:divBdr>
        <w:top w:val="none" w:sz="0" w:space="0" w:color="auto"/>
        <w:left w:val="none" w:sz="0" w:space="0" w:color="auto"/>
        <w:bottom w:val="none" w:sz="0" w:space="0" w:color="auto"/>
        <w:right w:val="none" w:sz="0" w:space="0" w:color="auto"/>
      </w:divBdr>
    </w:div>
    <w:div w:id="552272140">
      <w:bodyDiv w:val="1"/>
      <w:marLeft w:val="0"/>
      <w:marRight w:val="0"/>
      <w:marTop w:val="0"/>
      <w:marBottom w:val="0"/>
      <w:divBdr>
        <w:top w:val="none" w:sz="0" w:space="0" w:color="auto"/>
        <w:left w:val="none" w:sz="0" w:space="0" w:color="auto"/>
        <w:bottom w:val="none" w:sz="0" w:space="0" w:color="auto"/>
        <w:right w:val="none" w:sz="0" w:space="0" w:color="auto"/>
      </w:divBdr>
    </w:div>
    <w:div w:id="623926516">
      <w:bodyDiv w:val="1"/>
      <w:marLeft w:val="0"/>
      <w:marRight w:val="0"/>
      <w:marTop w:val="0"/>
      <w:marBottom w:val="0"/>
      <w:divBdr>
        <w:top w:val="none" w:sz="0" w:space="0" w:color="auto"/>
        <w:left w:val="none" w:sz="0" w:space="0" w:color="auto"/>
        <w:bottom w:val="none" w:sz="0" w:space="0" w:color="auto"/>
        <w:right w:val="none" w:sz="0" w:space="0" w:color="auto"/>
      </w:divBdr>
    </w:div>
    <w:div w:id="664824843">
      <w:bodyDiv w:val="1"/>
      <w:marLeft w:val="0"/>
      <w:marRight w:val="0"/>
      <w:marTop w:val="0"/>
      <w:marBottom w:val="0"/>
      <w:divBdr>
        <w:top w:val="none" w:sz="0" w:space="0" w:color="auto"/>
        <w:left w:val="none" w:sz="0" w:space="0" w:color="auto"/>
        <w:bottom w:val="none" w:sz="0" w:space="0" w:color="auto"/>
        <w:right w:val="none" w:sz="0" w:space="0" w:color="auto"/>
      </w:divBdr>
    </w:div>
    <w:div w:id="688143421">
      <w:bodyDiv w:val="1"/>
      <w:marLeft w:val="0"/>
      <w:marRight w:val="0"/>
      <w:marTop w:val="0"/>
      <w:marBottom w:val="0"/>
      <w:divBdr>
        <w:top w:val="none" w:sz="0" w:space="0" w:color="auto"/>
        <w:left w:val="none" w:sz="0" w:space="0" w:color="auto"/>
        <w:bottom w:val="none" w:sz="0" w:space="0" w:color="auto"/>
        <w:right w:val="none" w:sz="0" w:space="0" w:color="auto"/>
      </w:divBdr>
    </w:div>
    <w:div w:id="979967465">
      <w:bodyDiv w:val="1"/>
      <w:marLeft w:val="0"/>
      <w:marRight w:val="0"/>
      <w:marTop w:val="0"/>
      <w:marBottom w:val="0"/>
      <w:divBdr>
        <w:top w:val="none" w:sz="0" w:space="0" w:color="auto"/>
        <w:left w:val="none" w:sz="0" w:space="0" w:color="auto"/>
        <w:bottom w:val="none" w:sz="0" w:space="0" w:color="auto"/>
        <w:right w:val="none" w:sz="0" w:space="0" w:color="auto"/>
      </w:divBdr>
      <w:divsChild>
        <w:div w:id="396898869">
          <w:marLeft w:val="180"/>
          <w:marRight w:val="180"/>
          <w:marTop w:val="0"/>
          <w:marBottom w:val="0"/>
          <w:divBdr>
            <w:top w:val="none" w:sz="0" w:space="0" w:color="auto"/>
            <w:left w:val="none" w:sz="0" w:space="0" w:color="auto"/>
            <w:bottom w:val="none" w:sz="0" w:space="0" w:color="auto"/>
            <w:right w:val="none" w:sz="0" w:space="0" w:color="auto"/>
          </w:divBdr>
        </w:div>
      </w:divsChild>
    </w:div>
    <w:div w:id="1080638844">
      <w:bodyDiv w:val="1"/>
      <w:marLeft w:val="0"/>
      <w:marRight w:val="0"/>
      <w:marTop w:val="0"/>
      <w:marBottom w:val="0"/>
      <w:divBdr>
        <w:top w:val="none" w:sz="0" w:space="0" w:color="auto"/>
        <w:left w:val="none" w:sz="0" w:space="0" w:color="auto"/>
        <w:bottom w:val="none" w:sz="0" w:space="0" w:color="auto"/>
        <w:right w:val="none" w:sz="0" w:space="0" w:color="auto"/>
      </w:divBdr>
    </w:div>
    <w:div w:id="1210649086">
      <w:bodyDiv w:val="1"/>
      <w:marLeft w:val="0"/>
      <w:marRight w:val="0"/>
      <w:marTop w:val="0"/>
      <w:marBottom w:val="0"/>
      <w:divBdr>
        <w:top w:val="none" w:sz="0" w:space="0" w:color="auto"/>
        <w:left w:val="none" w:sz="0" w:space="0" w:color="auto"/>
        <w:bottom w:val="none" w:sz="0" w:space="0" w:color="auto"/>
        <w:right w:val="none" w:sz="0" w:space="0" w:color="auto"/>
      </w:divBdr>
      <w:divsChild>
        <w:div w:id="1837334152">
          <w:marLeft w:val="180"/>
          <w:marRight w:val="180"/>
          <w:marTop w:val="0"/>
          <w:marBottom w:val="0"/>
          <w:divBdr>
            <w:top w:val="none" w:sz="0" w:space="0" w:color="auto"/>
            <w:left w:val="none" w:sz="0" w:space="0" w:color="auto"/>
            <w:bottom w:val="none" w:sz="0" w:space="0" w:color="auto"/>
            <w:right w:val="none" w:sz="0" w:space="0" w:color="auto"/>
          </w:divBdr>
        </w:div>
      </w:divsChild>
    </w:div>
    <w:div w:id="1439106837">
      <w:bodyDiv w:val="1"/>
      <w:marLeft w:val="0"/>
      <w:marRight w:val="0"/>
      <w:marTop w:val="0"/>
      <w:marBottom w:val="0"/>
      <w:divBdr>
        <w:top w:val="none" w:sz="0" w:space="0" w:color="auto"/>
        <w:left w:val="none" w:sz="0" w:space="0" w:color="auto"/>
        <w:bottom w:val="none" w:sz="0" w:space="0" w:color="auto"/>
        <w:right w:val="none" w:sz="0" w:space="0" w:color="auto"/>
      </w:divBdr>
    </w:div>
    <w:div w:id="14697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nergystar.gov/" TargetMode="External"/><Relationship Id="rId1" Type="http://schemas.openxmlformats.org/officeDocument/2006/relationships/hyperlink" Target="http://www.mwcog.org/uploads/pub-documents/p15eX1k201104141349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DD93C-C787-4D46-846D-F39A2ADA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mdavis</dc:creator>
  <cp:lastModifiedBy>Leah Boggs</cp:lastModifiedBy>
  <cp:revision>2</cp:revision>
  <cp:lastPrinted>2012-08-02T17:31:00Z</cp:lastPrinted>
  <dcterms:created xsi:type="dcterms:W3CDTF">2012-09-07T19:29:00Z</dcterms:created>
  <dcterms:modified xsi:type="dcterms:W3CDTF">2012-09-07T19:29:00Z</dcterms:modified>
</cp:coreProperties>
</file>