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660" w:rsidRPr="00014E6D" w:rsidRDefault="00A37660" w:rsidP="00A37660">
      <w:pPr>
        <w:spacing w:after="0" w:line="240" w:lineRule="auto"/>
        <w:jc w:val="center"/>
        <w:rPr>
          <w:rFonts w:cstheme="minorHAnsi"/>
          <w:b/>
          <w:caps/>
          <w:color w:val="4A442A" w:themeColor="background2" w:themeShade="40"/>
        </w:rPr>
      </w:pPr>
      <w:r w:rsidRPr="00014E6D">
        <w:rPr>
          <w:rFonts w:cstheme="minorHAnsi"/>
          <w:b/>
          <w:color w:val="4A442A" w:themeColor="background2" w:themeShade="40"/>
        </w:rPr>
        <w:t xml:space="preserve">Climate Energy and Environment Policy Committee </w:t>
      </w:r>
    </w:p>
    <w:p w:rsidR="00A37660" w:rsidRPr="00014E6D" w:rsidRDefault="00A37660" w:rsidP="00A37660">
      <w:pPr>
        <w:spacing w:after="0" w:line="240" w:lineRule="auto"/>
        <w:jc w:val="center"/>
        <w:rPr>
          <w:rFonts w:cstheme="minorHAnsi"/>
          <w:b/>
          <w:color w:val="4A442A" w:themeColor="background2" w:themeShade="40"/>
          <w:sz w:val="28"/>
          <w:szCs w:val="28"/>
        </w:rPr>
      </w:pPr>
      <w:r w:rsidRPr="00014E6D">
        <w:rPr>
          <w:rFonts w:cstheme="minorHAnsi"/>
          <w:b/>
          <w:color w:val="4A442A" w:themeColor="background2" w:themeShade="40"/>
          <w:sz w:val="28"/>
          <w:szCs w:val="28"/>
        </w:rPr>
        <w:t>PROPOSED 2013-2016 WORKPLAN GOALS</w:t>
      </w:r>
    </w:p>
    <w:p w:rsidR="00A37660" w:rsidRPr="00014E6D" w:rsidRDefault="00A37660" w:rsidP="00A37660">
      <w:pPr>
        <w:spacing w:after="120" w:line="240" w:lineRule="auto"/>
        <w:jc w:val="center"/>
        <w:rPr>
          <w:rFonts w:cstheme="minorHAnsi"/>
          <w:b/>
          <w:caps/>
          <w:color w:val="4A442A" w:themeColor="background2" w:themeShade="40"/>
        </w:rPr>
      </w:pPr>
      <w:r w:rsidRPr="00014E6D">
        <w:rPr>
          <w:rFonts w:cstheme="minorHAnsi"/>
          <w:b/>
          <w:color w:val="4A442A" w:themeColor="background2" w:themeShade="40"/>
        </w:rPr>
        <w:t>Land Use</w:t>
      </w:r>
    </w:p>
    <w:p w:rsidR="004529DA" w:rsidRPr="00C9620A" w:rsidRDefault="004529DA" w:rsidP="004529DA">
      <w:pPr>
        <w:autoSpaceDE w:val="0"/>
        <w:autoSpaceDN w:val="0"/>
        <w:adjustRightInd w:val="0"/>
        <w:spacing w:after="0" w:line="240" w:lineRule="auto"/>
        <w:rPr>
          <w:rFonts w:cstheme="minorHAnsi"/>
          <w:iCs/>
        </w:rPr>
      </w:pPr>
      <w:r>
        <w:rPr>
          <w:rFonts w:cstheme="minorHAnsi"/>
        </w:rPr>
        <w:t xml:space="preserve">Metropolitan Washington Council of Government’s (COG) </w:t>
      </w:r>
      <w:r>
        <w:rPr>
          <w:rFonts w:ascii="Calibri" w:hAnsi="Calibri" w:cs="Calibri"/>
        </w:rPr>
        <w:t xml:space="preserve">is in the process of developing a list of short-term goals and actions that will assist the region in achieving the long-term </w:t>
      </w:r>
      <w:r w:rsidRPr="004C5754">
        <w:rPr>
          <w:rStyle w:val="Emphasis"/>
          <w:rFonts w:cstheme="minorHAnsi"/>
        </w:rPr>
        <w:t>Region Forward</w:t>
      </w:r>
      <w:r w:rsidRPr="004C5754">
        <w:rPr>
          <w:rFonts w:cstheme="minorHAnsi"/>
        </w:rPr>
        <w:t xml:space="preserve"> </w:t>
      </w:r>
      <w:r>
        <w:rPr>
          <w:rFonts w:cstheme="minorHAnsi"/>
        </w:rPr>
        <w:t xml:space="preserve">targets and goals in the </w:t>
      </w:r>
      <w:r w:rsidRPr="00692B4A">
        <w:rPr>
          <w:rFonts w:cstheme="minorHAnsi"/>
          <w:i/>
        </w:rPr>
        <w:t xml:space="preserve">2008 </w:t>
      </w:r>
      <w:r w:rsidRPr="00692B4A">
        <w:rPr>
          <w:rFonts w:cstheme="minorHAnsi"/>
          <w:i/>
          <w:iCs/>
        </w:rPr>
        <w:t>National Capital Region Climate Change Report</w:t>
      </w:r>
      <w:r>
        <w:rPr>
          <w:rFonts w:cstheme="minorHAnsi"/>
          <w:i/>
          <w:iCs/>
        </w:rPr>
        <w:t xml:space="preserve"> </w:t>
      </w:r>
      <w:r w:rsidRPr="00C9620A">
        <w:rPr>
          <w:rFonts w:cstheme="minorHAnsi"/>
          <w:iCs/>
        </w:rPr>
        <w:t xml:space="preserve">and is currently seeking stakeholder input on proposed goals.  </w:t>
      </w:r>
    </w:p>
    <w:p w:rsidR="004529DA" w:rsidRDefault="004529DA" w:rsidP="004529DA">
      <w:pPr>
        <w:autoSpaceDE w:val="0"/>
        <w:autoSpaceDN w:val="0"/>
        <w:adjustRightInd w:val="0"/>
        <w:spacing w:after="0" w:line="240" w:lineRule="auto"/>
        <w:rPr>
          <w:rFonts w:cstheme="minorHAnsi"/>
          <w:i/>
          <w:iCs/>
        </w:rPr>
      </w:pPr>
    </w:p>
    <w:p w:rsidR="004529DA" w:rsidRDefault="004529DA" w:rsidP="004529DA">
      <w:pPr>
        <w:autoSpaceDE w:val="0"/>
        <w:autoSpaceDN w:val="0"/>
        <w:adjustRightInd w:val="0"/>
        <w:spacing w:after="0" w:line="240" w:lineRule="auto"/>
        <w:rPr>
          <w:rFonts w:cstheme="minorHAnsi"/>
        </w:rPr>
      </w:pPr>
      <w:r w:rsidRPr="004C5754">
        <w:rPr>
          <w:rStyle w:val="Emphasis"/>
          <w:rFonts w:cstheme="minorHAnsi"/>
        </w:rPr>
        <w:t>Region Forward</w:t>
      </w:r>
      <w:r>
        <w:rPr>
          <w:rFonts w:cstheme="minorHAnsi"/>
        </w:rPr>
        <w:t xml:space="preserve"> </w:t>
      </w:r>
      <w:r w:rsidRPr="004C5754">
        <w:rPr>
          <w:rFonts w:cstheme="minorHAnsi"/>
        </w:rPr>
        <w:t xml:space="preserve">is a commitment by COG and its member governments, who together seek to create a more accessible, sustainable, prosperous, and livable National Capital Region.  </w:t>
      </w:r>
      <w:r w:rsidRPr="00FD0E08">
        <w:rPr>
          <w:rFonts w:cstheme="minorHAnsi"/>
          <w:i/>
        </w:rPr>
        <w:t>Region Forward</w:t>
      </w:r>
      <w:r>
        <w:rPr>
          <w:rFonts w:cstheme="minorHAnsi"/>
        </w:rPr>
        <w:t xml:space="preserve"> targets have been established to help the region address challenges and move towards long-term goals for the region. </w:t>
      </w:r>
      <w:r w:rsidRPr="0004722B">
        <w:rPr>
          <w:rFonts w:cstheme="minorHAnsi"/>
          <w:i/>
          <w:iCs/>
        </w:rPr>
        <w:t xml:space="preserve">Region Forward </w:t>
      </w:r>
      <w:r w:rsidRPr="0004722B">
        <w:rPr>
          <w:rFonts w:cstheme="minorHAnsi"/>
        </w:rPr>
        <w:t>draws</w:t>
      </w:r>
      <w:r>
        <w:rPr>
          <w:rFonts w:ascii="Calibri" w:hAnsi="Calibri" w:cs="Calibri"/>
        </w:rPr>
        <w:t xml:space="preserve"> its greenhouse gas emission reduction target from the </w:t>
      </w:r>
      <w:r w:rsidRPr="00692B4A">
        <w:rPr>
          <w:rFonts w:cstheme="minorHAnsi"/>
          <w:i/>
        </w:rPr>
        <w:t xml:space="preserve">2008 </w:t>
      </w:r>
      <w:r w:rsidRPr="00692B4A">
        <w:rPr>
          <w:rFonts w:cstheme="minorHAnsi"/>
          <w:i/>
          <w:iCs/>
        </w:rPr>
        <w:t>National Capital Region Climate Change Report</w:t>
      </w:r>
      <w:r>
        <w:rPr>
          <w:rFonts w:cstheme="minorHAnsi"/>
          <w:i/>
          <w:iCs/>
        </w:rPr>
        <w:t>.</w:t>
      </w:r>
    </w:p>
    <w:p w:rsidR="004529DA" w:rsidRDefault="004529DA" w:rsidP="004529DA">
      <w:pPr>
        <w:autoSpaceDE w:val="0"/>
        <w:autoSpaceDN w:val="0"/>
        <w:adjustRightInd w:val="0"/>
        <w:spacing w:after="0" w:line="240" w:lineRule="auto"/>
        <w:rPr>
          <w:rFonts w:cstheme="minorHAnsi"/>
        </w:rPr>
      </w:pPr>
    </w:p>
    <w:p w:rsidR="003C6F97" w:rsidRDefault="004529DA" w:rsidP="004529DA">
      <w:pPr>
        <w:autoSpaceDE w:val="0"/>
        <w:autoSpaceDN w:val="0"/>
        <w:adjustRightInd w:val="0"/>
        <w:spacing w:after="0" w:line="240" w:lineRule="auto"/>
        <w:rPr>
          <w:rFonts w:ascii="Calibri" w:hAnsi="Calibri" w:cs="Calibri"/>
        </w:rPr>
      </w:pPr>
      <w:r>
        <w:rPr>
          <w:rFonts w:ascii="Calibri" w:hAnsi="Calibri" w:cs="Calibri"/>
        </w:rPr>
        <w:t xml:space="preserve">The Climate, Energy and Environment Policy Committee (CEEPC) was created in 2009 by the COG Board of Directors to provide leadership on climate change, energy, green building, alternative fuels, solid waste and recycling issues and to help support area governments as they work together to meet the goals outlined in the </w:t>
      </w:r>
      <w:r w:rsidRPr="0004722B">
        <w:rPr>
          <w:rFonts w:cstheme="minorHAnsi"/>
        </w:rPr>
        <w:t xml:space="preserve">2008 </w:t>
      </w:r>
      <w:r w:rsidRPr="0004722B">
        <w:rPr>
          <w:rFonts w:cstheme="minorHAnsi"/>
          <w:i/>
          <w:iCs/>
        </w:rPr>
        <w:t>National Capital Region Climate Change Report</w:t>
      </w:r>
      <w:r w:rsidRPr="0004722B">
        <w:rPr>
          <w:rFonts w:cstheme="minorHAnsi"/>
        </w:rPr>
        <w:t>.</w:t>
      </w:r>
      <w:r>
        <w:rPr>
          <w:rFonts w:ascii="Calibri" w:hAnsi="Calibri" w:cs="Calibri"/>
        </w:rPr>
        <w:t xml:space="preserve"> </w:t>
      </w:r>
      <w:r>
        <w:rPr>
          <w:rFonts w:cstheme="minorHAnsi"/>
        </w:rPr>
        <w:t xml:space="preserve">In January 2010, </w:t>
      </w:r>
      <w:r>
        <w:rPr>
          <w:rFonts w:ascii="Calibri" w:hAnsi="Calibri" w:cs="Calibri"/>
        </w:rPr>
        <w:t xml:space="preserve">CEEPC adopted the 2010‐2012 Workplan and is now in the process of updating it to a 2013-2016 Workplan. </w:t>
      </w:r>
      <w:r w:rsidR="00A37660">
        <w:rPr>
          <w:rFonts w:ascii="Calibri" w:hAnsi="Calibri" w:cs="Calibri"/>
        </w:rPr>
        <w:t xml:space="preserve">Proposed goals related to land use are as follows: </w:t>
      </w:r>
    </w:p>
    <w:p w:rsidR="00A37660" w:rsidRPr="00A37660" w:rsidRDefault="00A37660" w:rsidP="00A37660">
      <w:pPr>
        <w:autoSpaceDE w:val="0"/>
        <w:autoSpaceDN w:val="0"/>
        <w:adjustRightInd w:val="0"/>
        <w:spacing w:after="0" w:line="240" w:lineRule="auto"/>
        <w:rPr>
          <w:rFonts w:ascii="Calibri" w:hAnsi="Calibri" w:cs="Calibri"/>
        </w:rPr>
      </w:pPr>
    </w:p>
    <w:tbl>
      <w:tblPr>
        <w:tblStyle w:val="TableGrid"/>
        <w:tblW w:w="0" w:type="auto"/>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tblLook w:val="04A0"/>
      </w:tblPr>
      <w:tblGrid>
        <w:gridCol w:w="918"/>
        <w:gridCol w:w="7267"/>
        <w:gridCol w:w="1391"/>
      </w:tblGrid>
      <w:tr w:rsidR="00A95A44" w:rsidTr="00B8321E">
        <w:tc>
          <w:tcPr>
            <w:tcW w:w="918" w:type="dxa"/>
            <w:shd w:val="clear" w:color="auto" w:fill="C4BC96" w:themeFill="background2" w:themeFillShade="BF"/>
          </w:tcPr>
          <w:p w:rsidR="00A95A44" w:rsidRPr="00014E6D" w:rsidRDefault="00A95A44" w:rsidP="0062598D">
            <w:pPr>
              <w:contextualSpacing/>
              <w:rPr>
                <w:rFonts w:cstheme="minorHAnsi"/>
                <w:b/>
                <w:color w:val="4A442A" w:themeColor="background2" w:themeShade="40"/>
              </w:rPr>
            </w:pPr>
            <w:r w:rsidRPr="00014E6D">
              <w:rPr>
                <w:rFonts w:cstheme="minorHAnsi"/>
                <w:b/>
                <w:color w:val="4A442A" w:themeColor="background2" w:themeShade="40"/>
              </w:rPr>
              <w:t>Status*</w:t>
            </w:r>
          </w:p>
        </w:tc>
        <w:tc>
          <w:tcPr>
            <w:tcW w:w="7267" w:type="dxa"/>
            <w:shd w:val="clear" w:color="auto" w:fill="C4BC96" w:themeFill="background2" w:themeFillShade="BF"/>
          </w:tcPr>
          <w:p w:rsidR="00A95A44" w:rsidRPr="00014E6D" w:rsidRDefault="00A95A44" w:rsidP="0062598D">
            <w:pPr>
              <w:contextualSpacing/>
              <w:rPr>
                <w:rFonts w:cstheme="minorHAnsi"/>
                <w:b/>
                <w:color w:val="4A442A" w:themeColor="background2" w:themeShade="40"/>
              </w:rPr>
            </w:pPr>
            <w:r w:rsidRPr="00014E6D">
              <w:rPr>
                <w:rFonts w:cstheme="minorHAnsi"/>
                <w:b/>
                <w:color w:val="4A442A" w:themeColor="background2" w:themeShade="40"/>
              </w:rPr>
              <w:t>CEEPC Workplan Goals</w:t>
            </w:r>
          </w:p>
        </w:tc>
        <w:tc>
          <w:tcPr>
            <w:tcW w:w="1391" w:type="dxa"/>
            <w:shd w:val="clear" w:color="auto" w:fill="C4BC96" w:themeFill="background2" w:themeFillShade="BF"/>
          </w:tcPr>
          <w:p w:rsidR="00A95A44" w:rsidRPr="00014E6D" w:rsidRDefault="00A95A44" w:rsidP="0062598D">
            <w:pPr>
              <w:contextualSpacing/>
              <w:rPr>
                <w:rFonts w:cstheme="minorHAnsi"/>
                <w:b/>
                <w:color w:val="4A442A" w:themeColor="background2" w:themeShade="40"/>
              </w:rPr>
            </w:pPr>
            <w:r w:rsidRPr="00014E6D">
              <w:rPr>
                <w:rFonts w:cstheme="minorHAnsi"/>
                <w:b/>
                <w:color w:val="4A442A" w:themeColor="background2" w:themeShade="40"/>
              </w:rPr>
              <w:t>Progress</w:t>
            </w:r>
          </w:p>
        </w:tc>
      </w:tr>
      <w:tr w:rsidR="0037149D" w:rsidTr="00B8321E">
        <w:tc>
          <w:tcPr>
            <w:tcW w:w="918" w:type="dxa"/>
            <w:vMerge w:val="restart"/>
            <w:shd w:val="clear" w:color="auto" w:fill="FFFFFF" w:themeFill="background1"/>
          </w:tcPr>
          <w:p w:rsidR="0037149D" w:rsidRPr="008C6988" w:rsidRDefault="0037149D" w:rsidP="0062598D">
            <w:pPr>
              <w:contextualSpacing/>
              <w:rPr>
                <w:rFonts w:cstheme="minorHAnsi"/>
              </w:rPr>
            </w:pPr>
            <w:r>
              <w:rPr>
                <w:rFonts w:cstheme="minorHAnsi"/>
              </w:rPr>
              <w:t>New</w:t>
            </w:r>
          </w:p>
        </w:tc>
        <w:tc>
          <w:tcPr>
            <w:tcW w:w="7267" w:type="dxa"/>
            <w:shd w:val="clear" w:color="auto" w:fill="FFFFFF" w:themeFill="background1"/>
          </w:tcPr>
          <w:p w:rsidR="0037149D" w:rsidRPr="00B61968" w:rsidRDefault="0037149D" w:rsidP="0062598D">
            <w:pPr>
              <w:pStyle w:val="Default"/>
              <w:rPr>
                <w:rFonts w:asciiTheme="minorHAnsi" w:hAnsiTheme="minorHAnsi" w:cstheme="minorHAnsi"/>
                <w:color w:val="auto"/>
                <w:sz w:val="22"/>
                <w:szCs w:val="22"/>
              </w:rPr>
            </w:pPr>
            <w:r w:rsidRPr="00B61968">
              <w:rPr>
                <w:rFonts w:asciiTheme="minorHAnsi" w:hAnsiTheme="minorHAnsi" w:cstheme="minorHAnsi"/>
                <w:color w:val="auto"/>
                <w:sz w:val="22"/>
                <w:szCs w:val="22"/>
              </w:rPr>
              <w:t xml:space="preserve">80% of jurisdictions adopt land use plans that allow for and incentivizes walkable, higher density, mixed use, and/or mixed income development </w:t>
            </w:r>
            <w:r>
              <w:rPr>
                <w:rFonts w:asciiTheme="minorHAnsi" w:hAnsiTheme="minorHAnsi" w:cstheme="minorHAnsi"/>
                <w:color w:val="auto"/>
                <w:sz w:val="22"/>
                <w:szCs w:val="22"/>
              </w:rPr>
              <w:t xml:space="preserve">in regional activity centers (i.e. </w:t>
            </w:r>
            <w:r w:rsidRPr="00B61968">
              <w:rPr>
                <w:rFonts w:asciiTheme="minorHAnsi" w:hAnsiTheme="minorHAnsi" w:cstheme="minorHAnsi"/>
                <w:color w:val="auto"/>
                <w:sz w:val="22"/>
                <w:szCs w:val="22"/>
              </w:rPr>
              <w:t>near transit and job centers</w:t>
            </w:r>
            <w:r>
              <w:rPr>
                <w:rFonts w:asciiTheme="minorHAnsi" w:hAnsiTheme="minorHAnsi" w:cstheme="minorHAnsi"/>
                <w:color w:val="auto"/>
                <w:sz w:val="22"/>
                <w:szCs w:val="22"/>
              </w:rPr>
              <w:t>)</w:t>
            </w:r>
            <w:r w:rsidRPr="00B61968">
              <w:rPr>
                <w:rFonts w:asciiTheme="minorHAnsi" w:hAnsiTheme="minorHAnsi" w:cstheme="minorHAnsi"/>
                <w:color w:val="auto"/>
                <w:sz w:val="22"/>
                <w:szCs w:val="22"/>
              </w:rPr>
              <w:t>.</w:t>
            </w:r>
          </w:p>
        </w:tc>
        <w:tc>
          <w:tcPr>
            <w:tcW w:w="1391" w:type="dxa"/>
            <w:shd w:val="clear" w:color="auto" w:fill="FFFFFF" w:themeFill="background1"/>
          </w:tcPr>
          <w:p w:rsidR="0037149D" w:rsidRPr="008C6988" w:rsidRDefault="0037149D" w:rsidP="0062598D">
            <w:pPr>
              <w:contextualSpacing/>
              <w:rPr>
                <w:rFonts w:cstheme="minorHAnsi"/>
              </w:rPr>
            </w:pPr>
            <w:r>
              <w:rPr>
                <w:rFonts w:cstheme="minorHAnsi"/>
              </w:rPr>
              <w:t>Unknown</w:t>
            </w:r>
          </w:p>
        </w:tc>
      </w:tr>
      <w:tr w:rsidR="0037149D" w:rsidTr="00B8321E">
        <w:tc>
          <w:tcPr>
            <w:tcW w:w="918" w:type="dxa"/>
            <w:vMerge/>
            <w:shd w:val="clear" w:color="auto" w:fill="FFFFFF" w:themeFill="background1"/>
          </w:tcPr>
          <w:p w:rsidR="0037149D" w:rsidRDefault="0037149D" w:rsidP="0062598D">
            <w:pPr>
              <w:contextualSpacing/>
              <w:rPr>
                <w:rFonts w:cstheme="minorHAnsi"/>
              </w:rPr>
            </w:pPr>
          </w:p>
        </w:tc>
        <w:tc>
          <w:tcPr>
            <w:tcW w:w="7267" w:type="dxa"/>
            <w:shd w:val="clear" w:color="auto" w:fill="FFFFFF" w:themeFill="background1"/>
          </w:tcPr>
          <w:p w:rsidR="0037149D" w:rsidRPr="0075797D" w:rsidRDefault="0037149D" w:rsidP="0075797D">
            <w:pPr>
              <w:pStyle w:val="Default"/>
              <w:rPr>
                <w:rFonts w:asciiTheme="minorHAnsi" w:hAnsiTheme="minorHAnsi" w:cstheme="minorHAnsi"/>
                <w:color w:val="FF0000"/>
                <w:sz w:val="22"/>
                <w:szCs w:val="22"/>
              </w:rPr>
            </w:pPr>
            <w:r w:rsidRPr="0075797D">
              <w:rPr>
                <w:rFonts w:asciiTheme="minorHAnsi" w:hAnsiTheme="minorHAnsi" w:cstheme="minorHAnsi"/>
                <w:color w:val="FF0000"/>
                <w:sz w:val="22"/>
                <w:szCs w:val="22"/>
              </w:rPr>
              <w:t>x</w:t>
            </w:r>
            <w:r w:rsidRPr="00E3748B">
              <w:rPr>
                <w:rFonts w:asciiTheme="minorHAnsi" w:hAnsiTheme="minorHAnsi" w:cstheme="minorHAnsi"/>
                <w:color w:val="auto"/>
                <w:sz w:val="22"/>
                <w:szCs w:val="22"/>
              </w:rPr>
              <w:t>% of jurisdictions implement form-based/flexible codes in regional activity centers.</w:t>
            </w:r>
            <w:r w:rsidRPr="0075797D">
              <w:rPr>
                <w:rFonts w:asciiTheme="minorHAnsi" w:hAnsiTheme="minorHAnsi" w:cstheme="minorHAnsi"/>
                <w:color w:val="FF0000"/>
                <w:sz w:val="22"/>
                <w:szCs w:val="22"/>
              </w:rPr>
              <w:t xml:space="preserve"> </w:t>
            </w:r>
          </w:p>
        </w:tc>
        <w:tc>
          <w:tcPr>
            <w:tcW w:w="1391" w:type="dxa"/>
            <w:shd w:val="clear" w:color="auto" w:fill="FFFFFF" w:themeFill="background1"/>
          </w:tcPr>
          <w:p w:rsidR="0037149D" w:rsidRDefault="0037149D" w:rsidP="0062598D">
            <w:pPr>
              <w:contextualSpacing/>
              <w:rPr>
                <w:rFonts w:cstheme="minorHAnsi"/>
              </w:rPr>
            </w:pPr>
            <w:r>
              <w:rPr>
                <w:rFonts w:cstheme="minorHAnsi"/>
              </w:rPr>
              <w:t>Unknown</w:t>
            </w:r>
          </w:p>
        </w:tc>
      </w:tr>
      <w:tr w:rsidR="0037149D" w:rsidTr="00B8321E">
        <w:tc>
          <w:tcPr>
            <w:tcW w:w="918" w:type="dxa"/>
            <w:vMerge/>
            <w:shd w:val="clear" w:color="auto" w:fill="FFFFFF" w:themeFill="background1"/>
          </w:tcPr>
          <w:p w:rsidR="0037149D" w:rsidRPr="008C6988" w:rsidRDefault="0037149D" w:rsidP="0062598D">
            <w:pPr>
              <w:contextualSpacing/>
              <w:rPr>
                <w:rFonts w:cstheme="minorHAnsi"/>
              </w:rPr>
            </w:pPr>
          </w:p>
        </w:tc>
        <w:tc>
          <w:tcPr>
            <w:tcW w:w="7267" w:type="dxa"/>
            <w:shd w:val="clear" w:color="auto" w:fill="FFFFFF" w:themeFill="background1"/>
          </w:tcPr>
          <w:p w:rsidR="0037149D" w:rsidRPr="00B61968" w:rsidRDefault="0037149D" w:rsidP="004A076E">
            <w:pPr>
              <w:pStyle w:val="Default"/>
              <w:rPr>
                <w:rFonts w:asciiTheme="minorHAnsi" w:hAnsiTheme="minorHAnsi" w:cstheme="minorHAnsi"/>
                <w:color w:val="auto"/>
                <w:sz w:val="22"/>
                <w:szCs w:val="22"/>
              </w:rPr>
            </w:pPr>
            <w:r w:rsidRPr="00B61968">
              <w:rPr>
                <w:rFonts w:asciiTheme="minorHAnsi" w:hAnsiTheme="minorHAnsi" w:cstheme="minorHAnsi"/>
                <w:color w:val="FF0000"/>
                <w:sz w:val="22"/>
                <w:szCs w:val="22"/>
              </w:rPr>
              <w:t>x</w:t>
            </w:r>
            <w:r w:rsidRPr="00B61968">
              <w:rPr>
                <w:rFonts w:asciiTheme="minorHAnsi" w:hAnsiTheme="minorHAnsi" w:cstheme="minorHAnsi"/>
                <w:color w:val="auto"/>
                <w:sz w:val="22"/>
                <w:szCs w:val="22"/>
              </w:rPr>
              <w:t xml:space="preserve">% of jurisdictions identify, promote and incentivize the redevelopment of </w:t>
            </w:r>
            <w:r>
              <w:rPr>
                <w:rFonts w:asciiTheme="minorHAnsi" w:hAnsiTheme="minorHAnsi" w:cstheme="minorHAnsi"/>
                <w:color w:val="auto"/>
                <w:sz w:val="22"/>
                <w:szCs w:val="22"/>
              </w:rPr>
              <w:t xml:space="preserve">greyfield </w:t>
            </w:r>
            <w:r w:rsidRPr="00B61968">
              <w:rPr>
                <w:rFonts w:asciiTheme="minorHAnsi" w:hAnsiTheme="minorHAnsi" w:cstheme="minorHAnsi"/>
                <w:color w:val="auto"/>
                <w:sz w:val="22"/>
                <w:szCs w:val="22"/>
              </w:rPr>
              <w:t>sites</w:t>
            </w:r>
            <w:r>
              <w:rPr>
                <w:rFonts w:asciiTheme="minorHAnsi" w:hAnsiTheme="minorHAnsi" w:cstheme="minorHAnsi"/>
                <w:color w:val="auto"/>
                <w:sz w:val="22"/>
                <w:szCs w:val="22"/>
              </w:rPr>
              <w:t xml:space="preserve"> in regional activity centers</w:t>
            </w:r>
            <w:r w:rsidRPr="00B61968">
              <w:rPr>
                <w:rFonts w:asciiTheme="minorHAnsi" w:hAnsiTheme="minorHAnsi" w:cstheme="minorHAnsi"/>
                <w:color w:val="auto"/>
                <w:sz w:val="22"/>
                <w:szCs w:val="22"/>
              </w:rPr>
              <w:t>.</w:t>
            </w:r>
          </w:p>
        </w:tc>
        <w:tc>
          <w:tcPr>
            <w:tcW w:w="1391" w:type="dxa"/>
            <w:shd w:val="clear" w:color="auto" w:fill="FFFFFF" w:themeFill="background1"/>
          </w:tcPr>
          <w:p w:rsidR="0037149D" w:rsidRPr="008C6988" w:rsidRDefault="0037149D" w:rsidP="0062598D">
            <w:pPr>
              <w:contextualSpacing/>
              <w:rPr>
                <w:rFonts w:cstheme="minorHAnsi"/>
              </w:rPr>
            </w:pPr>
            <w:r>
              <w:rPr>
                <w:rFonts w:cstheme="minorHAnsi"/>
              </w:rPr>
              <w:t>Unknown</w:t>
            </w:r>
          </w:p>
        </w:tc>
      </w:tr>
      <w:tr w:rsidR="0037149D" w:rsidTr="00B8321E">
        <w:tc>
          <w:tcPr>
            <w:tcW w:w="918" w:type="dxa"/>
            <w:vMerge/>
            <w:shd w:val="clear" w:color="auto" w:fill="FFFFFF" w:themeFill="background1"/>
          </w:tcPr>
          <w:p w:rsidR="0037149D" w:rsidRPr="008C6988" w:rsidRDefault="0037149D" w:rsidP="0062598D">
            <w:pPr>
              <w:contextualSpacing/>
              <w:rPr>
                <w:rFonts w:cstheme="minorHAnsi"/>
              </w:rPr>
            </w:pPr>
          </w:p>
        </w:tc>
        <w:tc>
          <w:tcPr>
            <w:tcW w:w="7267" w:type="dxa"/>
            <w:shd w:val="clear" w:color="auto" w:fill="FFFFFF" w:themeFill="background1"/>
          </w:tcPr>
          <w:p w:rsidR="0037149D" w:rsidRPr="00B61968" w:rsidRDefault="0037149D" w:rsidP="004A076E">
            <w:pPr>
              <w:pStyle w:val="Default"/>
              <w:rPr>
                <w:rFonts w:asciiTheme="minorHAnsi" w:hAnsiTheme="minorHAnsi" w:cstheme="minorHAnsi"/>
                <w:color w:val="FF0000"/>
                <w:sz w:val="22"/>
                <w:szCs w:val="22"/>
              </w:rPr>
            </w:pPr>
            <w:r w:rsidRPr="00B61968">
              <w:rPr>
                <w:rFonts w:asciiTheme="minorHAnsi" w:hAnsiTheme="minorHAnsi" w:cstheme="minorHAnsi"/>
                <w:color w:val="FF0000"/>
                <w:sz w:val="22"/>
                <w:szCs w:val="22"/>
              </w:rPr>
              <w:t>x</w:t>
            </w:r>
            <w:r w:rsidRPr="00B61968">
              <w:rPr>
                <w:rFonts w:asciiTheme="minorHAnsi" w:hAnsiTheme="minorHAnsi" w:cstheme="minorHAnsi"/>
                <w:color w:val="auto"/>
                <w:sz w:val="22"/>
                <w:szCs w:val="22"/>
              </w:rPr>
              <w:t xml:space="preserve">% of jurisdictions identify, promote and incentivize the redevelopment of brownfield </w:t>
            </w:r>
            <w:r>
              <w:rPr>
                <w:rFonts w:asciiTheme="minorHAnsi" w:hAnsiTheme="minorHAnsi" w:cstheme="minorHAnsi"/>
                <w:color w:val="auto"/>
                <w:sz w:val="22"/>
                <w:szCs w:val="22"/>
              </w:rPr>
              <w:t xml:space="preserve">sites </w:t>
            </w:r>
            <w:r w:rsidRPr="00B61968">
              <w:rPr>
                <w:rFonts w:asciiTheme="minorHAnsi" w:hAnsiTheme="minorHAnsi" w:cstheme="minorHAnsi"/>
                <w:color w:val="auto"/>
                <w:sz w:val="22"/>
                <w:szCs w:val="22"/>
              </w:rPr>
              <w:t xml:space="preserve">and </w:t>
            </w:r>
            <w:r>
              <w:rPr>
                <w:rFonts w:asciiTheme="minorHAnsi" w:hAnsiTheme="minorHAnsi" w:cstheme="minorHAnsi"/>
                <w:color w:val="auto"/>
                <w:sz w:val="22"/>
                <w:szCs w:val="22"/>
              </w:rPr>
              <w:t>otherwise contaminated</w:t>
            </w:r>
            <w:r w:rsidRPr="00B61968">
              <w:rPr>
                <w:rFonts w:asciiTheme="minorHAnsi" w:hAnsiTheme="minorHAnsi" w:cstheme="minorHAnsi"/>
                <w:color w:val="auto"/>
                <w:sz w:val="22"/>
                <w:szCs w:val="22"/>
              </w:rPr>
              <w:t xml:space="preserve"> </w:t>
            </w:r>
            <w:r>
              <w:rPr>
                <w:rFonts w:asciiTheme="minorHAnsi" w:hAnsiTheme="minorHAnsi" w:cstheme="minorHAnsi"/>
                <w:color w:val="auto"/>
                <w:sz w:val="22"/>
                <w:szCs w:val="22"/>
              </w:rPr>
              <w:t>lands (such as leaking underground storage tanks)</w:t>
            </w:r>
            <w:r w:rsidRPr="00B61968">
              <w:rPr>
                <w:rFonts w:asciiTheme="minorHAnsi" w:hAnsiTheme="minorHAnsi" w:cstheme="minorHAnsi"/>
                <w:color w:val="auto"/>
                <w:sz w:val="22"/>
                <w:szCs w:val="22"/>
              </w:rPr>
              <w:t>.</w:t>
            </w:r>
          </w:p>
        </w:tc>
        <w:tc>
          <w:tcPr>
            <w:tcW w:w="1391" w:type="dxa"/>
            <w:shd w:val="clear" w:color="auto" w:fill="FFFFFF" w:themeFill="background1"/>
          </w:tcPr>
          <w:p w:rsidR="0037149D" w:rsidRDefault="0037149D" w:rsidP="0062598D">
            <w:pPr>
              <w:contextualSpacing/>
              <w:rPr>
                <w:rFonts w:cstheme="minorHAnsi"/>
              </w:rPr>
            </w:pPr>
            <w:r>
              <w:rPr>
                <w:rFonts w:cstheme="minorHAnsi"/>
              </w:rPr>
              <w:t>Unknown</w:t>
            </w:r>
          </w:p>
        </w:tc>
      </w:tr>
      <w:tr w:rsidR="0037149D" w:rsidTr="00B8321E">
        <w:tc>
          <w:tcPr>
            <w:tcW w:w="918" w:type="dxa"/>
            <w:vMerge/>
            <w:shd w:val="clear" w:color="auto" w:fill="FFFFFF" w:themeFill="background1"/>
          </w:tcPr>
          <w:p w:rsidR="0037149D" w:rsidRPr="008C6988" w:rsidRDefault="0037149D" w:rsidP="0062598D">
            <w:pPr>
              <w:contextualSpacing/>
              <w:rPr>
                <w:rFonts w:cstheme="minorHAnsi"/>
              </w:rPr>
            </w:pPr>
          </w:p>
        </w:tc>
        <w:tc>
          <w:tcPr>
            <w:tcW w:w="7267" w:type="dxa"/>
            <w:shd w:val="clear" w:color="auto" w:fill="FFFFFF" w:themeFill="background1"/>
          </w:tcPr>
          <w:p w:rsidR="0037149D" w:rsidRPr="00B61968" w:rsidRDefault="0037149D" w:rsidP="009E6F9F">
            <w:pPr>
              <w:pStyle w:val="Default"/>
              <w:rPr>
                <w:rFonts w:asciiTheme="minorHAnsi" w:hAnsiTheme="minorHAnsi" w:cstheme="minorHAnsi"/>
                <w:color w:val="auto"/>
                <w:sz w:val="22"/>
                <w:szCs w:val="22"/>
              </w:rPr>
            </w:pPr>
            <w:r w:rsidRPr="00B61968">
              <w:rPr>
                <w:rFonts w:asciiTheme="minorHAnsi" w:hAnsiTheme="minorHAnsi" w:cstheme="minorHAnsi"/>
                <w:color w:val="FF0000"/>
                <w:sz w:val="22"/>
                <w:szCs w:val="22"/>
              </w:rPr>
              <w:t>x</w:t>
            </w:r>
            <w:r w:rsidRPr="00B61968">
              <w:rPr>
                <w:rFonts w:asciiTheme="minorHAnsi" w:hAnsiTheme="minorHAnsi" w:cstheme="minorHAnsi"/>
                <w:color w:val="auto"/>
                <w:sz w:val="22"/>
                <w:szCs w:val="22"/>
              </w:rPr>
              <w:t>% of jurisdictions have one or</w:t>
            </w:r>
            <w:r>
              <w:rPr>
                <w:rFonts w:asciiTheme="minorHAnsi" w:hAnsiTheme="minorHAnsi" w:cstheme="minorHAnsi"/>
                <w:color w:val="auto"/>
                <w:sz w:val="22"/>
                <w:szCs w:val="22"/>
              </w:rPr>
              <w:t xml:space="preserve"> more of its facility(ies) at a former greyfield, brownfield and/or otherwise contaminated site(s)</w:t>
            </w:r>
            <w:r w:rsidRPr="00B61968">
              <w:rPr>
                <w:rFonts w:asciiTheme="minorHAnsi" w:hAnsiTheme="minorHAnsi" w:cstheme="minorHAnsi"/>
                <w:color w:val="auto"/>
                <w:sz w:val="22"/>
                <w:szCs w:val="22"/>
              </w:rPr>
              <w:t>.</w:t>
            </w:r>
          </w:p>
        </w:tc>
        <w:tc>
          <w:tcPr>
            <w:tcW w:w="1391" w:type="dxa"/>
            <w:shd w:val="clear" w:color="auto" w:fill="FFFFFF" w:themeFill="background1"/>
          </w:tcPr>
          <w:p w:rsidR="0037149D" w:rsidRPr="008C6988" w:rsidRDefault="0037149D" w:rsidP="0062598D">
            <w:pPr>
              <w:contextualSpacing/>
              <w:rPr>
                <w:rFonts w:cstheme="minorHAnsi"/>
              </w:rPr>
            </w:pPr>
            <w:r>
              <w:rPr>
                <w:rFonts w:cstheme="minorHAnsi"/>
              </w:rPr>
              <w:t>Unknown</w:t>
            </w:r>
          </w:p>
        </w:tc>
      </w:tr>
      <w:tr w:rsidR="0037149D" w:rsidTr="00B8321E">
        <w:tc>
          <w:tcPr>
            <w:tcW w:w="918" w:type="dxa"/>
            <w:vMerge/>
            <w:shd w:val="clear" w:color="auto" w:fill="FFFFFF" w:themeFill="background1"/>
          </w:tcPr>
          <w:p w:rsidR="0037149D" w:rsidRPr="008C6988" w:rsidRDefault="0037149D" w:rsidP="0062598D">
            <w:pPr>
              <w:contextualSpacing/>
              <w:rPr>
                <w:rFonts w:cstheme="minorHAnsi"/>
              </w:rPr>
            </w:pPr>
          </w:p>
        </w:tc>
        <w:tc>
          <w:tcPr>
            <w:tcW w:w="7267" w:type="dxa"/>
            <w:shd w:val="clear" w:color="auto" w:fill="FFFFFF" w:themeFill="background1"/>
          </w:tcPr>
          <w:p w:rsidR="0037149D" w:rsidRPr="00B61968" w:rsidRDefault="0037149D" w:rsidP="0062598D">
            <w:pPr>
              <w:pStyle w:val="Default"/>
              <w:rPr>
                <w:rFonts w:asciiTheme="minorHAnsi" w:hAnsiTheme="minorHAnsi" w:cstheme="minorHAnsi"/>
                <w:color w:val="auto"/>
                <w:sz w:val="22"/>
                <w:szCs w:val="22"/>
              </w:rPr>
            </w:pPr>
            <w:r w:rsidRPr="00B61968">
              <w:rPr>
                <w:rFonts w:asciiTheme="minorHAnsi" w:hAnsiTheme="minorHAnsi" w:cstheme="minorHAnsi"/>
                <w:color w:val="FF0000"/>
                <w:sz w:val="22"/>
                <w:szCs w:val="22"/>
              </w:rPr>
              <w:t>x</w:t>
            </w:r>
            <w:r w:rsidRPr="00B61968">
              <w:rPr>
                <w:rFonts w:asciiTheme="minorHAnsi" w:hAnsiTheme="minorHAnsi" w:cstheme="minorHAnsi"/>
                <w:color w:val="auto"/>
                <w:sz w:val="22"/>
                <w:szCs w:val="22"/>
              </w:rPr>
              <w:t>% of jurisdictions allow for and encourage urban agriculture in zoning codes, where appropriate.</w:t>
            </w:r>
          </w:p>
        </w:tc>
        <w:tc>
          <w:tcPr>
            <w:tcW w:w="1391" w:type="dxa"/>
            <w:shd w:val="clear" w:color="auto" w:fill="FFFFFF" w:themeFill="background1"/>
          </w:tcPr>
          <w:p w:rsidR="0037149D" w:rsidRPr="008C6988" w:rsidRDefault="0037149D" w:rsidP="0062598D">
            <w:pPr>
              <w:contextualSpacing/>
              <w:rPr>
                <w:rFonts w:cstheme="minorHAnsi"/>
              </w:rPr>
            </w:pPr>
            <w:r>
              <w:rPr>
                <w:rFonts w:cstheme="minorHAnsi"/>
              </w:rPr>
              <w:t>Unknown</w:t>
            </w:r>
          </w:p>
        </w:tc>
      </w:tr>
      <w:tr w:rsidR="0037149D" w:rsidTr="00B8321E">
        <w:tc>
          <w:tcPr>
            <w:tcW w:w="918" w:type="dxa"/>
            <w:vMerge/>
            <w:shd w:val="clear" w:color="auto" w:fill="FFFFFF" w:themeFill="background1"/>
          </w:tcPr>
          <w:p w:rsidR="0037149D" w:rsidRPr="008C6988" w:rsidRDefault="0037149D" w:rsidP="0062598D">
            <w:pPr>
              <w:contextualSpacing/>
              <w:rPr>
                <w:rFonts w:cstheme="minorHAnsi"/>
              </w:rPr>
            </w:pPr>
          </w:p>
        </w:tc>
        <w:tc>
          <w:tcPr>
            <w:tcW w:w="7267" w:type="dxa"/>
            <w:shd w:val="clear" w:color="auto" w:fill="FFFFFF" w:themeFill="background1"/>
          </w:tcPr>
          <w:p w:rsidR="0037149D" w:rsidRPr="00B61968" w:rsidRDefault="0037149D" w:rsidP="008D38A4">
            <w:pPr>
              <w:pStyle w:val="Default"/>
              <w:rPr>
                <w:rFonts w:asciiTheme="minorHAnsi" w:hAnsiTheme="minorHAnsi" w:cstheme="minorHAnsi"/>
                <w:color w:val="auto"/>
                <w:sz w:val="22"/>
                <w:szCs w:val="22"/>
              </w:rPr>
            </w:pPr>
            <w:r w:rsidRPr="00B61968">
              <w:rPr>
                <w:rFonts w:asciiTheme="minorHAnsi" w:hAnsiTheme="minorHAnsi" w:cstheme="minorHAnsi"/>
                <w:color w:val="FF0000"/>
                <w:sz w:val="22"/>
                <w:szCs w:val="22"/>
              </w:rPr>
              <w:t>x</w:t>
            </w:r>
            <w:r w:rsidRPr="00B61968">
              <w:rPr>
                <w:rFonts w:asciiTheme="minorHAnsi" w:hAnsiTheme="minorHAnsi" w:cstheme="minorHAnsi"/>
                <w:color w:val="auto"/>
                <w:sz w:val="22"/>
                <w:szCs w:val="22"/>
              </w:rPr>
              <w:t xml:space="preserve">% of jurisdictions adopt a land use </w:t>
            </w:r>
            <w:r>
              <w:rPr>
                <w:rFonts w:asciiTheme="minorHAnsi" w:hAnsiTheme="minorHAnsi" w:cstheme="minorHAnsi"/>
                <w:color w:val="auto"/>
                <w:sz w:val="22"/>
                <w:szCs w:val="22"/>
              </w:rPr>
              <w:t>plan and/</w:t>
            </w:r>
            <w:r w:rsidRPr="00B61968">
              <w:rPr>
                <w:rFonts w:asciiTheme="minorHAnsi" w:hAnsiTheme="minorHAnsi" w:cstheme="minorHAnsi"/>
                <w:color w:val="auto"/>
                <w:sz w:val="22"/>
                <w:szCs w:val="22"/>
              </w:rPr>
              <w:t>or development tool that preserves open space, farmland and forests.</w:t>
            </w:r>
            <w:r w:rsidR="008D38A4">
              <w:rPr>
                <w:rFonts w:asciiTheme="minorHAnsi" w:hAnsiTheme="minorHAnsi" w:cstheme="minorHAnsi"/>
                <w:color w:val="auto"/>
                <w:sz w:val="22"/>
                <w:szCs w:val="22"/>
              </w:rPr>
              <w:t xml:space="preserve"> (ex. Montgomery County Agricultural Reserve and Transfer of Development Rights)</w:t>
            </w:r>
          </w:p>
        </w:tc>
        <w:tc>
          <w:tcPr>
            <w:tcW w:w="1391" w:type="dxa"/>
            <w:shd w:val="clear" w:color="auto" w:fill="FFFFFF" w:themeFill="background1"/>
          </w:tcPr>
          <w:p w:rsidR="0037149D" w:rsidRPr="008C6988" w:rsidRDefault="0037149D" w:rsidP="0062598D">
            <w:pPr>
              <w:contextualSpacing/>
              <w:rPr>
                <w:rFonts w:cstheme="minorHAnsi"/>
              </w:rPr>
            </w:pPr>
            <w:r>
              <w:rPr>
                <w:rFonts w:cstheme="minorHAnsi"/>
              </w:rPr>
              <w:t>Unknown</w:t>
            </w:r>
          </w:p>
        </w:tc>
      </w:tr>
      <w:tr w:rsidR="00AE758B" w:rsidTr="00B8321E">
        <w:tc>
          <w:tcPr>
            <w:tcW w:w="918" w:type="dxa"/>
            <w:vMerge/>
            <w:shd w:val="clear" w:color="auto" w:fill="FFFFFF" w:themeFill="background1"/>
          </w:tcPr>
          <w:p w:rsidR="00AE758B" w:rsidRPr="008C6988" w:rsidRDefault="00AE758B" w:rsidP="0062598D">
            <w:pPr>
              <w:contextualSpacing/>
              <w:rPr>
                <w:rFonts w:cstheme="minorHAnsi"/>
              </w:rPr>
            </w:pPr>
          </w:p>
        </w:tc>
        <w:tc>
          <w:tcPr>
            <w:tcW w:w="7267" w:type="dxa"/>
            <w:shd w:val="clear" w:color="auto" w:fill="FFFFFF" w:themeFill="background1"/>
          </w:tcPr>
          <w:p w:rsidR="00AE758B" w:rsidRPr="00B61968" w:rsidRDefault="00AE758B" w:rsidP="0062598D">
            <w:pPr>
              <w:pStyle w:val="Default"/>
              <w:rPr>
                <w:rFonts w:asciiTheme="minorHAnsi" w:hAnsiTheme="minorHAnsi" w:cstheme="minorHAnsi"/>
                <w:color w:val="FF0000"/>
                <w:sz w:val="22"/>
                <w:szCs w:val="22"/>
              </w:rPr>
            </w:pPr>
            <w:r>
              <w:rPr>
                <w:rFonts w:asciiTheme="minorHAnsi" w:hAnsiTheme="minorHAnsi" w:cstheme="minorHAnsi"/>
                <w:color w:val="FF0000"/>
                <w:sz w:val="22"/>
                <w:szCs w:val="22"/>
              </w:rPr>
              <w:t>x</w:t>
            </w:r>
            <w:r w:rsidRPr="00491D5A">
              <w:rPr>
                <w:rFonts w:asciiTheme="minorHAnsi" w:hAnsiTheme="minorHAnsi" w:cstheme="minorHAnsi"/>
                <w:color w:val="auto"/>
                <w:sz w:val="22"/>
                <w:szCs w:val="22"/>
              </w:rPr>
              <w:t>% of jurisdictions</w:t>
            </w:r>
            <w:r>
              <w:rPr>
                <w:rFonts w:asciiTheme="minorHAnsi" w:hAnsiTheme="minorHAnsi" w:cstheme="minorHAnsi"/>
                <w:color w:val="auto"/>
                <w:sz w:val="22"/>
                <w:szCs w:val="22"/>
              </w:rPr>
              <w:t xml:space="preserve"> foster commercial farming by allowing community-supported farms, horticulture nurseries and greenhouses as principal or accessory uses in zoning code. </w:t>
            </w:r>
          </w:p>
        </w:tc>
        <w:tc>
          <w:tcPr>
            <w:tcW w:w="1391" w:type="dxa"/>
            <w:shd w:val="clear" w:color="auto" w:fill="FFFFFF" w:themeFill="background1"/>
          </w:tcPr>
          <w:p w:rsidR="00AE758B" w:rsidRDefault="00AE758B" w:rsidP="0062598D">
            <w:pPr>
              <w:contextualSpacing/>
              <w:rPr>
                <w:rFonts w:cstheme="minorHAnsi"/>
              </w:rPr>
            </w:pPr>
            <w:r>
              <w:rPr>
                <w:rFonts w:cstheme="minorHAnsi"/>
              </w:rPr>
              <w:t>Unknown</w:t>
            </w:r>
          </w:p>
        </w:tc>
      </w:tr>
      <w:tr w:rsidR="0037149D" w:rsidTr="00B8321E">
        <w:tc>
          <w:tcPr>
            <w:tcW w:w="918" w:type="dxa"/>
            <w:vMerge/>
            <w:shd w:val="clear" w:color="auto" w:fill="FFFFFF" w:themeFill="background1"/>
          </w:tcPr>
          <w:p w:rsidR="0037149D" w:rsidRPr="008C6988" w:rsidRDefault="0037149D" w:rsidP="0062598D">
            <w:pPr>
              <w:contextualSpacing/>
              <w:rPr>
                <w:rFonts w:cstheme="minorHAnsi"/>
              </w:rPr>
            </w:pPr>
          </w:p>
        </w:tc>
        <w:tc>
          <w:tcPr>
            <w:tcW w:w="7267" w:type="dxa"/>
            <w:shd w:val="clear" w:color="auto" w:fill="FFFFFF" w:themeFill="background1"/>
          </w:tcPr>
          <w:p w:rsidR="0037149D" w:rsidRPr="00B61968" w:rsidRDefault="0037149D" w:rsidP="00491D5A">
            <w:pPr>
              <w:pStyle w:val="Default"/>
              <w:rPr>
                <w:rFonts w:asciiTheme="minorHAnsi" w:hAnsiTheme="minorHAnsi" w:cstheme="minorHAnsi"/>
                <w:color w:val="FF0000"/>
                <w:sz w:val="22"/>
                <w:szCs w:val="22"/>
              </w:rPr>
            </w:pPr>
            <w:r>
              <w:rPr>
                <w:rFonts w:asciiTheme="minorHAnsi" w:hAnsiTheme="minorHAnsi" w:cstheme="minorHAnsi"/>
                <w:color w:val="FF0000"/>
                <w:sz w:val="22"/>
                <w:szCs w:val="22"/>
              </w:rPr>
              <w:t>x</w:t>
            </w:r>
            <w:r w:rsidRPr="00491D5A">
              <w:rPr>
                <w:rFonts w:asciiTheme="minorHAnsi" w:hAnsiTheme="minorHAnsi" w:cstheme="minorHAnsi"/>
                <w:color w:val="auto"/>
                <w:sz w:val="22"/>
                <w:szCs w:val="22"/>
              </w:rPr>
              <w:t>% of jurisdictions include incentives in zoning code to encourage fresh food markets (</w:t>
            </w:r>
            <w:r w:rsidR="003112BD" w:rsidRPr="00491D5A">
              <w:rPr>
                <w:rFonts w:asciiTheme="minorHAnsi" w:hAnsiTheme="minorHAnsi" w:cstheme="minorHAnsi"/>
                <w:color w:val="auto"/>
                <w:sz w:val="22"/>
                <w:szCs w:val="22"/>
              </w:rPr>
              <w:t>such as floor area, building height and parking requirement reduction incentives).</w:t>
            </w:r>
          </w:p>
        </w:tc>
        <w:tc>
          <w:tcPr>
            <w:tcW w:w="1391" w:type="dxa"/>
            <w:shd w:val="clear" w:color="auto" w:fill="FFFFFF" w:themeFill="background1"/>
          </w:tcPr>
          <w:p w:rsidR="0037149D" w:rsidRDefault="003112BD" w:rsidP="0062598D">
            <w:pPr>
              <w:contextualSpacing/>
              <w:rPr>
                <w:rFonts w:cstheme="minorHAnsi"/>
              </w:rPr>
            </w:pPr>
            <w:r>
              <w:rPr>
                <w:rFonts w:cstheme="minorHAnsi"/>
              </w:rPr>
              <w:t xml:space="preserve">Unknown </w:t>
            </w:r>
          </w:p>
        </w:tc>
      </w:tr>
    </w:tbl>
    <w:p w:rsidR="00E0586A" w:rsidRPr="00D15F8C" w:rsidRDefault="00E0586A" w:rsidP="0062598D">
      <w:pPr>
        <w:spacing w:after="0" w:line="240" w:lineRule="auto"/>
        <w:contextualSpacing/>
        <w:rPr>
          <w:rFonts w:cstheme="minorHAnsi"/>
          <w:sz w:val="18"/>
          <w:szCs w:val="18"/>
        </w:rPr>
      </w:pPr>
      <w:r w:rsidRPr="003304BC">
        <w:rPr>
          <w:rFonts w:cstheme="minorHAnsi"/>
        </w:rPr>
        <w:t>*</w:t>
      </w:r>
      <w:r w:rsidRPr="00FE0B91">
        <w:rPr>
          <w:rFonts w:cstheme="minorHAnsi"/>
          <w:sz w:val="18"/>
          <w:szCs w:val="18"/>
        </w:rPr>
        <w:t>The Status</w:t>
      </w:r>
      <w:r>
        <w:rPr>
          <w:rFonts w:cstheme="minorHAnsi"/>
        </w:rPr>
        <w:t xml:space="preserve"> i</w:t>
      </w:r>
      <w:r w:rsidRPr="00D15F8C">
        <w:rPr>
          <w:rFonts w:cstheme="minorHAnsi"/>
          <w:sz w:val="18"/>
          <w:szCs w:val="18"/>
        </w:rPr>
        <w:t xml:space="preserve">dentifies the goal as one of the following: </w:t>
      </w:r>
    </w:p>
    <w:p w:rsidR="00E0586A" w:rsidRPr="00D15F8C" w:rsidRDefault="00E0586A" w:rsidP="0062598D">
      <w:pPr>
        <w:pStyle w:val="ListParagraph"/>
        <w:numPr>
          <w:ilvl w:val="0"/>
          <w:numId w:val="42"/>
        </w:numPr>
        <w:contextualSpacing/>
        <w:rPr>
          <w:rFonts w:asciiTheme="minorHAnsi" w:hAnsiTheme="minorHAnsi" w:cstheme="minorHAnsi"/>
          <w:sz w:val="18"/>
          <w:szCs w:val="18"/>
        </w:rPr>
      </w:pPr>
      <w:r>
        <w:rPr>
          <w:rFonts w:asciiTheme="minorHAnsi" w:hAnsiTheme="minorHAnsi" w:cstheme="minorHAnsi"/>
          <w:sz w:val="18"/>
          <w:szCs w:val="18"/>
        </w:rPr>
        <w:lastRenderedPageBreak/>
        <w:t xml:space="preserve">Existing: </w:t>
      </w:r>
      <w:r w:rsidRPr="00D15F8C">
        <w:rPr>
          <w:rFonts w:asciiTheme="minorHAnsi" w:hAnsiTheme="minorHAnsi" w:cstheme="minorHAnsi"/>
          <w:sz w:val="18"/>
          <w:szCs w:val="18"/>
        </w:rPr>
        <w:t>The goal exists in the 2010-2012 Workplan and is proposed for the 2013–2016 Workplan</w:t>
      </w:r>
    </w:p>
    <w:p w:rsidR="00E0586A" w:rsidRPr="00D15F8C" w:rsidRDefault="00E0586A" w:rsidP="0062598D">
      <w:pPr>
        <w:pStyle w:val="ListParagraph"/>
        <w:numPr>
          <w:ilvl w:val="0"/>
          <w:numId w:val="42"/>
        </w:numPr>
        <w:contextualSpacing/>
        <w:rPr>
          <w:rFonts w:asciiTheme="minorHAnsi" w:hAnsiTheme="minorHAnsi" w:cstheme="minorHAnsi"/>
          <w:sz w:val="18"/>
          <w:szCs w:val="18"/>
        </w:rPr>
      </w:pPr>
      <w:r>
        <w:rPr>
          <w:rFonts w:asciiTheme="minorHAnsi" w:hAnsiTheme="minorHAnsi" w:cstheme="minorHAnsi"/>
          <w:sz w:val="18"/>
          <w:szCs w:val="18"/>
        </w:rPr>
        <w:t xml:space="preserve">Revised: </w:t>
      </w:r>
      <w:r w:rsidRPr="00D15F8C">
        <w:rPr>
          <w:rFonts w:asciiTheme="minorHAnsi" w:hAnsiTheme="minorHAnsi" w:cstheme="minorHAnsi"/>
          <w:sz w:val="18"/>
          <w:szCs w:val="18"/>
        </w:rPr>
        <w:t>The goal exists in the 2010-2012 Workplan and a revision is proposed for the 2013–2016 Workplan</w:t>
      </w:r>
    </w:p>
    <w:p w:rsidR="00E0586A" w:rsidRPr="00D15F8C" w:rsidRDefault="00E0586A" w:rsidP="0062598D">
      <w:pPr>
        <w:pStyle w:val="ListParagraph"/>
        <w:numPr>
          <w:ilvl w:val="0"/>
          <w:numId w:val="42"/>
        </w:numPr>
        <w:contextualSpacing/>
        <w:rPr>
          <w:rFonts w:asciiTheme="minorHAnsi" w:hAnsiTheme="minorHAnsi" w:cstheme="minorHAnsi"/>
          <w:sz w:val="18"/>
          <w:szCs w:val="18"/>
        </w:rPr>
      </w:pPr>
      <w:r>
        <w:rPr>
          <w:rFonts w:asciiTheme="minorHAnsi" w:hAnsiTheme="minorHAnsi" w:cstheme="minorHAnsi"/>
          <w:sz w:val="18"/>
          <w:szCs w:val="18"/>
        </w:rPr>
        <w:t xml:space="preserve">New: </w:t>
      </w:r>
      <w:r w:rsidRPr="00D15F8C">
        <w:rPr>
          <w:rFonts w:asciiTheme="minorHAnsi" w:hAnsiTheme="minorHAnsi" w:cstheme="minorHAnsi"/>
          <w:sz w:val="18"/>
          <w:szCs w:val="18"/>
        </w:rPr>
        <w:t>The goal does not exist in the 2010–2012 Workplan and is prop</w:t>
      </w:r>
      <w:r>
        <w:rPr>
          <w:rFonts w:asciiTheme="minorHAnsi" w:hAnsiTheme="minorHAnsi" w:cstheme="minorHAnsi"/>
          <w:sz w:val="18"/>
          <w:szCs w:val="18"/>
        </w:rPr>
        <w:t>osed as a new goal for the 2013</w:t>
      </w:r>
      <w:r w:rsidRPr="00D15F8C">
        <w:rPr>
          <w:rFonts w:asciiTheme="minorHAnsi" w:hAnsiTheme="minorHAnsi" w:cstheme="minorHAnsi"/>
          <w:sz w:val="18"/>
          <w:szCs w:val="18"/>
        </w:rPr>
        <w:t>–2016 Workplan</w:t>
      </w:r>
    </w:p>
    <w:p w:rsidR="00E0586A" w:rsidRPr="009C66CB" w:rsidRDefault="00E0586A" w:rsidP="0062598D">
      <w:pPr>
        <w:pStyle w:val="Default"/>
        <w:rPr>
          <w:rFonts w:asciiTheme="minorHAnsi" w:hAnsiTheme="minorHAnsi" w:cstheme="minorHAnsi"/>
          <w:color w:val="auto"/>
          <w:sz w:val="22"/>
          <w:szCs w:val="22"/>
        </w:rPr>
      </w:pPr>
    </w:p>
    <w:p w:rsidR="00E0586A" w:rsidRDefault="00E0586A" w:rsidP="0062598D">
      <w:pPr>
        <w:pStyle w:val="Default"/>
        <w:rPr>
          <w:rFonts w:asciiTheme="minorHAnsi" w:hAnsiTheme="minorHAnsi" w:cstheme="minorHAnsi"/>
          <w:color w:val="auto"/>
          <w:sz w:val="22"/>
          <w:szCs w:val="22"/>
        </w:rPr>
      </w:pPr>
      <w:r w:rsidRPr="006B2212">
        <w:rPr>
          <w:rFonts w:asciiTheme="minorHAnsi" w:hAnsiTheme="minorHAnsi" w:cstheme="minorHAnsi"/>
          <w:color w:val="auto"/>
          <w:sz w:val="22"/>
          <w:szCs w:val="22"/>
        </w:rPr>
        <w:t xml:space="preserve">The </w:t>
      </w:r>
      <w:r w:rsidR="00E67B8B">
        <w:rPr>
          <w:rFonts w:asciiTheme="minorHAnsi" w:hAnsiTheme="minorHAnsi" w:cstheme="minorHAnsi"/>
          <w:color w:val="auto"/>
          <w:sz w:val="22"/>
          <w:szCs w:val="22"/>
        </w:rPr>
        <w:t>land use</w:t>
      </w:r>
      <w:r w:rsidRPr="006B2212">
        <w:rPr>
          <w:rFonts w:asciiTheme="minorHAnsi" w:hAnsiTheme="minorHAnsi" w:cstheme="minorHAnsi"/>
          <w:color w:val="auto"/>
          <w:sz w:val="22"/>
          <w:szCs w:val="22"/>
        </w:rPr>
        <w:t xml:space="preserve"> goals in the </w:t>
      </w:r>
      <w:r>
        <w:rPr>
          <w:rFonts w:asciiTheme="minorHAnsi" w:hAnsiTheme="minorHAnsi" w:cstheme="minorHAnsi"/>
          <w:color w:val="auto"/>
          <w:sz w:val="22"/>
          <w:szCs w:val="22"/>
        </w:rPr>
        <w:t xml:space="preserve">short-term CEEPC </w:t>
      </w:r>
      <w:r w:rsidRPr="006B2212">
        <w:rPr>
          <w:rFonts w:asciiTheme="minorHAnsi" w:hAnsiTheme="minorHAnsi" w:cstheme="minorHAnsi"/>
          <w:color w:val="auto"/>
          <w:sz w:val="22"/>
          <w:szCs w:val="22"/>
        </w:rPr>
        <w:t xml:space="preserve">Workplan are designed to assist the region meet the following long-term </w:t>
      </w:r>
      <w:r w:rsidRPr="00014E6D">
        <w:rPr>
          <w:rFonts w:asciiTheme="minorHAnsi" w:hAnsiTheme="minorHAnsi" w:cstheme="minorHAnsi"/>
          <w:i/>
          <w:color w:val="auto"/>
          <w:sz w:val="22"/>
          <w:szCs w:val="22"/>
        </w:rPr>
        <w:t>Region Forward</w:t>
      </w:r>
      <w:r w:rsidR="00014E6D" w:rsidRPr="00014E6D">
        <w:rPr>
          <w:rFonts w:asciiTheme="minorHAnsi" w:hAnsiTheme="minorHAnsi" w:cstheme="minorHAnsi"/>
          <w:color w:val="auto"/>
          <w:sz w:val="22"/>
          <w:szCs w:val="22"/>
        </w:rPr>
        <w:t xml:space="preserve"> t</w:t>
      </w:r>
      <w:r w:rsidRPr="00014E6D">
        <w:rPr>
          <w:rFonts w:asciiTheme="minorHAnsi" w:hAnsiTheme="minorHAnsi" w:cstheme="minorHAnsi"/>
          <w:color w:val="auto"/>
          <w:sz w:val="22"/>
          <w:szCs w:val="22"/>
        </w:rPr>
        <w:t>arget</w:t>
      </w:r>
      <w:r w:rsidRPr="006B2212">
        <w:rPr>
          <w:rFonts w:asciiTheme="minorHAnsi" w:hAnsiTheme="minorHAnsi" w:cstheme="minorHAnsi"/>
          <w:color w:val="auto"/>
          <w:sz w:val="22"/>
          <w:szCs w:val="22"/>
        </w:rPr>
        <w:t xml:space="preserve">s: </w:t>
      </w:r>
    </w:p>
    <w:p w:rsidR="003E5B92" w:rsidRPr="003E5B92" w:rsidRDefault="003E5B92" w:rsidP="0062598D">
      <w:pPr>
        <w:pStyle w:val="Default"/>
        <w:rPr>
          <w:rFonts w:asciiTheme="minorHAnsi" w:hAnsiTheme="minorHAnsi" w:cstheme="minorHAnsi"/>
          <w:color w:val="auto"/>
          <w:sz w:val="22"/>
          <w:szCs w:val="22"/>
        </w:rPr>
      </w:pPr>
    </w:p>
    <w:tbl>
      <w:tblPr>
        <w:tblStyle w:val="TableGrid"/>
        <w:tblW w:w="0" w:type="auto"/>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tblLook w:val="04A0"/>
      </w:tblPr>
      <w:tblGrid>
        <w:gridCol w:w="9558"/>
      </w:tblGrid>
      <w:tr w:rsidR="00E0586A" w:rsidRPr="00436A4F" w:rsidTr="00B8321E">
        <w:tc>
          <w:tcPr>
            <w:tcW w:w="9558" w:type="dxa"/>
            <w:shd w:val="clear" w:color="auto" w:fill="C4BC96" w:themeFill="background2" w:themeFillShade="BF"/>
          </w:tcPr>
          <w:p w:rsidR="00E0586A" w:rsidRPr="00014E6D" w:rsidRDefault="00E0586A" w:rsidP="0062598D">
            <w:pPr>
              <w:contextualSpacing/>
              <w:rPr>
                <w:rFonts w:cstheme="minorHAnsi"/>
                <w:b/>
                <w:color w:val="4A442A" w:themeColor="background2" w:themeShade="40"/>
              </w:rPr>
            </w:pPr>
            <w:r w:rsidRPr="00014E6D">
              <w:rPr>
                <w:rFonts w:cstheme="minorHAnsi"/>
                <w:b/>
                <w:i/>
                <w:color w:val="4A442A" w:themeColor="background2" w:themeShade="40"/>
              </w:rPr>
              <w:t>Region Forward</w:t>
            </w:r>
            <w:r w:rsidRPr="00014E6D">
              <w:rPr>
                <w:rFonts w:cstheme="minorHAnsi"/>
                <w:b/>
                <w:color w:val="4A442A" w:themeColor="background2" w:themeShade="40"/>
              </w:rPr>
              <w:t xml:space="preserve"> Target</w:t>
            </w:r>
          </w:p>
        </w:tc>
      </w:tr>
      <w:tr w:rsidR="00E0586A" w:rsidTr="00B8321E">
        <w:tc>
          <w:tcPr>
            <w:tcW w:w="9558" w:type="dxa"/>
          </w:tcPr>
          <w:p w:rsidR="00E0586A" w:rsidRDefault="00E0586A" w:rsidP="0062598D">
            <w:pPr>
              <w:pStyle w:val="Default"/>
              <w:rPr>
                <w:rFonts w:cstheme="minorHAnsi"/>
              </w:rPr>
            </w:pPr>
            <w:r w:rsidRPr="009C66CB">
              <w:rPr>
                <w:rFonts w:asciiTheme="minorHAnsi" w:hAnsiTheme="minorHAnsi" w:cstheme="minorHAnsi"/>
                <w:color w:val="auto"/>
                <w:sz w:val="22"/>
                <w:szCs w:val="22"/>
              </w:rPr>
              <w:t xml:space="preserve">By 2020, reduce regional GHG by 20% below 2005 levels and by 2050, reduce regional GHG emissions by 80% below 2005 levels. </w:t>
            </w:r>
          </w:p>
        </w:tc>
      </w:tr>
      <w:tr w:rsidR="00E0586A" w:rsidTr="00B8321E">
        <w:tc>
          <w:tcPr>
            <w:tcW w:w="9558" w:type="dxa"/>
          </w:tcPr>
          <w:p w:rsidR="00E0586A" w:rsidRPr="00E0586A" w:rsidRDefault="00E0586A"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Beginning in 2012, capture 75% of the square footage of new commercial construction and 50% of new households in Regional Activity Centers. </w:t>
            </w:r>
          </w:p>
        </w:tc>
      </w:tr>
      <w:tr w:rsidR="00E0586A" w:rsidTr="00B8321E">
        <w:tc>
          <w:tcPr>
            <w:tcW w:w="9558" w:type="dxa"/>
          </w:tcPr>
          <w:p w:rsidR="00E0586A" w:rsidRPr="00E0586A" w:rsidRDefault="00E0586A"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By 2020, all new residential and commercial buildings will be built using sustainable design practices equivalent to LEED Silver Standards.  </w:t>
            </w:r>
          </w:p>
        </w:tc>
      </w:tr>
      <w:tr w:rsidR="00E0586A" w:rsidTr="00B8321E">
        <w:tc>
          <w:tcPr>
            <w:tcW w:w="9558" w:type="dxa"/>
          </w:tcPr>
          <w:p w:rsidR="00E0586A" w:rsidRPr="00E0586A" w:rsidRDefault="00E0586A"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Increase the rate of bicycle and pedestrian construction. </w:t>
            </w:r>
          </w:p>
        </w:tc>
      </w:tr>
      <w:tr w:rsidR="00E0586A" w:rsidTr="00B8321E">
        <w:tc>
          <w:tcPr>
            <w:tcW w:w="9558" w:type="dxa"/>
          </w:tcPr>
          <w:p w:rsidR="00E0586A" w:rsidRPr="00E0586A" w:rsidRDefault="00E0586A"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Reduce pedestrian and bicycle fatalities across the region. </w:t>
            </w:r>
          </w:p>
        </w:tc>
      </w:tr>
      <w:tr w:rsidR="00E0586A" w:rsidTr="00B8321E">
        <w:tc>
          <w:tcPr>
            <w:tcW w:w="9558" w:type="dxa"/>
          </w:tcPr>
          <w:p w:rsidR="00E0586A" w:rsidRPr="00E0586A" w:rsidRDefault="00E0586A"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All regional activity centers will have transit access</w:t>
            </w:r>
          </w:p>
        </w:tc>
      </w:tr>
      <w:tr w:rsidR="00E0586A" w:rsidRPr="00E0586A" w:rsidTr="00B8321E">
        <w:tc>
          <w:tcPr>
            <w:tcW w:w="9558" w:type="dxa"/>
          </w:tcPr>
          <w:p w:rsidR="00E0586A" w:rsidRPr="00E0586A" w:rsidRDefault="00E0586A"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By 2050, 50% of all sentinel watersheds will be in good or excellent condition. </w:t>
            </w:r>
          </w:p>
        </w:tc>
      </w:tr>
      <w:tr w:rsidR="00E0586A" w:rsidRPr="00E0586A" w:rsidTr="00B8321E">
        <w:tc>
          <w:tcPr>
            <w:tcW w:w="9558" w:type="dxa"/>
          </w:tcPr>
          <w:p w:rsidR="00E0586A" w:rsidRPr="00E0586A" w:rsidRDefault="00E0586A" w:rsidP="006259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Beginning in 2012, the region will maintain more than 450,000 acres of agriculture land in farms. </w:t>
            </w:r>
          </w:p>
        </w:tc>
      </w:tr>
    </w:tbl>
    <w:p w:rsidR="003C6F97" w:rsidRPr="004E4F35" w:rsidRDefault="003C6F97" w:rsidP="0062598D">
      <w:pPr>
        <w:spacing w:after="0" w:line="240" w:lineRule="auto"/>
        <w:rPr>
          <w:rFonts w:cstheme="minorHAnsi"/>
          <w:color w:val="1F497D" w:themeColor="text2"/>
          <w:u w:val="single"/>
        </w:rPr>
      </w:pPr>
    </w:p>
    <w:p w:rsidR="001262A5" w:rsidRDefault="001262A5" w:rsidP="001262A5">
      <w:pPr>
        <w:spacing w:after="0" w:line="240" w:lineRule="auto"/>
        <w:jc w:val="center"/>
        <w:rPr>
          <w:rFonts w:cstheme="minorHAnsi"/>
          <w:b/>
          <w:color w:val="4F6228" w:themeColor="accent3" w:themeShade="80"/>
        </w:rPr>
      </w:pPr>
    </w:p>
    <w:p w:rsidR="001262A5" w:rsidRDefault="001262A5" w:rsidP="001262A5">
      <w:pPr>
        <w:spacing w:after="0" w:line="240" w:lineRule="auto"/>
        <w:jc w:val="center"/>
        <w:rPr>
          <w:rFonts w:cstheme="minorHAnsi"/>
          <w:b/>
          <w:color w:val="4F6228" w:themeColor="accent3" w:themeShade="80"/>
        </w:rPr>
      </w:pPr>
    </w:p>
    <w:p w:rsidR="001262A5" w:rsidRDefault="001262A5" w:rsidP="001262A5">
      <w:pPr>
        <w:spacing w:after="0" w:line="240" w:lineRule="auto"/>
        <w:jc w:val="center"/>
        <w:rPr>
          <w:rFonts w:cstheme="minorHAnsi"/>
          <w:b/>
          <w:color w:val="4F6228" w:themeColor="accent3" w:themeShade="80"/>
        </w:rPr>
      </w:pPr>
    </w:p>
    <w:p w:rsidR="001262A5" w:rsidRDefault="001262A5" w:rsidP="001262A5">
      <w:pPr>
        <w:spacing w:after="0" w:line="240" w:lineRule="auto"/>
        <w:jc w:val="center"/>
        <w:rPr>
          <w:rFonts w:cstheme="minorHAnsi"/>
          <w:b/>
          <w:color w:val="4F6228" w:themeColor="accent3" w:themeShade="80"/>
        </w:rPr>
      </w:pPr>
    </w:p>
    <w:p w:rsidR="001262A5" w:rsidRDefault="001262A5" w:rsidP="001262A5">
      <w:pPr>
        <w:spacing w:after="0" w:line="240" w:lineRule="auto"/>
        <w:jc w:val="center"/>
        <w:rPr>
          <w:rFonts w:cstheme="minorHAnsi"/>
          <w:b/>
          <w:color w:val="4F6228" w:themeColor="accent3" w:themeShade="80"/>
        </w:rPr>
      </w:pPr>
    </w:p>
    <w:sectPr w:rsidR="001262A5" w:rsidSect="003F50DE">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981" w:rsidRDefault="00AC5981" w:rsidP="008C411F">
      <w:pPr>
        <w:spacing w:after="0" w:line="240" w:lineRule="auto"/>
      </w:pPr>
      <w:r>
        <w:separator/>
      </w:r>
    </w:p>
  </w:endnote>
  <w:endnote w:type="continuationSeparator" w:id="0">
    <w:p w:rsidR="00AC5981" w:rsidRDefault="00AC5981" w:rsidP="008C41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981" w:rsidRDefault="00AC5981" w:rsidP="008C411F">
      <w:pPr>
        <w:spacing w:after="0" w:line="240" w:lineRule="auto"/>
      </w:pPr>
      <w:r>
        <w:separator/>
      </w:r>
    </w:p>
  </w:footnote>
  <w:footnote w:type="continuationSeparator" w:id="0">
    <w:p w:rsidR="00AC5981" w:rsidRDefault="00AC5981" w:rsidP="008C41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981" w:rsidRPr="00C44D21" w:rsidRDefault="00AC5981" w:rsidP="00C44D21">
    <w:pPr>
      <w:pStyle w:val="Header"/>
    </w:pPr>
    <w:r w:rsidRPr="00C17B90">
      <w:rPr>
        <w:i/>
      </w:rPr>
      <w:t xml:space="preserve">DRAFT </w:t>
    </w:r>
    <w:r w:rsidR="00014E6D">
      <w:tab/>
    </w:r>
    <w:r w:rsidR="00014E6D">
      <w:tab/>
    </w:r>
    <w:r w:rsidR="004529DA">
      <w:t>September 4</w:t>
    </w:r>
    <w:r>
      <w:t>,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4047"/>
    <w:multiLevelType w:val="hybridMultilevel"/>
    <w:tmpl w:val="59E632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D55C2C"/>
    <w:multiLevelType w:val="hybridMultilevel"/>
    <w:tmpl w:val="826A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507AF"/>
    <w:multiLevelType w:val="hybridMultilevel"/>
    <w:tmpl w:val="BECE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F7289"/>
    <w:multiLevelType w:val="hybridMultilevel"/>
    <w:tmpl w:val="E0C43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55B5D"/>
    <w:multiLevelType w:val="hybridMultilevel"/>
    <w:tmpl w:val="047EADE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0ECD095E"/>
    <w:multiLevelType w:val="hybridMultilevel"/>
    <w:tmpl w:val="475A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10239"/>
    <w:multiLevelType w:val="hybridMultilevel"/>
    <w:tmpl w:val="0ED6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1707D"/>
    <w:multiLevelType w:val="hybridMultilevel"/>
    <w:tmpl w:val="8124E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672ED7"/>
    <w:multiLevelType w:val="hybridMultilevel"/>
    <w:tmpl w:val="5A8AF8F4"/>
    <w:lvl w:ilvl="0" w:tplc="9A60DE3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6E4E13"/>
    <w:multiLevelType w:val="hybridMultilevel"/>
    <w:tmpl w:val="DFA0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3D784E"/>
    <w:multiLevelType w:val="hybridMultilevel"/>
    <w:tmpl w:val="2A124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5D2CFE"/>
    <w:multiLevelType w:val="hybridMultilevel"/>
    <w:tmpl w:val="9A96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612632"/>
    <w:multiLevelType w:val="hybridMultilevel"/>
    <w:tmpl w:val="0474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9A1866"/>
    <w:multiLevelType w:val="hybridMultilevel"/>
    <w:tmpl w:val="C96830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260601"/>
    <w:multiLevelType w:val="hybridMultilevel"/>
    <w:tmpl w:val="2456842C"/>
    <w:lvl w:ilvl="0" w:tplc="2F06512A">
      <w:start w:val="29"/>
      <w:numFmt w:val="bullet"/>
      <w:lvlText w:val="-"/>
      <w:lvlJc w:val="left"/>
      <w:pPr>
        <w:ind w:left="390" w:hanging="360"/>
      </w:pPr>
      <w:rPr>
        <w:rFonts w:ascii="Calibri" w:eastAsiaTheme="minorHAns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5">
    <w:nsid w:val="3B277756"/>
    <w:multiLevelType w:val="hybridMultilevel"/>
    <w:tmpl w:val="B1EE779A"/>
    <w:lvl w:ilvl="0" w:tplc="F5EACA20">
      <w:numFmt w:val="bullet"/>
      <w:lvlText w:val="-"/>
      <w:lvlJc w:val="left"/>
      <w:pPr>
        <w:ind w:left="390" w:hanging="360"/>
      </w:pPr>
      <w:rPr>
        <w:rFonts w:ascii="Calibri" w:eastAsiaTheme="minorHAns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6">
    <w:nsid w:val="3DB75F5F"/>
    <w:multiLevelType w:val="hybridMultilevel"/>
    <w:tmpl w:val="2D882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DC730B"/>
    <w:multiLevelType w:val="hybridMultilevel"/>
    <w:tmpl w:val="3932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5E2000"/>
    <w:multiLevelType w:val="hybridMultilevel"/>
    <w:tmpl w:val="B024E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990E42"/>
    <w:multiLevelType w:val="hybridMultilevel"/>
    <w:tmpl w:val="5F22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312466"/>
    <w:multiLevelType w:val="hybridMultilevel"/>
    <w:tmpl w:val="ED8E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612F65"/>
    <w:multiLevelType w:val="hybridMultilevel"/>
    <w:tmpl w:val="93440A7C"/>
    <w:lvl w:ilvl="0" w:tplc="B220E91E">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042877"/>
    <w:multiLevelType w:val="hybridMultilevel"/>
    <w:tmpl w:val="3E48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B04F6"/>
    <w:multiLevelType w:val="hybridMultilevel"/>
    <w:tmpl w:val="06BE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134ED8"/>
    <w:multiLevelType w:val="hybridMultilevel"/>
    <w:tmpl w:val="EB76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784DD2"/>
    <w:multiLevelType w:val="hybridMultilevel"/>
    <w:tmpl w:val="906AD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8B6A68"/>
    <w:multiLevelType w:val="hybridMultilevel"/>
    <w:tmpl w:val="3D148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9B77A9D"/>
    <w:multiLevelType w:val="hybridMultilevel"/>
    <w:tmpl w:val="7B60B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11A7C16"/>
    <w:multiLevelType w:val="hybridMultilevel"/>
    <w:tmpl w:val="608C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831B63"/>
    <w:multiLevelType w:val="hybridMultilevel"/>
    <w:tmpl w:val="A628F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2F67C7"/>
    <w:multiLevelType w:val="hybridMultilevel"/>
    <w:tmpl w:val="05E0BE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67101F50"/>
    <w:multiLevelType w:val="hybridMultilevel"/>
    <w:tmpl w:val="0C14D6E8"/>
    <w:lvl w:ilvl="0" w:tplc="F7762E0C">
      <w:numFmt w:val="bullet"/>
      <w:lvlText w:val="-"/>
      <w:lvlJc w:val="left"/>
      <w:pPr>
        <w:ind w:left="390" w:hanging="360"/>
      </w:pPr>
      <w:rPr>
        <w:rFonts w:ascii="Calibri" w:eastAsiaTheme="minorHAns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2">
    <w:nsid w:val="6B7C4E5D"/>
    <w:multiLevelType w:val="hybridMultilevel"/>
    <w:tmpl w:val="E4C0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B092B"/>
    <w:multiLevelType w:val="hybridMultilevel"/>
    <w:tmpl w:val="B77A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912CA9"/>
    <w:multiLevelType w:val="hybridMultilevel"/>
    <w:tmpl w:val="04463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3096D62"/>
    <w:multiLevelType w:val="hybridMultilevel"/>
    <w:tmpl w:val="30467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F841F5"/>
    <w:multiLevelType w:val="hybridMultilevel"/>
    <w:tmpl w:val="06EAAF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AFC7BA8"/>
    <w:multiLevelType w:val="hybridMultilevel"/>
    <w:tmpl w:val="6B949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1F20E7"/>
    <w:multiLevelType w:val="hybridMultilevel"/>
    <w:tmpl w:val="C722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D73DDB"/>
    <w:multiLevelType w:val="hybridMultilevel"/>
    <w:tmpl w:val="808A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8D61F5"/>
    <w:multiLevelType w:val="hybridMultilevel"/>
    <w:tmpl w:val="9EFCD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E3578BD"/>
    <w:multiLevelType w:val="hybridMultilevel"/>
    <w:tmpl w:val="84BA3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0"/>
  </w:num>
  <w:num w:numId="3">
    <w:abstractNumId w:val="21"/>
  </w:num>
  <w:num w:numId="4">
    <w:abstractNumId w:val="39"/>
  </w:num>
  <w:num w:numId="5">
    <w:abstractNumId w:val="16"/>
  </w:num>
  <w:num w:numId="6">
    <w:abstractNumId w:val="10"/>
  </w:num>
  <w:num w:numId="7">
    <w:abstractNumId w:val="34"/>
  </w:num>
  <w:num w:numId="8">
    <w:abstractNumId w:val="41"/>
  </w:num>
  <w:num w:numId="9">
    <w:abstractNumId w:val="36"/>
  </w:num>
  <w:num w:numId="10">
    <w:abstractNumId w:val="27"/>
  </w:num>
  <w:num w:numId="11">
    <w:abstractNumId w:val="0"/>
  </w:num>
  <w:num w:numId="12">
    <w:abstractNumId w:val="37"/>
  </w:num>
  <w:num w:numId="13">
    <w:abstractNumId w:val="25"/>
  </w:num>
  <w:num w:numId="14">
    <w:abstractNumId w:val="29"/>
  </w:num>
  <w:num w:numId="15">
    <w:abstractNumId w:val="35"/>
  </w:num>
  <w:num w:numId="16">
    <w:abstractNumId w:val="18"/>
  </w:num>
  <w:num w:numId="17">
    <w:abstractNumId w:val="13"/>
  </w:num>
  <w:num w:numId="18">
    <w:abstractNumId w:val="40"/>
  </w:num>
  <w:num w:numId="19">
    <w:abstractNumId w:val="19"/>
  </w:num>
  <w:num w:numId="20">
    <w:abstractNumId w:val="31"/>
  </w:num>
  <w:num w:numId="21">
    <w:abstractNumId w:val="15"/>
  </w:num>
  <w:num w:numId="22">
    <w:abstractNumId w:val="8"/>
  </w:num>
  <w:num w:numId="23">
    <w:abstractNumId w:val="14"/>
  </w:num>
  <w:num w:numId="24">
    <w:abstractNumId w:val="5"/>
  </w:num>
  <w:num w:numId="25">
    <w:abstractNumId w:val="1"/>
  </w:num>
  <w:num w:numId="26">
    <w:abstractNumId w:val="28"/>
  </w:num>
  <w:num w:numId="27">
    <w:abstractNumId w:val="2"/>
  </w:num>
  <w:num w:numId="28">
    <w:abstractNumId w:val="33"/>
  </w:num>
  <w:num w:numId="29">
    <w:abstractNumId w:val="20"/>
  </w:num>
  <w:num w:numId="30">
    <w:abstractNumId w:val="23"/>
  </w:num>
  <w:num w:numId="31">
    <w:abstractNumId w:val="7"/>
  </w:num>
  <w:num w:numId="32">
    <w:abstractNumId w:val="17"/>
  </w:num>
  <w:num w:numId="33">
    <w:abstractNumId w:val="24"/>
  </w:num>
  <w:num w:numId="34">
    <w:abstractNumId w:val="32"/>
  </w:num>
  <w:num w:numId="35">
    <w:abstractNumId w:val="38"/>
  </w:num>
  <w:num w:numId="36">
    <w:abstractNumId w:val="26"/>
  </w:num>
  <w:num w:numId="37">
    <w:abstractNumId w:val="9"/>
  </w:num>
  <w:num w:numId="38">
    <w:abstractNumId w:val="3"/>
  </w:num>
  <w:num w:numId="39">
    <w:abstractNumId w:val="11"/>
  </w:num>
  <w:num w:numId="40">
    <w:abstractNumId w:val="6"/>
  </w:num>
  <w:num w:numId="41">
    <w:abstractNumId w:val="12"/>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4817">
      <o:colormenu v:ext="edit" fillcolor="none" strokecolor="none"/>
    </o:shapedefaults>
  </w:hdrShapeDefaults>
  <w:footnotePr>
    <w:footnote w:id="-1"/>
    <w:footnote w:id="0"/>
  </w:footnotePr>
  <w:endnotePr>
    <w:endnote w:id="-1"/>
    <w:endnote w:id="0"/>
  </w:endnotePr>
  <w:compat/>
  <w:rsids>
    <w:rsidRoot w:val="00B272D8"/>
    <w:rsid w:val="00001A9C"/>
    <w:rsid w:val="00001E65"/>
    <w:rsid w:val="000025A2"/>
    <w:rsid w:val="00004187"/>
    <w:rsid w:val="000107BF"/>
    <w:rsid w:val="000108D3"/>
    <w:rsid w:val="0001148D"/>
    <w:rsid w:val="00012897"/>
    <w:rsid w:val="00014E6D"/>
    <w:rsid w:val="00015688"/>
    <w:rsid w:val="00015F1B"/>
    <w:rsid w:val="0002224A"/>
    <w:rsid w:val="00025648"/>
    <w:rsid w:val="00026505"/>
    <w:rsid w:val="00030C96"/>
    <w:rsid w:val="000346DB"/>
    <w:rsid w:val="000348FE"/>
    <w:rsid w:val="00035E87"/>
    <w:rsid w:val="000412AF"/>
    <w:rsid w:val="000414A8"/>
    <w:rsid w:val="000422A4"/>
    <w:rsid w:val="000433FB"/>
    <w:rsid w:val="00045097"/>
    <w:rsid w:val="00046558"/>
    <w:rsid w:val="0004722B"/>
    <w:rsid w:val="00047CC4"/>
    <w:rsid w:val="000517E0"/>
    <w:rsid w:val="000532DF"/>
    <w:rsid w:val="00061078"/>
    <w:rsid w:val="00063B60"/>
    <w:rsid w:val="0006465C"/>
    <w:rsid w:val="00077489"/>
    <w:rsid w:val="00080FE5"/>
    <w:rsid w:val="00081B69"/>
    <w:rsid w:val="000826A1"/>
    <w:rsid w:val="0008409B"/>
    <w:rsid w:val="00084599"/>
    <w:rsid w:val="00084DA8"/>
    <w:rsid w:val="00085A0E"/>
    <w:rsid w:val="00086D85"/>
    <w:rsid w:val="00090D34"/>
    <w:rsid w:val="00091349"/>
    <w:rsid w:val="00092CFC"/>
    <w:rsid w:val="00093C6A"/>
    <w:rsid w:val="00094C69"/>
    <w:rsid w:val="00096D9F"/>
    <w:rsid w:val="000A118A"/>
    <w:rsid w:val="000A2BB0"/>
    <w:rsid w:val="000A515A"/>
    <w:rsid w:val="000A531A"/>
    <w:rsid w:val="000A5B4D"/>
    <w:rsid w:val="000B6404"/>
    <w:rsid w:val="000B6B94"/>
    <w:rsid w:val="000C0724"/>
    <w:rsid w:val="000C268A"/>
    <w:rsid w:val="000C4914"/>
    <w:rsid w:val="000C4EDA"/>
    <w:rsid w:val="000C5BC2"/>
    <w:rsid w:val="000C6071"/>
    <w:rsid w:val="000C7694"/>
    <w:rsid w:val="000C7BF2"/>
    <w:rsid w:val="000D084B"/>
    <w:rsid w:val="000D0BE0"/>
    <w:rsid w:val="000D1D55"/>
    <w:rsid w:val="000D28AE"/>
    <w:rsid w:val="000D58EA"/>
    <w:rsid w:val="000E290C"/>
    <w:rsid w:val="000E2BB9"/>
    <w:rsid w:val="000E3130"/>
    <w:rsid w:val="000E5BAE"/>
    <w:rsid w:val="000E7CA3"/>
    <w:rsid w:val="000F18A0"/>
    <w:rsid w:val="000F282E"/>
    <w:rsid w:val="000F372F"/>
    <w:rsid w:val="000F4052"/>
    <w:rsid w:val="000F5B56"/>
    <w:rsid w:val="000F7D14"/>
    <w:rsid w:val="00100314"/>
    <w:rsid w:val="001025F6"/>
    <w:rsid w:val="00103498"/>
    <w:rsid w:val="001038BF"/>
    <w:rsid w:val="00104754"/>
    <w:rsid w:val="00105AB3"/>
    <w:rsid w:val="00106143"/>
    <w:rsid w:val="001078D1"/>
    <w:rsid w:val="0011545B"/>
    <w:rsid w:val="00115652"/>
    <w:rsid w:val="00120C6E"/>
    <w:rsid w:val="00123F8E"/>
    <w:rsid w:val="001262A5"/>
    <w:rsid w:val="00127BC9"/>
    <w:rsid w:val="001328FD"/>
    <w:rsid w:val="00133443"/>
    <w:rsid w:val="001355BA"/>
    <w:rsid w:val="001423E4"/>
    <w:rsid w:val="00142E0E"/>
    <w:rsid w:val="0014320C"/>
    <w:rsid w:val="001505E2"/>
    <w:rsid w:val="00150BAC"/>
    <w:rsid w:val="00151FBC"/>
    <w:rsid w:val="0015399E"/>
    <w:rsid w:val="0015737A"/>
    <w:rsid w:val="0016003A"/>
    <w:rsid w:val="00160216"/>
    <w:rsid w:val="00161EF2"/>
    <w:rsid w:val="00163EB2"/>
    <w:rsid w:val="00166ACB"/>
    <w:rsid w:val="00170E93"/>
    <w:rsid w:val="00174872"/>
    <w:rsid w:val="00174C15"/>
    <w:rsid w:val="0017690D"/>
    <w:rsid w:val="00184647"/>
    <w:rsid w:val="001864E5"/>
    <w:rsid w:val="00187C47"/>
    <w:rsid w:val="00190339"/>
    <w:rsid w:val="001904ED"/>
    <w:rsid w:val="00192CE1"/>
    <w:rsid w:val="00195D29"/>
    <w:rsid w:val="001A291E"/>
    <w:rsid w:val="001A59B0"/>
    <w:rsid w:val="001B0416"/>
    <w:rsid w:val="001B1BA1"/>
    <w:rsid w:val="001B2E15"/>
    <w:rsid w:val="001B4C54"/>
    <w:rsid w:val="001B6134"/>
    <w:rsid w:val="001C1EA5"/>
    <w:rsid w:val="001C2994"/>
    <w:rsid w:val="001C2ECD"/>
    <w:rsid w:val="001C32B3"/>
    <w:rsid w:val="001C483E"/>
    <w:rsid w:val="001D2C89"/>
    <w:rsid w:val="001D3082"/>
    <w:rsid w:val="001D432A"/>
    <w:rsid w:val="001D446D"/>
    <w:rsid w:val="001D6E57"/>
    <w:rsid w:val="001D730E"/>
    <w:rsid w:val="001E416F"/>
    <w:rsid w:val="001E520F"/>
    <w:rsid w:val="001F0873"/>
    <w:rsid w:val="001F098C"/>
    <w:rsid w:val="001F12B0"/>
    <w:rsid w:val="001F2D56"/>
    <w:rsid w:val="00203E53"/>
    <w:rsid w:val="00205A68"/>
    <w:rsid w:val="002065E2"/>
    <w:rsid w:val="00207B8C"/>
    <w:rsid w:val="00212537"/>
    <w:rsid w:val="002145F8"/>
    <w:rsid w:val="00214B5F"/>
    <w:rsid w:val="002152B2"/>
    <w:rsid w:val="00216BE7"/>
    <w:rsid w:val="00224606"/>
    <w:rsid w:val="0022737F"/>
    <w:rsid w:val="002312C0"/>
    <w:rsid w:val="00237BFA"/>
    <w:rsid w:val="00237C45"/>
    <w:rsid w:val="00243523"/>
    <w:rsid w:val="0024625C"/>
    <w:rsid w:val="00247D7D"/>
    <w:rsid w:val="00250AC4"/>
    <w:rsid w:val="00253F1A"/>
    <w:rsid w:val="00257650"/>
    <w:rsid w:val="0026006C"/>
    <w:rsid w:val="002619E9"/>
    <w:rsid w:val="002625CD"/>
    <w:rsid w:val="00264034"/>
    <w:rsid w:val="00266254"/>
    <w:rsid w:val="002746F5"/>
    <w:rsid w:val="00275E16"/>
    <w:rsid w:val="00276F68"/>
    <w:rsid w:val="00277B51"/>
    <w:rsid w:val="0028177F"/>
    <w:rsid w:val="00284A43"/>
    <w:rsid w:val="00290BE3"/>
    <w:rsid w:val="002910BE"/>
    <w:rsid w:val="00291CCB"/>
    <w:rsid w:val="0029206A"/>
    <w:rsid w:val="00293CDA"/>
    <w:rsid w:val="0029474C"/>
    <w:rsid w:val="0029736C"/>
    <w:rsid w:val="002A0A90"/>
    <w:rsid w:val="002A3A1B"/>
    <w:rsid w:val="002A7B96"/>
    <w:rsid w:val="002B0F44"/>
    <w:rsid w:val="002B1663"/>
    <w:rsid w:val="002B2AEF"/>
    <w:rsid w:val="002B6A01"/>
    <w:rsid w:val="002B6D96"/>
    <w:rsid w:val="002B754B"/>
    <w:rsid w:val="002C5A4F"/>
    <w:rsid w:val="002D0610"/>
    <w:rsid w:val="002D50D3"/>
    <w:rsid w:val="002D6E0A"/>
    <w:rsid w:val="002E0BD3"/>
    <w:rsid w:val="002E42EB"/>
    <w:rsid w:val="002E4786"/>
    <w:rsid w:val="002E5AAF"/>
    <w:rsid w:val="002E5F9C"/>
    <w:rsid w:val="002F0FBA"/>
    <w:rsid w:val="002F172C"/>
    <w:rsid w:val="002F2970"/>
    <w:rsid w:val="002F326A"/>
    <w:rsid w:val="002F3376"/>
    <w:rsid w:val="002F43F1"/>
    <w:rsid w:val="002F451E"/>
    <w:rsid w:val="00300641"/>
    <w:rsid w:val="00300BA4"/>
    <w:rsid w:val="00301862"/>
    <w:rsid w:val="0030703D"/>
    <w:rsid w:val="00307110"/>
    <w:rsid w:val="003112BD"/>
    <w:rsid w:val="00311912"/>
    <w:rsid w:val="003130B4"/>
    <w:rsid w:val="003155FE"/>
    <w:rsid w:val="00316B16"/>
    <w:rsid w:val="00322160"/>
    <w:rsid w:val="0032597F"/>
    <w:rsid w:val="003304BC"/>
    <w:rsid w:val="0033132A"/>
    <w:rsid w:val="00332E24"/>
    <w:rsid w:val="00332EEE"/>
    <w:rsid w:val="00335CD2"/>
    <w:rsid w:val="00336A7F"/>
    <w:rsid w:val="00337AEB"/>
    <w:rsid w:val="00340403"/>
    <w:rsid w:val="0034136D"/>
    <w:rsid w:val="00341654"/>
    <w:rsid w:val="00341919"/>
    <w:rsid w:val="00344277"/>
    <w:rsid w:val="00345AF9"/>
    <w:rsid w:val="00346281"/>
    <w:rsid w:val="0035095C"/>
    <w:rsid w:val="00352490"/>
    <w:rsid w:val="00353F92"/>
    <w:rsid w:val="00356681"/>
    <w:rsid w:val="003609B4"/>
    <w:rsid w:val="003621CA"/>
    <w:rsid w:val="00362A23"/>
    <w:rsid w:val="00364CDF"/>
    <w:rsid w:val="00365BA8"/>
    <w:rsid w:val="0037019C"/>
    <w:rsid w:val="0037149D"/>
    <w:rsid w:val="003725AB"/>
    <w:rsid w:val="00373973"/>
    <w:rsid w:val="00380A2F"/>
    <w:rsid w:val="00380B9F"/>
    <w:rsid w:val="00385120"/>
    <w:rsid w:val="0038592B"/>
    <w:rsid w:val="00390F95"/>
    <w:rsid w:val="003922D8"/>
    <w:rsid w:val="00392C5C"/>
    <w:rsid w:val="00392EB2"/>
    <w:rsid w:val="0039604C"/>
    <w:rsid w:val="00397DB0"/>
    <w:rsid w:val="00397E7F"/>
    <w:rsid w:val="003A3F3B"/>
    <w:rsid w:val="003A4D2D"/>
    <w:rsid w:val="003A56CF"/>
    <w:rsid w:val="003A5BFB"/>
    <w:rsid w:val="003A5F73"/>
    <w:rsid w:val="003B050C"/>
    <w:rsid w:val="003B0BB3"/>
    <w:rsid w:val="003B27B0"/>
    <w:rsid w:val="003B5097"/>
    <w:rsid w:val="003B5FD1"/>
    <w:rsid w:val="003B6505"/>
    <w:rsid w:val="003B6CFE"/>
    <w:rsid w:val="003C0C36"/>
    <w:rsid w:val="003C1815"/>
    <w:rsid w:val="003C1AC6"/>
    <w:rsid w:val="003C1B00"/>
    <w:rsid w:val="003C2537"/>
    <w:rsid w:val="003C4391"/>
    <w:rsid w:val="003C51DF"/>
    <w:rsid w:val="003C5740"/>
    <w:rsid w:val="003C6F97"/>
    <w:rsid w:val="003D015F"/>
    <w:rsid w:val="003D115A"/>
    <w:rsid w:val="003D364A"/>
    <w:rsid w:val="003D4CF0"/>
    <w:rsid w:val="003D4FB5"/>
    <w:rsid w:val="003D51E6"/>
    <w:rsid w:val="003D7012"/>
    <w:rsid w:val="003D7C73"/>
    <w:rsid w:val="003E1881"/>
    <w:rsid w:val="003E1FAA"/>
    <w:rsid w:val="003E2975"/>
    <w:rsid w:val="003E3C84"/>
    <w:rsid w:val="003E3D5C"/>
    <w:rsid w:val="003E5B92"/>
    <w:rsid w:val="003E5E45"/>
    <w:rsid w:val="003E6F8E"/>
    <w:rsid w:val="003F02E7"/>
    <w:rsid w:val="003F1836"/>
    <w:rsid w:val="003F2719"/>
    <w:rsid w:val="003F2B59"/>
    <w:rsid w:val="003F50DE"/>
    <w:rsid w:val="003F6C0A"/>
    <w:rsid w:val="003F7951"/>
    <w:rsid w:val="00400BAB"/>
    <w:rsid w:val="00401ACF"/>
    <w:rsid w:val="004044B6"/>
    <w:rsid w:val="00405AE1"/>
    <w:rsid w:val="00411320"/>
    <w:rsid w:val="004121FC"/>
    <w:rsid w:val="00412FB7"/>
    <w:rsid w:val="004236F8"/>
    <w:rsid w:val="00425C5A"/>
    <w:rsid w:val="00426C73"/>
    <w:rsid w:val="00430179"/>
    <w:rsid w:val="00436A4F"/>
    <w:rsid w:val="004400EE"/>
    <w:rsid w:val="0044214C"/>
    <w:rsid w:val="00445ABC"/>
    <w:rsid w:val="00451AAE"/>
    <w:rsid w:val="0045294B"/>
    <w:rsid w:val="004529DA"/>
    <w:rsid w:val="00452EF8"/>
    <w:rsid w:val="0045364A"/>
    <w:rsid w:val="00454798"/>
    <w:rsid w:val="00455F8A"/>
    <w:rsid w:val="00456221"/>
    <w:rsid w:val="004613DF"/>
    <w:rsid w:val="00465237"/>
    <w:rsid w:val="00466142"/>
    <w:rsid w:val="00467CFF"/>
    <w:rsid w:val="0047007E"/>
    <w:rsid w:val="0047028C"/>
    <w:rsid w:val="00470C80"/>
    <w:rsid w:val="00472628"/>
    <w:rsid w:val="00472745"/>
    <w:rsid w:val="00472EAD"/>
    <w:rsid w:val="00473D9F"/>
    <w:rsid w:val="00480D16"/>
    <w:rsid w:val="00481C72"/>
    <w:rsid w:val="004821E5"/>
    <w:rsid w:val="0048295C"/>
    <w:rsid w:val="00490B8F"/>
    <w:rsid w:val="00490C88"/>
    <w:rsid w:val="004914FD"/>
    <w:rsid w:val="0049199F"/>
    <w:rsid w:val="00491D5A"/>
    <w:rsid w:val="00491E69"/>
    <w:rsid w:val="00493D92"/>
    <w:rsid w:val="00495D20"/>
    <w:rsid w:val="00497512"/>
    <w:rsid w:val="004A076E"/>
    <w:rsid w:val="004A0991"/>
    <w:rsid w:val="004A1DB3"/>
    <w:rsid w:val="004A64C0"/>
    <w:rsid w:val="004B11B9"/>
    <w:rsid w:val="004B1674"/>
    <w:rsid w:val="004B25AC"/>
    <w:rsid w:val="004B3521"/>
    <w:rsid w:val="004B5CCB"/>
    <w:rsid w:val="004C00B2"/>
    <w:rsid w:val="004C5754"/>
    <w:rsid w:val="004D1648"/>
    <w:rsid w:val="004D3DA1"/>
    <w:rsid w:val="004D4C86"/>
    <w:rsid w:val="004D51FF"/>
    <w:rsid w:val="004E1DC1"/>
    <w:rsid w:val="004E2EE8"/>
    <w:rsid w:val="004E457C"/>
    <w:rsid w:val="004E469B"/>
    <w:rsid w:val="004E4F35"/>
    <w:rsid w:val="004E5334"/>
    <w:rsid w:val="004E6210"/>
    <w:rsid w:val="004F31F9"/>
    <w:rsid w:val="004F405A"/>
    <w:rsid w:val="004F78EF"/>
    <w:rsid w:val="00501055"/>
    <w:rsid w:val="0050180B"/>
    <w:rsid w:val="00502A46"/>
    <w:rsid w:val="005031B4"/>
    <w:rsid w:val="00504F83"/>
    <w:rsid w:val="005068E4"/>
    <w:rsid w:val="00512A1F"/>
    <w:rsid w:val="00520DF9"/>
    <w:rsid w:val="00522CA9"/>
    <w:rsid w:val="00522E9A"/>
    <w:rsid w:val="00523408"/>
    <w:rsid w:val="005234CF"/>
    <w:rsid w:val="005237F9"/>
    <w:rsid w:val="00530666"/>
    <w:rsid w:val="00530703"/>
    <w:rsid w:val="005360F4"/>
    <w:rsid w:val="00536655"/>
    <w:rsid w:val="00543952"/>
    <w:rsid w:val="0054584A"/>
    <w:rsid w:val="00551B50"/>
    <w:rsid w:val="005524B8"/>
    <w:rsid w:val="00552D1A"/>
    <w:rsid w:val="005556FD"/>
    <w:rsid w:val="00563049"/>
    <w:rsid w:val="00565469"/>
    <w:rsid w:val="005702F8"/>
    <w:rsid w:val="0057143A"/>
    <w:rsid w:val="005719D1"/>
    <w:rsid w:val="005720B1"/>
    <w:rsid w:val="0057234C"/>
    <w:rsid w:val="00572A2B"/>
    <w:rsid w:val="00574EE0"/>
    <w:rsid w:val="0057561C"/>
    <w:rsid w:val="00575C4A"/>
    <w:rsid w:val="00576EB9"/>
    <w:rsid w:val="00577444"/>
    <w:rsid w:val="00580EA3"/>
    <w:rsid w:val="005832CF"/>
    <w:rsid w:val="005850A2"/>
    <w:rsid w:val="005859D7"/>
    <w:rsid w:val="00594F00"/>
    <w:rsid w:val="00596187"/>
    <w:rsid w:val="005964D2"/>
    <w:rsid w:val="0059680E"/>
    <w:rsid w:val="005A1613"/>
    <w:rsid w:val="005A2ECF"/>
    <w:rsid w:val="005A3A79"/>
    <w:rsid w:val="005A3D5B"/>
    <w:rsid w:val="005A7DD2"/>
    <w:rsid w:val="005B01FA"/>
    <w:rsid w:val="005B68AE"/>
    <w:rsid w:val="005B6B8E"/>
    <w:rsid w:val="005C0220"/>
    <w:rsid w:val="005C0D47"/>
    <w:rsid w:val="005C5F35"/>
    <w:rsid w:val="005D3CC7"/>
    <w:rsid w:val="005D521E"/>
    <w:rsid w:val="005D5EB2"/>
    <w:rsid w:val="005D6FEB"/>
    <w:rsid w:val="005E0B96"/>
    <w:rsid w:val="005E245C"/>
    <w:rsid w:val="005E4970"/>
    <w:rsid w:val="005E615E"/>
    <w:rsid w:val="005F3259"/>
    <w:rsid w:val="005F6B8D"/>
    <w:rsid w:val="00600080"/>
    <w:rsid w:val="00600F24"/>
    <w:rsid w:val="00605A6B"/>
    <w:rsid w:val="006117AC"/>
    <w:rsid w:val="006174C7"/>
    <w:rsid w:val="006176ED"/>
    <w:rsid w:val="00622035"/>
    <w:rsid w:val="00623485"/>
    <w:rsid w:val="006239B9"/>
    <w:rsid w:val="0062497A"/>
    <w:rsid w:val="0062598D"/>
    <w:rsid w:val="00627D8B"/>
    <w:rsid w:val="00630AFB"/>
    <w:rsid w:val="00630CEA"/>
    <w:rsid w:val="00631574"/>
    <w:rsid w:val="0063531F"/>
    <w:rsid w:val="00636775"/>
    <w:rsid w:val="00636BBC"/>
    <w:rsid w:val="00636E1C"/>
    <w:rsid w:val="006407D2"/>
    <w:rsid w:val="00642526"/>
    <w:rsid w:val="00646104"/>
    <w:rsid w:val="0064756C"/>
    <w:rsid w:val="00654032"/>
    <w:rsid w:val="00655437"/>
    <w:rsid w:val="00661FB2"/>
    <w:rsid w:val="00663129"/>
    <w:rsid w:val="00665C96"/>
    <w:rsid w:val="0067039E"/>
    <w:rsid w:val="006703BC"/>
    <w:rsid w:val="00672459"/>
    <w:rsid w:val="00674B4C"/>
    <w:rsid w:val="0067622E"/>
    <w:rsid w:val="00677890"/>
    <w:rsid w:val="00680C3F"/>
    <w:rsid w:val="00686897"/>
    <w:rsid w:val="00687917"/>
    <w:rsid w:val="00687A3E"/>
    <w:rsid w:val="00687C6B"/>
    <w:rsid w:val="00690A27"/>
    <w:rsid w:val="00691049"/>
    <w:rsid w:val="0069142E"/>
    <w:rsid w:val="00691850"/>
    <w:rsid w:val="00692B4A"/>
    <w:rsid w:val="006936A2"/>
    <w:rsid w:val="00694A49"/>
    <w:rsid w:val="00694FE6"/>
    <w:rsid w:val="00695A19"/>
    <w:rsid w:val="00696B1E"/>
    <w:rsid w:val="006A1B6D"/>
    <w:rsid w:val="006A3A7C"/>
    <w:rsid w:val="006B2212"/>
    <w:rsid w:val="006B5395"/>
    <w:rsid w:val="006B5686"/>
    <w:rsid w:val="006B775A"/>
    <w:rsid w:val="006C0081"/>
    <w:rsid w:val="006C0101"/>
    <w:rsid w:val="006C2151"/>
    <w:rsid w:val="006C24EA"/>
    <w:rsid w:val="006C2719"/>
    <w:rsid w:val="006D0530"/>
    <w:rsid w:val="006D0A10"/>
    <w:rsid w:val="006D0EAD"/>
    <w:rsid w:val="006D488E"/>
    <w:rsid w:val="006D4DDF"/>
    <w:rsid w:val="006D6E87"/>
    <w:rsid w:val="006D76A9"/>
    <w:rsid w:val="006E0D42"/>
    <w:rsid w:val="006E0F3E"/>
    <w:rsid w:val="006E239C"/>
    <w:rsid w:val="006E2457"/>
    <w:rsid w:val="006E2CA3"/>
    <w:rsid w:val="006E2ED9"/>
    <w:rsid w:val="006E44DC"/>
    <w:rsid w:val="006E473D"/>
    <w:rsid w:val="006E564A"/>
    <w:rsid w:val="006E5934"/>
    <w:rsid w:val="006E5996"/>
    <w:rsid w:val="006F679C"/>
    <w:rsid w:val="006F70F1"/>
    <w:rsid w:val="006F7792"/>
    <w:rsid w:val="006F7EAE"/>
    <w:rsid w:val="0070282C"/>
    <w:rsid w:val="00705BE1"/>
    <w:rsid w:val="00706348"/>
    <w:rsid w:val="00710FAA"/>
    <w:rsid w:val="00711B7C"/>
    <w:rsid w:val="00711C3D"/>
    <w:rsid w:val="00712253"/>
    <w:rsid w:val="007123FF"/>
    <w:rsid w:val="00714DE9"/>
    <w:rsid w:val="00722BF6"/>
    <w:rsid w:val="00723C69"/>
    <w:rsid w:val="0072422C"/>
    <w:rsid w:val="00725D93"/>
    <w:rsid w:val="00725E76"/>
    <w:rsid w:val="00725F3C"/>
    <w:rsid w:val="0073086F"/>
    <w:rsid w:val="00731C8D"/>
    <w:rsid w:val="007327A1"/>
    <w:rsid w:val="00734438"/>
    <w:rsid w:val="007357F8"/>
    <w:rsid w:val="00736093"/>
    <w:rsid w:val="00740CBE"/>
    <w:rsid w:val="00742946"/>
    <w:rsid w:val="00747BBD"/>
    <w:rsid w:val="0075348F"/>
    <w:rsid w:val="0075397E"/>
    <w:rsid w:val="0075671B"/>
    <w:rsid w:val="00756EC2"/>
    <w:rsid w:val="0075797D"/>
    <w:rsid w:val="00763CCB"/>
    <w:rsid w:val="007657D3"/>
    <w:rsid w:val="007705AA"/>
    <w:rsid w:val="00771DB4"/>
    <w:rsid w:val="007754A7"/>
    <w:rsid w:val="00777791"/>
    <w:rsid w:val="00782D3F"/>
    <w:rsid w:val="00783D9A"/>
    <w:rsid w:val="0078694A"/>
    <w:rsid w:val="00795732"/>
    <w:rsid w:val="007A1A22"/>
    <w:rsid w:val="007A1AE0"/>
    <w:rsid w:val="007A1C4A"/>
    <w:rsid w:val="007A5564"/>
    <w:rsid w:val="007B3237"/>
    <w:rsid w:val="007B36D2"/>
    <w:rsid w:val="007B43AC"/>
    <w:rsid w:val="007B6BC1"/>
    <w:rsid w:val="007B6F32"/>
    <w:rsid w:val="007C07B5"/>
    <w:rsid w:val="007D0527"/>
    <w:rsid w:val="007D2852"/>
    <w:rsid w:val="007D7D5F"/>
    <w:rsid w:val="007E1C58"/>
    <w:rsid w:val="007E3507"/>
    <w:rsid w:val="007F3F55"/>
    <w:rsid w:val="007F3F9B"/>
    <w:rsid w:val="007F4325"/>
    <w:rsid w:val="007F515D"/>
    <w:rsid w:val="007F713C"/>
    <w:rsid w:val="00801137"/>
    <w:rsid w:val="008035ED"/>
    <w:rsid w:val="008106E0"/>
    <w:rsid w:val="008128C8"/>
    <w:rsid w:val="0081558A"/>
    <w:rsid w:val="0081796A"/>
    <w:rsid w:val="00822297"/>
    <w:rsid w:val="0082304A"/>
    <w:rsid w:val="00823FCF"/>
    <w:rsid w:val="008241F6"/>
    <w:rsid w:val="00826C97"/>
    <w:rsid w:val="008276C9"/>
    <w:rsid w:val="00830A75"/>
    <w:rsid w:val="00832411"/>
    <w:rsid w:val="00850E66"/>
    <w:rsid w:val="00861BCB"/>
    <w:rsid w:val="0087034D"/>
    <w:rsid w:val="008709D1"/>
    <w:rsid w:val="00873B54"/>
    <w:rsid w:val="00875CDC"/>
    <w:rsid w:val="0087620B"/>
    <w:rsid w:val="00877946"/>
    <w:rsid w:val="0088230D"/>
    <w:rsid w:val="0088333F"/>
    <w:rsid w:val="00885559"/>
    <w:rsid w:val="008859E1"/>
    <w:rsid w:val="00886C1E"/>
    <w:rsid w:val="00895E8A"/>
    <w:rsid w:val="00896054"/>
    <w:rsid w:val="00897E7D"/>
    <w:rsid w:val="008A116D"/>
    <w:rsid w:val="008A1D99"/>
    <w:rsid w:val="008A4FAA"/>
    <w:rsid w:val="008A786E"/>
    <w:rsid w:val="008B0CC1"/>
    <w:rsid w:val="008B238F"/>
    <w:rsid w:val="008B2A37"/>
    <w:rsid w:val="008B6D72"/>
    <w:rsid w:val="008B70A2"/>
    <w:rsid w:val="008C411F"/>
    <w:rsid w:val="008C421D"/>
    <w:rsid w:val="008C46AA"/>
    <w:rsid w:val="008C6988"/>
    <w:rsid w:val="008D38A4"/>
    <w:rsid w:val="008D46DE"/>
    <w:rsid w:val="008D5404"/>
    <w:rsid w:val="008D77FD"/>
    <w:rsid w:val="008E04AB"/>
    <w:rsid w:val="008E3339"/>
    <w:rsid w:val="008E484B"/>
    <w:rsid w:val="008E58F6"/>
    <w:rsid w:val="008E614C"/>
    <w:rsid w:val="008F039E"/>
    <w:rsid w:val="008F0865"/>
    <w:rsid w:val="008F0AED"/>
    <w:rsid w:val="008F1673"/>
    <w:rsid w:val="008F3DB4"/>
    <w:rsid w:val="00903076"/>
    <w:rsid w:val="0090385A"/>
    <w:rsid w:val="009059D0"/>
    <w:rsid w:val="00910D2A"/>
    <w:rsid w:val="009136D6"/>
    <w:rsid w:val="00913BC9"/>
    <w:rsid w:val="00916316"/>
    <w:rsid w:val="0091725D"/>
    <w:rsid w:val="00917A0A"/>
    <w:rsid w:val="00921890"/>
    <w:rsid w:val="00925489"/>
    <w:rsid w:val="00926ACE"/>
    <w:rsid w:val="009278B9"/>
    <w:rsid w:val="0093077E"/>
    <w:rsid w:val="0093398B"/>
    <w:rsid w:val="0093532D"/>
    <w:rsid w:val="00935D13"/>
    <w:rsid w:val="0094067E"/>
    <w:rsid w:val="00943BFB"/>
    <w:rsid w:val="00944C35"/>
    <w:rsid w:val="00950B33"/>
    <w:rsid w:val="00951373"/>
    <w:rsid w:val="00953B99"/>
    <w:rsid w:val="0095492D"/>
    <w:rsid w:val="00955DFE"/>
    <w:rsid w:val="00957249"/>
    <w:rsid w:val="009579EF"/>
    <w:rsid w:val="009602E6"/>
    <w:rsid w:val="00961B63"/>
    <w:rsid w:val="00967F40"/>
    <w:rsid w:val="00973F27"/>
    <w:rsid w:val="00975C12"/>
    <w:rsid w:val="00977141"/>
    <w:rsid w:val="009810DE"/>
    <w:rsid w:val="009848DD"/>
    <w:rsid w:val="00987121"/>
    <w:rsid w:val="00990EA2"/>
    <w:rsid w:val="009928A2"/>
    <w:rsid w:val="009942EA"/>
    <w:rsid w:val="009943BF"/>
    <w:rsid w:val="00996F59"/>
    <w:rsid w:val="00997FC7"/>
    <w:rsid w:val="009A6382"/>
    <w:rsid w:val="009B6B6F"/>
    <w:rsid w:val="009C19B8"/>
    <w:rsid w:val="009C5D0E"/>
    <w:rsid w:val="009C66CB"/>
    <w:rsid w:val="009D0871"/>
    <w:rsid w:val="009D0E8C"/>
    <w:rsid w:val="009D1C4D"/>
    <w:rsid w:val="009D3DA1"/>
    <w:rsid w:val="009D429D"/>
    <w:rsid w:val="009D49C5"/>
    <w:rsid w:val="009E20E0"/>
    <w:rsid w:val="009E2CE2"/>
    <w:rsid w:val="009E6F9F"/>
    <w:rsid w:val="009E71E3"/>
    <w:rsid w:val="009F03B7"/>
    <w:rsid w:val="009F6AF5"/>
    <w:rsid w:val="009F7B6C"/>
    <w:rsid w:val="00A00096"/>
    <w:rsid w:val="00A0043F"/>
    <w:rsid w:val="00A013B6"/>
    <w:rsid w:val="00A03A03"/>
    <w:rsid w:val="00A03F1E"/>
    <w:rsid w:val="00A0478F"/>
    <w:rsid w:val="00A05004"/>
    <w:rsid w:val="00A100EA"/>
    <w:rsid w:val="00A121A8"/>
    <w:rsid w:val="00A138F8"/>
    <w:rsid w:val="00A15424"/>
    <w:rsid w:val="00A15DCB"/>
    <w:rsid w:val="00A20E23"/>
    <w:rsid w:val="00A21BB0"/>
    <w:rsid w:val="00A2464C"/>
    <w:rsid w:val="00A2597A"/>
    <w:rsid w:val="00A27A10"/>
    <w:rsid w:val="00A3084C"/>
    <w:rsid w:val="00A30D01"/>
    <w:rsid w:val="00A31A4E"/>
    <w:rsid w:val="00A32A73"/>
    <w:rsid w:val="00A34CA4"/>
    <w:rsid w:val="00A37660"/>
    <w:rsid w:val="00A376D3"/>
    <w:rsid w:val="00A40592"/>
    <w:rsid w:val="00A410E9"/>
    <w:rsid w:val="00A456EC"/>
    <w:rsid w:val="00A46EDE"/>
    <w:rsid w:val="00A5323B"/>
    <w:rsid w:val="00A60C25"/>
    <w:rsid w:val="00A610B1"/>
    <w:rsid w:val="00A6504C"/>
    <w:rsid w:val="00A675FD"/>
    <w:rsid w:val="00A70049"/>
    <w:rsid w:val="00A70FF3"/>
    <w:rsid w:val="00A710E4"/>
    <w:rsid w:val="00A7292E"/>
    <w:rsid w:val="00A731DE"/>
    <w:rsid w:val="00A748E9"/>
    <w:rsid w:val="00A7771C"/>
    <w:rsid w:val="00A77D12"/>
    <w:rsid w:val="00A804E3"/>
    <w:rsid w:val="00A808CF"/>
    <w:rsid w:val="00A81516"/>
    <w:rsid w:val="00A8177F"/>
    <w:rsid w:val="00A833FB"/>
    <w:rsid w:val="00A84654"/>
    <w:rsid w:val="00A86098"/>
    <w:rsid w:val="00A868D3"/>
    <w:rsid w:val="00A90205"/>
    <w:rsid w:val="00A9118E"/>
    <w:rsid w:val="00A92C99"/>
    <w:rsid w:val="00A93A40"/>
    <w:rsid w:val="00A94C59"/>
    <w:rsid w:val="00A95A44"/>
    <w:rsid w:val="00A96AB4"/>
    <w:rsid w:val="00A96C8E"/>
    <w:rsid w:val="00A97879"/>
    <w:rsid w:val="00AA121A"/>
    <w:rsid w:val="00AA4DA1"/>
    <w:rsid w:val="00AB15B8"/>
    <w:rsid w:val="00AB2C95"/>
    <w:rsid w:val="00AB603C"/>
    <w:rsid w:val="00AB643B"/>
    <w:rsid w:val="00AB6990"/>
    <w:rsid w:val="00AB7B00"/>
    <w:rsid w:val="00AC3180"/>
    <w:rsid w:val="00AC5981"/>
    <w:rsid w:val="00AD0286"/>
    <w:rsid w:val="00AD0B64"/>
    <w:rsid w:val="00AD331A"/>
    <w:rsid w:val="00AD3B11"/>
    <w:rsid w:val="00AD41AC"/>
    <w:rsid w:val="00AD4FE2"/>
    <w:rsid w:val="00AD52C2"/>
    <w:rsid w:val="00AD7ECC"/>
    <w:rsid w:val="00AE5FFB"/>
    <w:rsid w:val="00AE68E1"/>
    <w:rsid w:val="00AE758B"/>
    <w:rsid w:val="00AF2C9D"/>
    <w:rsid w:val="00AF3C0D"/>
    <w:rsid w:val="00AF45E3"/>
    <w:rsid w:val="00AF4DA3"/>
    <w:rsid w:val="00B01928"/>
    <w:rsid w:val="00B03113"/>
    <w:rsid w:val="00B0446A"/>
    <w:rsid w:val="00B050CC"/>
    <w:rsid w:val="00B13613"/>
    <w:rsid w:val="00B272D8"/>
    <w:rsid w:val="00B308E4"/>
    <w:rsid w:val="00B36B3B"/>
    <w:rsid w:val="00B4389C"/>
    <w:rsid w:val="00B43973"/>
    <w:rsid w:val="00B43DC0"/>
    <w:rsid w:val="00B45334"/>
    <w:rsid w:val="00B54F53"/>
    <w:rsid w:val="00B5531C"/>
    <w:rsid w:val="00B55ADF"/>
    <w:rsid w:val="00B5663C"/>
    <w:rsid w:val="00B57ADB"/>
    <w:rsid w:val="00B603BF"/>
    <w:rsid w:val="00B61968"/>
    <w:rsid w:val="00B61CA2"/>
    <w:rsid w:val="00B6270C"/>
    <w:rsid w:val="00B65916"/>
    <w:rsid w:val="00B66C5C"/>
    <w:rsid w:val="00B66DDA"/>
    <w:rsid w:val="00B74242"/>
    <w:rsid w:val="00B74E93"/>
    <w:rsid w:val="00B7563C"/>
    <w:rsid w:val="00B75ACA"/>
    <w:rsid w:val="00B77EAA"/>
    <w:rsid w:val="00B815C4"/>
    <w:rsid w:val="00B8321E"/>
    <w:rsid w:val="00B832D3"/>
    <w:rsid w:val="00B84C14"/>
    <w:rsid w:val="00B86A5A"/>
    <w:rsid w:val="00B87178"/>
    <w:rsid w:val="00B91CAA"/>
    <w:rsid w:val="00B95A14"/>
    <w:rsid w:val="00B97D06"/>
    <w:rsid w:val="00BA265C"/>
    <w:rsid w:val="00BA3C2B"/>
    <w:rsid w:val="00BA4C40"/>
    <w:rsid w:val="00BB037F"/>
    <w:rsid w:val="00BB03BB"/>
    <w:rsid w:val="00BB0B94"/>
    <w:rsid w:val="00BB1951"/>
    <w:rsid w:val="00BB2F72"/>
    <w:rsid w:val="00BB5F5A"/>
    <w:rsid w:val="00BB76E0"/>
    <w:rsid w:val="00BC08EB"/>
    <w:rsid w:val="00BC35C2"/>
    <w:rsid w:val="00BC39E5"/>
    <w:rsid w:val="00BD079C"/>
    <w:rsid w:val="00BD6908"/>
    <w:rsid w:val="00BE2A57"/>
    <w:rsid w:val="00BE3148"/>
    <w:rsid w:val="00BE3EB0"/>
    <w:rsid w:val="00BF2205"/>
    <w:rsid w:val="00BF3301"/>
    <w:rsid w:val="00BF4948"/>
    <w:rsid w:val="00BF684D"/>
    <w:rsid w:val="00BF689E"/>
    <w:rsid w:val="00BF7B32"/>
    <w:rsid w:val="00C00438"/>
    <w:rsid w:val="00C00A06"/>
    <w:rsid w:val="00C0285C"/>
    <w:rsid w:val="00C03D0B"/>
    <w:rsid w:val="00C04294"/>
    <w:rsid w:val="00C0496B"/>
    <w:rsid w:val="00C140B1"/>
    <w:rsid w:val="00C16FE9"/>
    <w:rsid w:val="00C170C8"/>
    <w:rsid w:val="00C172DB"/>
    <w:rsid w:val="00C17B90"/>
    <w:rsid w:val="00C23C04"/>
    <w:rsid w:val="00C33C65"/>
    <w:rsid w:val="00C3519E"/>
    <w:rsid w:val="00C3630A"/>
    <w:rsid w:val="00C36C5B"/>
    <w:rsid w:val="00C37981"/>
    <w:rsid w:val="00C40542"/>
    <w:rsid w:val="00C40AC7"/>
    <w:rsid w:val="00C417D3"/>
    <w:rsid w:val="00C4206E"/>
    <w:rsid w:val="00C4223F"/>
    <w:rsid w:val="00C44D21"/>
    <w:rsid w:val="00C500DE"/>
    <w:rsid w:val="00C52E37"/>
    <w:rsid w:val="00C52F56"/>
    <w:rsid w:val="00C539F3"/>
    <w:rsid w:val="00C545FA"/>
    <w:rsid w:val="00C57C80"/>
    <w:rsid w:val="00C623D6"/>
    <w:rsid w:val="00C63DB3"/>
    <w:rsid w:val="00C71555"/>
    <w:rsid w:val="00C71923"/>
    <w:rsid w:val="00C74B3C"/>
    <w:rsid w:val="00C80B94"/>
    <w:rsid w:val="00C81683"/>
    <w:rsid w:val="00C84C85"/>
    <w:rsid w:val="00C862C1"/>
    <w:rsid w:val="00C944C3"/>
    <w:rsid w:val="00C96207"/>
    <w:rsid w:val="00C964B1"/>
    <w:rsid w:val="00C97255"/>
    <w:rsid w:val="00C97B1B"/>
    <w:rsid w:val="00CA1625"/>
    <w:rsid w:val="00CB6CA0"/>
    <w:rsid w:val="00CB706E"/>
    <w:rsid w:val="00CB7415"/>
    <w:rsid w:val="00CC159B"/>
    <w:rsid w:val="00CC1757"/>
    <w:rsid w:val="00CC27FA"/>
    <w:rsid w:val="00CC77B9"/>
    <w:rsid w:val="00CD1C3C"/>
    <w:rsid w:val="00CD1C7C"/>
    <w:rsid w:val="00CD7529"/>
    <w:rsid w:val="00CD7906"/>
    <w:rsid w:val="00CE367F"/>
    <w:rsid w:val="00CE3D00"/>
    <w:rsid w:val="00CE415D"/>
    <w:rsid w:val="00CE5108"/>
    <w:rsid w:val="00CE7355"/>
    <w:rsid w:val="00CF15B7"/>
    <w:rsid w:val="00CF326E"/>
    <w:rsid w:val="00CF3D1A"/>
    <w:rsid w:val="00CF719E"/>
    <w:rsid w:val="00D037C1"/>
    <w:rsid w:val="00D0570B"/>
    <w:rsid w:val="00D07859"/>
    <w:rsid w:val="00D10997"/>
    <w:rsid w:val="00D112E5"/>
    <w:rsid w:val="00D14B8D"/>
    <w:rsid w:val="00D15F8C"/>
    <w:rsid w:val="00D171B6"/>
    <w:rsid w:val="00D208DF"/>
    <w:rsid w:val="00D215DB"/>
    <w:rsid w:val="00D24EA8"/>
    <w:rsid w:val="00D2600B"/>
    <w:rsid w:val="00D26FEE"/>
    <w:rsid w:val="00D321AE"/>
    <w:rsid w:val="00D5160C"/>
    <w:rsid w:val="00D51EEE"/>
    <w:rsid w:val="00D53FA3"/>
    <w:rsid w:val="00D56AB0"/>
    <w:rsid w:val="00D5710B"/>
    <w:rsid w:val="00D6239B"/>
    <w:rsid w:val="00D62768"/>
    <w:rsid w:val="00D64563"/>
    <w:rsid w:val="00D65E3D"/>
    <w:rsid w:val="00D70B06"/>
    <w:rsid w:val="00D711AA"/>
    <w:rsid w:val="00D72CFA"/>
    <w:rsid w:val="00D75761"/>
    <w:rsid w:val="00D757B6"/>
    <w:rsid w:val="00D82617"/>
    <w:rsid w:val="00D82EE5"/>
    <w:rsid w:val="00D842F6"/>
    <w:rsid w:val="00D84E68"/>
    <w:rsid w:val="00D85F64"/>
    <w:rsid w:val="00D86391"/>
    <w:rsid w:val="00D8648D"/>
    <w:rsid w:val="00D9369A"/>
    <w:rsid w:val="00D942E3"/>
    <w:rsid w:val="00D956AA"/>
    <w:rsid w:val="00D95728"/>
    <w:rsid w:val="00DA0DB7"/>
    <w:rsid w:val="00DA10BC"/>
    <w:rsid w:val="00DA1E05"/>
    <w:rsid w:val="00DA24F0"/>
    <w:rsid w:val="00DA4662"/>
    <w:rsid w:val="00DB26AC"/>
    <w:rsid w:val="00DB4EAF"/>
    <w:rsid w:val="00DB5559"/>
    <w:rsid w:val="00DB61CC"/>
    <w:rsid w:val="00DB6AAF"/>
    <w:rsid w:val="00DB7917"/>
    <w:rsid w:val="00DB7B1F"/>
    <w:rsid w:val="00DC6C34"/>
    <w:rsid w:val="00DC6F77"/>
    <w:rsid w:val="00DD3831"/>
    <w:rsid w:val="00DD3C42"/>
    <w:rsid w:val="00DD470D"/>
    <w:rsid w:val="00DE672B"/>
    <w:rsid w:val="00DE6D6B"/>
    <w:rsid w:val="00DE6DA7"/>
    <w:rsid w:val="00DF0DDF"/>
    <w:rsid w:val="00DF0FA0"/>
    <w:rsid w:val="00DF1AA3"/>
    <w:rsid w:val="00DF6807"/>
    <w:rsid w:val="00E040BB"/>
    <w:rsid w:val="00E04794"/>
    <w:rsid w:val="00E0586A"/>
    <w:rsid w:val="00E10A78"/>
    <w:rsid w:val="00E12A6D"/>
    <w:rsid w:val="00E13D29"/>
    <w:rsid w:val="00E14A0D"/>
    <w:rsid w:val="00E1614D"/>
    <w:rsid w:val="00E17C22"/>
    <w:rsid w:val="00E21487"/>
    <w:rsid w:val="00E224BF"/>
    <w:rsid w:val="00E22DB7"/>
    <w:rsid w:val="00E26959"/>
    <w:rsid w:val="00E323E2"/>
    <w:rsid w:val="00E333C9"/>
    <w:rsid w:val="00E3748B"/>
    <w:rsid w:val="00E4293F"/>
    <w:rsid w:val="00E43129"/>
    <w:rsid w:val="00E4425D"/>
    <w:rsid w:val="00E443A7"/>
    <w:rsid w:val="00E44B35"/>
    <w:rsid w:val="00E44F41"/>
    <w:rsid w:val="00E450E1"/>
    <w:rsid w:val="00E45DFC"/>
    <w:rsid w:val="00E46A98"/>
    <w:rsid w:val="00E47143"/>
    <w:rsid w:val="00E47D4C"/>
    <w:rsid w:val="00E50E2B"/>
    <w:rsid w:val="00E54318"/>
    <w:rsid w:val="00E54376"/>
    <w:rsid w:val="00E546CE"/>
    <w:rsid w:val="00E57196"/>
    <w:rsid w:val="00E60750"/>
    <w:rsid w:val="00E60BDF"/>
    <w:rsid w:val="00E61427"/>
    <w:rsid w:val="00E615FF"/>
    <w:rsid w:val="00E61CDE"/>
    <w:rsid w:val="00E6297F"/>
    <w:rsid w:val="00E63EF1"/>
    <w:rsid w:val="00E6532F"/>
    <w:rsid w:val="00E67B8B"/>
    <w:rsid w:val="00E67DF3"/>
    <w:rsid w:val="00E70018"/>
    <w:rsid w:val="00E74972"/>
    <w:rsid w:val="00E7627D"/>
    <w:rsid w:val="00E82DA3"/>
    <w:rsid w:val="00E836E2"/>
    <w:rsid w:val="00E870AB"/>
    <w:rsid w:val="00E9015E"/>
    <w:rsid w:val="00E91928"/>
    <w:rsid w:val="00E93484"/>
    <w:rsid w:val="00E946E4"/>
    <w:rsid w:val="00E9575B"/>
    <w:rsid w:val="00E977D8"/>
    <w:rsid w:val="00EA208E"/>
    <w:rsid w:val="00EA48F1"/>
    <w:rsid w:val="00EB0F6C"/>
    <w:rsid w:val="00EB627A"/>
    <w:rsid w:val="00EC0FF5"/>
    <w:rsid w:val="00EC1CAF"/>
    <w:rsid w:val="00EC3E57"/>
    <w:rsid w:val="00ED076E"/>
    <w:rsid w:val="00ED2354"/>
    <w:rsid w:val="00ED45B5"/>
    <w:rsid w:val="00ED48A7"/>
    <w:rsid w:val="00ED75CD"/>
    <w:rsid w:val="00EE147A"/>
    <w:rsid w:val="00EE28D6"/>
    <w:rsid w:val="00EE3CA4"/>
    <w:rsid w:val="00EE4944"/>
    <w:rsid w:val="00EE599E"/>
    <w:rsid w:val="00EF310B"/>
    <w:rsid w:val="00EF31EA"/>
    <w:rsid w:val="00EF32E5"/>
    <w:rsid w:val="00EF3F5E"/>
    <w:rsid w:val="00EF49E5"/>
    <w:rsid w:val="00EF7D18"/>
    <w:rsid w:val="00EF7F99"/>
    <w:rsid w:val="00F00679"/>
    <w:rsid w:val="00F02F1C"/>
    <w:rsid w:val="00F04C24"/>
    <w:rsid w:val="00F06032"/>
    <w:rsid w:val="00F1270E"/>
    <w:rsid w:val="00F17B79"/>
    <w:rsid w:val="00F17DE9"/>
    <w:rsid w:val="00F26540"/>
    <w:rsid w:val="00F26A84"/>
    <w:rsid w:val="00F26E5C"/>
    <w:rsid w:val="00F2765C"/>
    <w:rsid w:val="00F313D1"/>
    <w:rsid w:val="00F365F7"/>
    <w:rsid w:val="00F50DA0"/>
    <w:rsid w:val="00F5263C"/>
    <w:rsid w:val="00F57354"/>
    <w:rsid w:val="00F65B02"/>
    <w:rsid w:val="00F70E3B"/>
    <w:rsid w:val="00F71336"/>
    <w:rsid w:val="00F734B1"/>
    <w:rsid w:val="00F757C5"/>
    <w:rsid w:val="00F758BA"/>
    <w:rsid w:val="00F804BA"/>
    <w:rsid w:val="00F80A65"/>
    <w:rsid w:val="00F82B06"/>
    <w:rsid w:val="00F86270"/>
    <w:rsid w:val="00F870BD"/>
    <w:rsid w:val="00F87EDA"/>
    <w:rsid w:val="00F96871"/>
    <w:rsid w:val="00FA1268"/>
    <w:rsid w:val="00FA3C5E"/>
    <w:rsid w:val="00FA578A"/>
    <w:rsid w:val="00FB0CD2"/>
    <w:rsid w:val="00FB17EB"/>
    <w:rsid w:val="00FB1F0E"/>
    <w:rsid w:val="00FB54B8"/>
    <w:rsid w:val="00FB5829"/>
    <w:rsid w:val="00FB7226"/>
    <w:rsid w:val="00FB7CDB"/>
    <w:rsid w:val="00FC1375"/>
    <w:rsid w:val="00FC30B5"/>
    <w:rsid w:val="00FC3785"/>
    <w:rsid w:val="00FD0E08"/>
    <w:rsid w:val="00FD3213"/>
    <w:rsid w:val="00FE0B91"/>
    <w:rsid w:val="00FE7107"/>
    <w:rsid w:val="00FE72E6"/>
    <w:rsid w:val="00FF09C8"/>
    <w:rsid w:val="00FF0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strokecolor="none"/>
    </o:shapedefaults>
    <o:shapelayout v:ext="edit">
      <o:idmap v:ext="edit" data="1"/>
      <o:regrouptable v:ext="edit">
        <o:entry new="1" old="0"/>
        <o:entry new="2" old="0"/>
        <o:entry new="3" old="0"/>
        <o:entry new="4" old="0"/>
        <o:entry new="5" old="0"/>
        <o:entry new="6" old="0"/>
        <o:entry new="7" old="0"/>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D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28C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B76E0"/>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rsid w:val="00BB76E0"/>
    <w:rPr>
      <w:color w:val="0000FF"/>
      <w:u w:val="single"/>
    </w:rPr>
  </w:style>
  <w:style w:type="paragraph" w:styleId="PlainText">
    <w:name w:val="Plain Text"/>
    <w:basedOn w:val="Normal"/>
    <w:link w:val="PlainTextChar"/>
    <w:uiPriority w:val="99"/>
    <w:rsid w:val="002B754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B754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85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F64"/>
    <w:rPr>
      <w:rFonts w:ascii="Tahoma" w:hAnsi="Tahoma" w:cs="Tahoma"/>
      <w:sz w:val="16"/>
      <w:szCs w:val="16"/>
    </w:rPr>
  </w:style>
  <w:style w:type="paragraph" w:styleId="NormalWeb">
    <w:name w:val="Normal (Web)"/>
    <w:basedOn w:val="Normal"/>
    <w:uiPriority w:val="99"/>
    <w:semiHidden/>
    <w:unhideWhenUsed/>
    <w:rsid w:val="00A376D3"/>
    <w:pPr>
      <w:spacing w:before="100" w:beforeAutospacing="1" w:after="100" w:afterAutospacing="1" w:line="240" w:lineRule="auto"/>
    </w:pPr>
    <w:rPr>
      <w:rFonts w:ascii="Arial" w:eastAsia="Times New Roman" w:hAnsi="Arial" w:cs="Arial"/>
      <w:sz w:val="18"/>
      <w:szCs w:val="18"/>
    </w:rPr>
  </w:style>
  <w:style w:type="paragraph" w:styleId="NoSpacing">
    <w:name w:val="No Spacing"/>
    <w:uiPriority w:val="1"/>
    <w:qFormat/>
    <w:rsid w:val="006D0A10"/>
    <w:pPr>
      <w:spacing w:after="0" w:line="240" w:lineRule="auto"/>
    </w:pPr>
  </w:style>
  <w:style w:type="paragraph" w:styleId="Header">
    <w:name w:val="header"/>
    <w:basedOn w:val="Normal"/>
    <w:link w:val="HeaderChar"/>
    <w:uiPriority w:val="99"/>
    <w:unhideWhenUsed/>
    <w:rsid w:val="008C4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11F"/>
  </w:style>
  <w:style w:type="paragraph" w:styleId="Footer">
    <w:name w:val="footer"/>
    <w:basedOn w:val="Normal"/>
    <w:link w:val="FooterChar"/>
    <w:uiPriority w:val="99"/>
    <w:unhideWhenUsed/>
    <w:rsid w:val="008C4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11F"/>
  </w:style>
  <w:style w:type="character" w:styleId="FollowedHyperlink">
    <w:name w:val="FollowedHyperlink"/>
    <w:basedOn w:val="DefaultParagraphFont"/>
    <w:uiPriority w:val="99"/>
    <w:semiHidden/>
    <w:unhideWhenUsed/>
    <w:rsid w:val="00AD0B64"/>
    <w:rPr>
      <w:color w:val="800080" w:themeColor="followedHyperlink"/>
      <w:u w:val="single"/>
    </w:rPr>
  </w:style>
  <w:style w:type="character" w:styleId="IntenseReference">
    <w:name w:val="Intense Reference"/>
    <w:uiPriority w:val="32"/>
    <w:qFormat/>
    <w:rsid w:val="00530666"/>
    <w:rPr>
      <w:b/>
      <w:bCs/>
      <w:smallCaps/>
    </w:rPr>
  </w:style>
  <w:style w:type="table" w:styleId="TableGrid">
    <w:name w:val="Table Grid"/>
    <w:basedOn w:val="TableNormal"/>
    <w:uiPriority w:val="59"/>
    <w:rsid w:val="00D70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6E24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2457"/>
    <w:rPr>
      <w:sz w:val="20"/>
      <w:szCs w:val="20"/>
    </w:rPr>
  </w:style>
  <w:style w:type="character" w:styleId="EndnoteReference">
    <w:name w:val="endnote reference"/>
    <w:basedOn w:val="DefaultParagraphFont"/>
    <w:uiPriority w:val="99"/>
    <w:semiHidden/>
    <w:unhideWhenUsed/>
    <w:rsid w:val="006E2457"/>
    <w:rPr>
      <w:vertAlign w:val="superscript"/>
    </w:rPr>
  </w:style>
  <w:style w:type="paragraph" w:styleId="FootnoteText">
    <w:name w:val="footnote text"/>
    <w:basedOn w:val="Normal"/>
    <w:link w:val="FootnoteTextChar"/>
    <w:uiPriority w:val="99"/>
    <w:semiHidden/>
    <w:unhideWhenUsed/>
    <w:rsid w:val="006E24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457"/>
    <w:rPr>
      <w:sz w:val="20"/>
      <w:szCs w:val="20"/>
    </w:rPr>
  </w:style>
  <w:style w:type="character" w:styleId="FootnoteReference">
    <w:name w:val="footnote reference"/>
    <w:basedOn w:val="DefaultParagraphFont"/>
    <w:uiPriority w:val="99"/>
    <w:semiHidden/>
    <w:unhideWhenUsed/>
    <w:rsid w:val="006E2457"/>
    <w:rPr>
      <w:vertAlign w:val="superscript"/>
    </w:rPr>
  </w:style>
  <w:style w:type="character" w:styleId="Emphasis">
    <w:name w:val="Emphasis"/>
    <w:basedOn w:val="DefaultParagraphFont"/>
    <w:uiPriority w:val="20"/>
    <w:qFormat/>
    <w:rsid w:val="00A675FD"/>
    <w:rPr>
      <w:i/>
      <w:iCs/>
    </w:rPr>
  </w:style>
</w:styles>
</file>

<file path=word/webSettings.xml><?xml version="1.0" encoding="utf-8"?>
<w:webSettings xmlns:r="http://schemas.openxmlformats.org/officeDocument/2006/relationships" xmlns:w="http://schemas.openxmlformats.org/wordprocessingml/2006/main">
  <w:divs>
    <w:div w:id="177891407">
      <w:bodyDiv w:val="1"/>
      <w:marLeft w:val="0"/>
      <w:marRight w:val="0"/>
      <w:marTop w:val="0"/>
      <w:marBottom w:val="0"/>
      <w:divBdr>
        <w:top w:val="none" w:sz="0" w:space="0" w:color="auto"/>
        <w:left w:val="none" w:sz="0" w:space="0" w:color="auto"/>
        <w:bottom w:val="none" w:sz="0" w:space="0" w:color="auto"/>
        <w:right w:val="none" w:sz="0" w:space="0" w:color="auto"/>
      </w:divBdr>
    </w:div>
    <w:div w:id="443885036">
      <w:bodyDiv w:val="1"/>
      <w:marLeft w:val="0"/>
      <w:marRight w:val="0"/>
      <w:marTop w:val="0"/>
      <w:marBottom w:val="0"/>
      <w:divBdr>
        <w:top w:val="none" w:sz="0" w:space="0" w:color="auto"/>
        <w:left w:val="none" w:sz="0" w:space="0" w:color="auto"/>
        <w:bottom w:val="none" w:sz="0" w:space="0" w:color="auto"/>
        <w:right w:val="none" w:sz="0" w:space="0" w:color="auto"/>
      </w:divBdr>
      <w:divsChild>
        <w:div w:id="1503737066">
          <w:marLeft w:val="180"/>
          <w:marRight w:val="180"/>
          <w:marTop w:val="0"/>
          <w:marBottom w:val="0"/>
          <w:divBdr>
            <w:top w:val="none" w:sz="0" w:space="0" w:color="auto"/>
            <w:left w:val="none" w:sz="0" w:space="0" w:color="auto"/>
            <w:bottom w:val="none" w:sz="0" w:space="0" w:color="auto"/>
            <w:right w:val="none" w:sz="0" w:space="0" w:color="auto"/>
          </w:divBdr>
        </w:div>
      </w:divsChild>
    </w:div>
    <w:div w:id="542863232">
      <w:bodyDiv w:val="1"/>
      <w:marLeft w:val="0"/>
      <w:marRight w:val="0"/>
      <w:marTop w:val="0"/>
      <w:marBottom w:val="0"/>
      <w:divBdr>
        <w:top w:val="none" w:sz="0" w:space="0" w:color="auto"/>
        <w:left w:val="none" w:sz="0" w:space="0" w:color="auto"/>
        <w:bottom w:val="none" w:sz="0" w:space="0" w:color="auto"/>
        <w:right w:val="none" w:sz="0" w:space="0" w:color="auto"/>
      </w:divBdr>
    </w:div>
    <w:div w:id="552272140">
      <w:bodyDiv w:val="1"/>
      <w:marLeft w:val="0"/>
      <w:marRight w:val="0"/>
      <w:marTop w:val="0"/>
      <w:marBottom w:val="0"/>
      <w:divBdr>
        <w:top w:val="none" w:sz="0" w:space="0" w:color="auto"/>
        <w:left w:val="none" w:sz="0" w:space="0" w:color="auto"/>
        <w:bottom w:val="none" w:sz="0" w:space="0" w:color="auto"/>
        <w:right w:val="none" w:sz="0" w:space="0" w:color="auto"/>
      </w:divBdr>
    </w:div>
    <w:div w:id="623926516">
      <w:bodyDiv w:val="1"/>
      <w:marLeft w:val="0"/>
      <w:marRight w:val="0"/>
      <w:marTop w:val="0"/>
      <w:marBottom w:val="0"/>
      <w:divBdr>
        <w:top w:val="none" w:sz="0" w:space="0" w:color="auto"/>
        <w:left w:val="none" w:sz="0" w:space="0" w:color="auto"/>
        <w:bottom w:val="none" w:sz="0" w:space="0" w:color="auto"/>
        <w:right w:val="none" w:sz="0" w:space="0" w:color="auto"/>
      </w:divBdr>
    </w:div>
    <w:div w:id="664824843">
      <w:bodyDiv w:val="1"/>
      <w:marLeft w:val="0"/>
      <w:marRight w:val="0"/>
      <w:marTop w:val="0"/>
      <w:marBottom w:val="0"/>
      <w:divBdr>
        <w:top w:val="none" w:sz="0" w:space="0" w:color="auto"/>
        <w:left w:val="none" w:sz="0" w:space="0" w:color="auto"/>
        <w:bottom w:val="none" w:sz="0" w:space="0" w:color="auto"/>
        <w:right w:val="none" w:sz="0" w:space="0" w:color="auto"/>
      </w:divBdr>
    </w:div>
    <w:div w:id="688143421">
      <w:bodyDiv w:val="1"/>
      <w:marLeft w:val="0"/>
      <w:marRight w:val="0"/>
      <w:marTop w:val="0"/>
      <w:marBottom w:val="0"/>
      <w:divBdr>
        <w:top w:val="none" w:sz="0" w:space="0" w:color="auto"/>
        <w:left w:val="none" w:sz="0" w:space="0" w:color="auto"/>
        <w:bottom w:val="none" w:sz="0" w:space="0" w:color="auto"/>
        <w:right w:val="none" w:sz="0" w:space="0" w:color="auto"/>
      </w:divBdr>
    </w:div>
    <w:div w:id="979967465">
      <w:bodyDiv w:val="1"/>
      <w:marLeft w:val="0"/>
      <w:marRight w:val="0"/>
      <w:marTop w:val="0"/>
      <w:marBottom w:val="0"/>
      <w:divBdr>
        <w:top w:val="none" w:sz="0" w:space="0" w:color="auto"/>
        <w:left w:val="none" w:sz="0" w:space="0" w:color="auto"/>
        <w:bottom w:val="none" w:sz="0" w:space="0" w:color="auto"/>
        <w:right w:val="none" w:sz="0" w:space="0" w:color="auto"/>
      </w:divBdr>
      <w:divsChild>
        <w:div w:id="396898869">
          <w:marLeft w:val="180"/>
          <w:marRight w:val="180"/>
          <w:marTop w:val="0"/>
          <w:marBottom w:val="0"/>
          <w:divBdr>
            <w:top w:val="none" w:sz="0" w:space="0" w:color="auto"/>
            <w:left w:val="none" w:sz="0" w:space="0" w:color="auto"/>
            <w:bottom w:val="none" w:sz="0" w:space="0" w:color="auto"/>
            <w:right w:val="none" w:sz="0" w:space="0" w:color="auto"/>
          </w:divBdr>
        </w:div>
      </w:divsChild>
    </w:div>
    <w:div w:id="1080638844">
      <w:bodyDiv w:val="1"/>
      <w:marLeft w:val="0"/>
      <w:marRight w:val="0"/>
      <w:marTop w:val="0"/>
      <w:marBottom w:val="0"/>
      <w:divBdr>
        <w:top w:val="none" w:sz="0" w:space="0" w:color="auto"/>
        <w:left w:val="none" w:sz="0" w:space="0" w:color="auto"/>
        <w:bottom w:val="none" w:sz="0" w:space="0" w:color="auto"/>
        <w:right w:val="none" w:sz="0" w:space="0" w:color="auto"/>
      </w:divBdr>
    </w:div>
    <w:div w:id="1210649086">
      <w:bodyDiv w:val="1"/>
      <w:marLeft w:val="0"/>
      <w:marRight w:val="0"/>
      <w:marTop w:val="0"/>
      <w:marBottom w:val="0"/>
      <w:divBdr>
        <w:top w:val="none" w:sz="0" w:space="0" w:color="auto"/>
        <w:left w:val="none" w:sz="0" w:space="0" w:color="auto"/>
        <w:bottom w:val="none" w:sz="0" w:space="0" w:color="auto"/>
        <w:right w:val="none" w:sz="0" w:space="0" w:color="auto"/>
      </w:divBdr>
      <w:divsChild>
        <w:div w:id="1837334152">
          <w:marLeft w:val="180"/>
          <w:marRight w:val="180"/>
          <w:marTop w:val="0"/>
          <w:marBottom w:val="0"/>
          <w:divBdr>
            <w:top w:val="none" w:sz="0" w:space="0" w:color="auto"/>
            <w:left w:val="none" w:sz="0" w:space="0" w:color="auto"/>
            <w:bottom w:val="none" w:sz="0" w:space="0" w:color="auto"/>
            <w:right w:val="none" w:sz="0" w:space="0" w:color="auto"/>
          </w:divBdr>
        </w:div>
      </w:divsChild>
    </w:div>
    <w:div w:id="1439106837">
      <w:bodyDiv w:val="1"/>
      <w:marLeft w:val="0"/>
      <w:marRight w:val="0"/>
      <w:marTop w:val="0"/>
      <w:marBottom w:val="0"/>
      <w:divBdr>
        <w:top w:val="none" w:sz="0" w:space="0" w:color="auto"/>
        <w:left w:val="none" w:sz="0" w:space="0" w:color="auto"/>
        <w:bottom w:val="none" w:sz="0" w:space="0" w:color="auto"/>
        <w:right w:val="none" w:sz="0" w:space="0" w:color="auto"/>
      </w:divBdr>
    </w:div>
    <w:div w:id="14697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225FA-17B2-4700-A639-3040048A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mdavis</dc:creator>
  <cp:lastModifiedBy>Leah Boggs</cp:lastModifiedBy>
  <cp:revision>2</cp:revision>
  <cp:lastPrinted>2012-08-02T17:31:00Z</cp:lastPrinted>
  <dcterms:created xsi:type="dcterms:W3CDTF">2012-09-07T19:30:00Z</dcterms:created>
  <dcterms:modified xsi:type="dcterms:W3CDTF">2012-09-07T19:30:00Z</dcterms:modified>
</cp:coreProperties>
</file>