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02A" w:rsidRDefault="00D4102A" w:rsidP="00D4102A">
      <w:pPr>
        <w:spacing w:after="0" w:line="240" w:lineRule="auto"/>
        <w:ind w:left="720" w:right="720"/>
        <w:rPr>
          <w:b/>
          <w:bCs/>
        </w:rPr>
      </w:pPr>
      <w:r>
        <w:rPr>
          <w:b/>
          <w:bCs/>
        </w:rPr>
        <w:t>MEMORANDUM</w:t>
      </w:r>
    </w:p>
    <w:p w:rsidR="00D4102A" w:rsidRDefault="00D4102A" w:rsidP="00D4102A">
      <w:pPr>
        <w:spacing w:after="0" w:line="240" w:lineRule="auto"/>
        <w:ind w:left="720" w:right="720"/>
        <w:rPr>
          <w:b/>
          <w:bCs/>
        </w:rPr>
      </w:pPr>
    </w:p>
    <w:p w:rsidR="00D4102A" w:rsidRPr="00C24CE6" w:rsidRDefault="00D4102A" w:rsidP="00497452">
      <w:pPr>
        <w:spacing w:after="0" w:line="240" w:lineRule="auto"/>
        <w:ind w:left="720" w:right="720"/>
        <w:rPr>
          <w:bCs/>
        </w:rPr>
      </w:pPr>
      <w:r w:rsidRPr="00C24CE6">
        <w:rPr>
          <w:bCs/>
        </w:rPr>
        <w:t>TO:</w:t>
      </w:r>
      <w:r w:rsidRPr="00C24CE6">
        <w:rPr>
          <w:bCs/>
        </w:rPr>
        <w:tab/>
      </w:r>
      <w:r w:rsidRPr="00C24CE6">
        <w:rPr>
          <w:bCs/>
        </w:rPr>
        <w:tab/>
      </w:r>
      <w:r w:rsidR="00144CC3">
        <w:rPr>
          <w:bCs/>
        </w:rPr>
        <w:t xml:space="preserve">National Capital Region </w:t>
      </w:r>
      <w:r w:rsidRPr="00C24CE6">
        <w:rPr>
          <w:bCs/>
        </w:rPr>
        <w:t>Transportation Planning Board</w:t>
      </w:r>
      <w:r w:rsidR="00144CC3">
        <w:rPr>
          <w:bCs/>
        </w:rPr>
        <w:t xml:space="preserve"> (TPB)</w:t>
      </w:r>
    </w:p>
    <w:p w:rsidR="00D4102A" w:rsidRPr="00C24CE6" w:rsidRDefault="00D4102A" w:rsidP="00497452">
      <w:pPr>
        <w:spacing w:after="0" w:line="240" w:lineRule="auto"/>
        <w:ind w:left="720" w:right="720"/>
        <w:rPr>
          <w:bCs/>
        </w:rPr>
      </w:pPr>
      <w:r w:rsidRPr="00C24CE6">
        <w:rPr>
          <w:bCs/>
        </w:rPr>
        <w:t xml:space="preserve">FROM: </w:t>
      </w:r>
      <w:r w:rsidRPr="00C24CE6">
        <w:rPr>
          <w:bCs/>
        </w:rPr>
        <w:tab/>
      </w:r>
      <w:r w:rsidRPr="00C24CE6">
        <w:rPr>
          <w:bCs/>
        </w:rPr>
        <w:tab/>
        <w:t>John Swanson, Principal Transportation Planner</w:t>
      </w:r>
    </w:p>
    <w:p w:rsidR="00D4102A" w:rsidRPr="00C24CE6" w:rsidRDefault="00D4102A" w:rsidP="00497452">
      <w:pPr>
        <w:spacing w:after="0" w:line="240" w:lineRule="auto"/>
        <w:ind w:left="720" w:right="720"/>
        <w:rPr>
          <w:bCs/>
        </w:rPr>
      </w:pPr>
      <w:r w:rsidRPr="00C24CE6">
        <w:rPr>
          <w:bCs/>
        </w:rPr>
        <w:t xml:space="preserve">SUBJECT: </w:t>
      </w:r>
      <w:r w:rsidRPr="00C24CE6">
        <w:rPr>
          <w:bCs/>
        </w:rPr>
        <w:tab/>
        <w:t>MAP-21’s Transportation Alternatives Program (TAP)</w:t>
      </w:r>
    </w:p>
    <w:p w:rsidR="00D4102A" w:rsidRDefault="00D4102A" w:rsidP="00497452">
      <w:pPr>
        <w:spacing w:after="0" w:line="240" w:lineRule="auto"/>
        <w:ind w:left="720" w:right="720"/>
        <w:rPr>
          <w:b/>
          <w:bCs/>
        </w:rPr>
      </w:pPr>
      <w:r w:rsidRPr="00C24CE6">
        <w:rPr>
          <w:bCs/>
        </w:rPr>
        <w:t>DATE:</w:t>
      </w:r>
      <w:r w:rsidRPr="00C24CE6">
        <w:rPr>
          <w:bCs/>
        </w:rPr>
        <w:tab/>
      </w:r>
      <w:r w:rsidRPr="00C24CE6">
        <w:rPr>
          <w:bCs/>
        </w:rPr>
        <w:tab/>
        <w:t>November 15, 2012</w:t>
      </w:r>
      <w:r w:rsidRPr="00C24CE6">
        <w:rPr>
          <w:bCs/>
        </w:rPr>
        <w:br/>
      </w:r>
    </w:p>
    <w:p w:rsidR="00D4102A" w:rsidRPr="00497452" w:rsidRDefault="00D4102A" w:rsidP="00497452">
      <w:pPr>
        <w:spacing w:after="0" w:line="240" w:lineRule="auto"/>
        <w:ind w:left="720" w:right="720"/>
        <w:rPr>
          <w:b/>
          <w:bCs/>
        </w:rPr>
      </w:pPr>
    </w:p>
    <w:p w:rsidR="00D4102A" w:rsidRPr="00497452" w:rsidRDefault="00D4102A" w:rsidP="00497452">
      <w:pPr>
        <w:spacing w:after="0" w:line="240" w:lineRule="auto"/>
        <w:ind w:left="720" w:right="720"/>
        <w:rPr>
          <w:b/>
          <w:bCs/>
        </w:rPr>
      </w:pPr>
      <w:r w:rsidRPr="00497452">
        <w:rPr>
          <w:b/>
          <w:bCs/>
        </w:rPr>
        <w:t xml:space="preserve">Overview </w:t>
      </w:r>
    </w:p>
    <w:p w:rsidR="00497452" w:rsidRPr="00497452" w:rsidRDefault="00497452" w:rsidP="00497452">
      <w:pPr>
        <w:spacing w:after="0" w:line="240" w:lineRule="auto"/>
        <w:ind w:left="720" w:right="720"/>
        <w:rPr>
          <w:b/>
        </w:rPr>
      </w:pPr>
    </w:p>
    <w:p w:rsidR="00497452" w:rsidRPr="00497452" w:rsidRDefault="00497452" w:rsidP="00497452">
      <w:pPr>
        <w:pStyle w:val="NormalWeb"/>
        <w:spacing w:before="0" w:beforeAutospacing="0" w:after="0" w:afterAutospacing="0"/>
        <w:ind w:left="720"/>
        <w:rPr>
          <w:rFonts w:asciiTheme="minorHAnsi" w:hAnsiTheme="minorHAnsi"/>
          <w:sz w:val="22"/>
          <w:szCs w:val="22"/>
        </w:rPr>
      </w:pPr>
      <w:r w:rsidRPr="00497452">
        <w:rPr>
          <w:rFonts w:asciiTheme="minorHAnsi" w:hAnsiTheme="minorHAnsi"/>
          <w:sz w:val="22"/>
          <w:szCs w:val="22"/>
        </w:rPr>
        <w:t>T</w:t>
      </w:r>
      <w:r w:rsidR="00D4102A" w:rsidRPr="00497452">
        <w:rPr>
          <w:rFonts w:asciiTheme="minorHAnsi" w:hAnsiTheme="minorHAnsi"/>
          <w:sz w:val="22"/>
          <w:szCs w:val="22"/>
        </w:rPr>
        <w:t xml:space="preserve">he Transportation Alternatives Program (TAP) is a new formula program under MAP-21 that provides funding to projects considered “alternatives” to traditional highway construction.  Eligible uses include ped/bike facilities, safe routes </w:t>
      </w:r>
      <w:r w:rsidRPr="00497452">
        <w:rPr>
          <w:rFonts w:asciiTheme="minorHAnsi" w:hAnsiTheme="minorHAnsi"/>
          <w:sz w:val="22"/>
          <w:szCs w:val="22"/>
        </w:rPr>
        <w:t xml:space="preserve">and accessibility improvements </w:t>
      </w:r>
      <w:r w:rsidR="00D4102A" w:rsidRPr="00497452">
        <w:rPr>
          <w:rFonts w:asciiTheme="minorHAnsi" w:hAnsiTheme="minorHAnsi"/>
          <w:sz w:val="22"/>
          <w:szCs w:val="22"/>
        </w:rPr>
        <w:t xml:space="preserve">for non-drivers, </w:t>
      </w:r>
      <w:r w:rsidRPr="00497452">
        <w:rPr>
          <w:rFonts w:asciiTheme="minorHAnsi" w:hAnsiTheme="minorHAnsi"/>
          <w:sz w:val="22"/>
          <w:szCs w:val="22"/>
        </w:rPr>
        <w:t xml:space="preserve">community improvement and </w:t>
      </w:r>
      <w:r w:rsidR="00D4102A" w:rsidRPr="00497452">
        <w:rPr>
          <w:rFonts w:asciiTheme="minorHAnsi" w:hAnsiTheme="minorHAnsi"/>
          <w:sz w:val="22"/>
          <w:szCs w:val="22"/>
        </w:rPr>
        <w:t xml:space="preserve">environmental mitigation, </w:t>
      </w:r>
      <w:r w:rsidRPr="00497452">
        <w:rPr>
          <w:rFonts w:asciiTheme="minorHAnsi" w:hAnsiTheme="minorHAnsi"/>
          <w:sz w:val="22"/>
          <w:szCs w:val="22"/>
        </w:rPr>
        <w:t xml:space="preserve">recreational trail program projects, safe routes to school projects, and others. </w:t>
      </w:r>
    </w:p>
    <w:p w:rsidR="00497452" w:rsidRPr="00497452" w:rsidRDefault="00497452" w:rsidP="00497452">
      <w:pPr>
        <w:pStyle w:val="NormalWeb"/>
        <w:spacing w:before="0" w:beforeAutospacing="0" w:after="0" w:afterAutospacing="0"/>
        <w:ind w:left="720"/>
        <w:rPr>
          <w:rFonts w:asciiTheme="minorHAnsi" w:hAnsiTheme="minorHAnsi"/>
          <w:sz w:val="22"/>
          <w:szCs w:val="22"/>
        </w:rPr>
      </w:pPr>
    </w:p>
    <w:p w:rsidR="00D4102A" w:rsidRDefault="00D4102A" w:rsidP="00497452">
      <w:pPr>
        <w:spacing w:after="0" w:line="240" w:lineRule="auto"/>
        <w:ind w:left="720" w:right="720"/>
      </w:pPr>
      <w:r w:rsidRPr="00497452">
        <w:t>The TAP combines</w:t>
      </w:r>
      <w:r w:rsidRPr="00C24CE6">
        <w:t xml:space="preserve"> three former </w:t>
      </w:r>
      <w:r>
        <w:t xml:space="preserve">federal </w:t>
      </w:r>
      <w:r w:rsidRPr="00C24CE6">
        <w:t>programs: Transportation Enhancements</w:t>
      </w:r>
      <w:r w:rsidR="00497452">
        <w:t xml:space="preserve"> (TE)</w:t>
      </w:r>
      <w:r w:rsidRPr="00C24CE6">
        <w:t>, Safe Routes to Schools</w:t>
      </w:r>
      <w:r w:rsidR="00497452">
        <w:t xml:space="preserve"> (SRTS)</w:t>
      </w:r>
      <w:r w:rsidRPr="00C24CE6">
        <w:t>, and Recreational Trails</w:t>
      </w:r>
      <w:r w:rsidR="00497452">
        <w:t xml:space="preserve"> (RTP)</w:t>
      </w:r>
      <w:r w:rsidRPr="00C24CE6">
        <w:t>.</w:t>
      </w:r>
      <w:r>
        <w:t xml:space="preserve"> </w:t>
      </w:r>
      <w:r w:rsidRPr="00C24CE6">
        <w:t xml:space="preserve"> </w:t>
      </w:r>
      <w:r>
        <w:t>But funding for the new program is o</w:t>
      </w:r>
      <w:r w:rsidRPr="00C24CE6">
        <w:t>nly 2/3 the funding previously available for the three predecessor programs.</w:t>
      </w:r>
      <w:r>
        <w:t xml:space="preserve">  Total funding available nationwide is $808 million in FY2013 and $819 million in FY2014. The program l</w:t>
      </w:r>
      <w:r w:rsidRPr="00C24CE6">
        <w:t xml:space="preserve">argely maintains eligibility from the earlier programs with some </w:t>
      </w:r>
      <w:r>
        <w:t xml:space="preserve">key </w:t>
      </w:r>
      <w:r w:rsidRPr="00C24CE6">
        <w:t>changes</w:t>
      </w:r>
      <w:r>
        <w:t xml:space="preserve">. For example, the program </w:t>
      </w:r>
      <w:r w:rsidRPr="00C24CE6">
        <w:t xml:space="preserve">no longer </w:t>
      </w:r>
      <w:r>
        <w:t xml:space="preserve">can be used to fund </w:t>
      </w:r>
      <w:r w:rsidRPr="00C24CE6">
        <w:t>acquisition of scenic easements, safety/education for pedestrians/bicyclists (</w:t>
      </w:r>
      <w:r w:rsidR="00497452">
        <w:t xml:space="preserve">although </w:t>
      </w:r>
      <w:r w:rsidRPr="00C24CE6">
        <w:t xml:space="preserve">programs </w:t>
      </w:r>
      <w:r w:rsidR="00497452">
        <w:t xml:space="preserve">targeting </w:t>
      </w:r>
      <w:r w:rsidRPr="00C24CE6">
        <w:t>children</w:t>
      </w:r>
      <w:r w:rsidR="00497452">
        <w:t xml:space="preserve"> are still eligible)</w:t>
      </w:r>
      <w:r w:rsidRPr="00C24CE6">
        <w:t xml:space="preserve"> </w:t>
      </w:r>
      <w:r>
        <w:t xml:space="preserve">or </w:t>
      </w:r>
      <w:r w:rsidRPr="00C24CE6">
        <w:t xml:space="preserve">transportation museums. </w:t>
      </w:r>
      <w:r>
        <w:t xml:space="preserve"> </w:t>
      </w:r>
      <w:r w:rsidR="00B561CC">
        <w:t xml:space="preserve">A newly added eligible category is called “safe routes for non-drivers.” </w:t>
      </w:r>
    </w:p>
    <w:p w:rsidR="00B561CC" w:rsidRDefault="00B561CC" w:rsidP="00497452">
      <w:pPr>
        <w:spacing w:after="0" w:line="240" w:lineRule="auto"/>
        <w:ind w:left="720" w:right="720"/>
      </w:pPr>
    </w:p>
    <w:p w:rsidR="00D4102A" w:rsidRPr="00C24CE6" w:rsidRDefault="00D4102A" w:rsidP="00497452">
      <w:pPr>
        <w:spacing w:after="0" w:line="240" w:lineRule="auto"/>
        <w:ind w:left="720" w:right="720"/>
      </w:pPr>
      <w:r>
        <w:t>One of the key differences between the TAP and the previous programs is that</w:t>
      </w:r>
      <w:r w:rsidRPr="00C24CE6">
        <w:t xml:space="preserve"> </w:t>
      </w:r>
      <w:r>
        <w:t>l</w:t>
      </w:r>
      <w:r w:rsidRPr="00C24CE6">
        <w:t xml:space="preserve">arge MPOs will play </w:t>
      </w:r>
      <w:r>
        <w:t xml:space="preserve">a </w:t>
      </w:r>
      <w:r w:rsidRPr="00C24CE6">
        <w:t xml:space="preserve">new role in project selection for </w:t>
      </w:r>
      <w:r>
        <w:t>a</w:t>
      </w:r>
      <w:r w:rsidRPr="00C24CE6">
        <w:t xml:space="preserve"> portion of program funds </w:t>
      </w:r>
      <w:r>
        <w:t xml:space="preserve">that will be </w:t>
      </w:r>
      <w:r w:rsidRPr="00C24CE6">
        <w:t>suballocated to large metropolitan regions</w:t>
      </w:r>
      <w:r>
        <w:t xml:space="preserve">.  MAP-21 specified that in </w:t>
      </w:r>
      <w:r w:rsidRPr="00C24CE6">
        <w:t>urbanized areas with population</w:t>
      </w:r>
      <w:r w:rsidR="008F4124">
        <w:t>s</w:t>
      </w:r>
      <w:r w:rsidRPr="00C24CE6">
        <w:t xml:space="preserve"> over 200,000, the metropolitan planning organization </w:t>
      </w:r>
      <w:r w:rsidRPr="00C24CE6">
        <w:rPr>
          <w:i/>
          <w:iCs/>
        </w:rPr>
        <w:t>“shall select projects carried out within the boundaries of the applicable metropolitan planning area, in consultation with the relevant state.”</w:t>
      </w:r>
    </w:p>
    <w:p w:rsidR="00D4102A" w:rsidRDefault="00D4102A" w:rsidP="00D4102A">
      <w:pPr>
        <w:spacing w:after="0" w:line="240" w:lineRule="auto"/>
        <w:ind w:left="720" w:right="720"/>
      </w:pPr>
    </w:p>
    <w:p w:rsidR="00D4102A" w:rsidRDefault="00D4102A" w:rsidP="00D4102A">
      <w:pPr>
        <w:spacing w:after="0" w:line="240" w:lineRule="auto"/>
        <w:ind w:left="720" w:right="720"/>
      </w:pPr>
    </w:p>
    <w:p w:rsidR="00D4102A" w:rsidRPr="00970F9E" w:rsidRDefault="00D4102A" w:rsidP="00D4102A">
      <w:pPr>
        <w:spacing w:after="0" w:line="240" w:lineRule="auto"/>
        <w:ind w:left="720" w:right="720"/>
        <w:rPr>
          <w:b/>
        </w:rPr>
      </w:pPr>
      <w:r>
        <w:rPr>
          <w:b/>
        </w:rPr>
        <w:t>Launching the Program Nationwide</w:t>
      </w:r>
    </w:p>
    <w:p w:rsidR="00D4102A" w:rsidRDefault="00D4102A" w:rsidP="00D4102A">
      <w:pPr>
        <w:spacing w:after="0" w:line="240" w:lineRule="auto"/>
        <w:ind w:left="720" w:right="720"/>
      </w:pPr>
    </w:p>
    <w:p w:rsidR="00D4102A" w:rsidRPr="00C24CE6" w:rsidRDefault="00D4102A" w:rsidP="00D4102A">
      <w:pPr>
        <w:spacing w:after="0" w:line="240" w:lineRule="auto"/>
        <w:ind w:left="720" w:right="720"/>
      </w:pPr>
      <w:r>
        <w:t xml:space="preserve">The Federal Highway Administration issued Interim Guidance for the program on October 22, 2012.  MAP-21 indicates that FY2013 is the first year in which TAP program requirements must be followed.   </w:t>
      </w:r>
    </w:p>
    <w:p w:rsidR="00D4102A" w:rsidRDefault="00D4102A" w:rsidP="00D4102A">
      <w:pPr>
        <w:spacing w:after="0" w:line="240" w:lineRule="auto"/>
        <w:ind w:left="720" w:right="720"/>
      </w:pPr>
    </w:p>
    <w:p w:rsidR="00D4102A" w:rsidRDefault="00D4102A" w:rsidP="00D4102A">
      <w:pPr>
        <w:spacing w:after="0" w:line="240" w:lineRule="auto"/>
        <w:ind w:left="720" w:right="720"/>
      </w:pPr>
      <w:r>
        <w:t>The allocation and sub-allocation of TAP funding is structured as follows:</w:t>
      </w:r>
    </w:p>
    <w:p w:rsidR="00D4102A" w:rsidRDefault="00D4102A" w:rsidP="00D4102A">
      <w:pPr>
        <w:spacing w:after="0" w:line="240" w:lineRule="auto"/>
        <w:ind w:left="720" w:right="720"/>
      </w:pPr>
    </w:p>
    <w:p w:rsidR="00D4102A" w:rsidRDefault="00D4102A" w:rsidP="00497452">
      <w:pPr>
        <w:pStyle w:val="ListParagraph"/>
        <w:numPr>
          <w:ilvl w:val="0"/>
          <w:numId w:val="6"/>
        </w:numPr>
        <w:spacing w:after="0" w:line="240" w:lineRule="auto"/>
        <w:ind w:left="1440" w:right="720"/>
      </w:pPr>
      <w:r>
        <w:t xml:space="preserve">Each state will be allocated a portion of TAP funding based upon the state’s proportionate share of FY2009 Transportation Enhancements funding. </w:t>
      </w:r>
    </w:p>
    <w:p w:rsidR="00D4102A" w:rsidRDefault="00D4102A" w:rsidP="00497452">
      <w:pPr>
        <w:pStyle w:val="ListParagraph"/>
        <w:numPr>
          <w:ilvl w:val="0"/>
          <w:numId w:val="6"/>
        </w:numPr>
        <w:spacing w:after="0" w:line="240" w:lineRule="auto"/>
        <w:ind w:left="1440" w:right="720"/>
      </w:pPr>
      <w:r>
        <w:t>Within each state th</w:t>
      </w:r>
      <w:r w:rsidRPr="00C24CE6">
        <w:t xml:space="preserve">e Recreational Trails funds will be taken off the top of every state’s allocation. </w:t>
      </w:r>
      <w:r w:rsidR="001A1300">
        <w:t xml:space="preserve"> </w:t>
      </w:r>
      <w:r w:rsidR="00B561CC">
        <w:t xml:space="preserve">These set-asides will be equivalent to each state’s 2009 apportionment for federal Recreational Trails funds. Out of the total TAP apportionments for each state, the following percentages are expected to be set aside for Recreational Trails: 26% in DC, 9% in Maryland, and 5% in Virginia. </w:t>
      </w:r>
      <w:r w:rsidR="006F739E">
        <w:t xml:space="preserve"> MAP-21 requires the governors/DC mayor to designate the agency to administer Recreational Trails funds.  </w:t>
      </w:r>
    </w:p>
    <w:p w:rsidR="00D4102A" w:rsidRDefault="00D4102A" w:rsidP="00497452">
      <w:pPr>
        <w:pStyle w:val="ListParagraph"/>
        <w:numPr>
          <w:ilvl w:val="0"/>
          <w:numId w:val="6"/>
        </w:numPr>
        <w:spacing w:after="0" w:line="240" w:lineRule="auto"/>
        <w:ind w:left="1440" w:right="720"/>
      </w:pPr>
      <w:r>
        <w:lastRenderedPageBreak/>
        <w:t xml:space="preserve">The remaining </w:t>
      </w:r>
      <w:r w:rsidRPr="00C24CE6">
        <w:t>TAP funds will be suballocated as follows:</w:t>
      </w:r>
    </w:p>
    <w:p w:rsidR="00D4102A" w:rsidRDefault="00D4102A" w:rsidP="00497452">
      <w:pPr>
        <w:pStyle w:val="ListParagraph"/>
        <w:numPr>
          <w:ilvl w:val="1"/>
          <w:numId w:val="6"/>
        </w:numPr>
        <w:spacing w:after="0" w:line="240" w:lineRule="auto"/>
        <w:ind w:left="1800" w:right="720"/>
      </w:pPr>
      <w:r w:rsidRPr="00C24CE6">
        <w:t xml:space="preserve">50% </w:t>
      </w:r>
      <w:r>
        <w:t xml:space="preserve">will be </w:t>
      </w:r>
      <w:r w:rsidRPr="00C24CE6">
        <w:t>suballo</w:t>
      </w:r>
      <w:r>
        <w:t xml:space="preserve">cated to large urbanized areas with </w:t>
      </w:r>
      <w:r w:rsidRPr="00C24CE6">
        <w:t>populations larger than 200,000.</w:t>
      </w:r>
      <w:r>
        <w:t xml:space="preserve">  The amount of funding allocated to each of these areas will be proportional to the size of its population.  The MPOs in these areas will be responsible for project selection.  </w:t>
      </w:r>
    </w:p>
    <w:p w:rsidR="00D4102A" w:rsidRPr="00C24CE6" w:rsidRDefault="00D4102A" w:rsidP="00497452">
      <w:pPr>
        <w:pStyle w:val="ListParagraph"/>
        <w:numPr>
          <w:ilvl w:val="1"/>
          <w:numId w:val="6"/>
        </w:numPr>
        <w:spacing w:after="0" w:line="240" w:lineRule="auto"/>
        <w:ind w:left="1800" w:right="720"/>
      </w:pPr>
      <w:r w:rsidRPr="00C24CE6">
        <w:t xml:space="preserve">50% of funds </w:t>
      </w:r>
      <w:r w:rsidR="00497452">
        <w:t xml:space="preserve">will suballocated </w:t>
      </w:r>
      <w:r w:rsidRPr="00C24CE6">
        <w:t>for statewide project selection.</w:t>
      </w:r>
    </w:p>
    <w:p w:rsidR="00D4102A" w:rsidRDefault="00D4102A" w:rsidP="00D4102A">
      <w:pPr>
        <w:spacing w:after="0" w:line="240" w:lineRule="auto"/>
        <w:ind w:left="720" w:right="720"/>
      </w:pPr>
    </w:p>
    <w:p w:rsidR="00D4102A" w:rsidRDefault="001D2ADA" w:rsidP="00D4102A">
      <w:pPr>
        <w:spacing w:after="0" w:line="240" w:lineRule="auto"/>
        <w:ind w:left="720" w:right="720"/>
      </w:pPr>
      <w:r>
        <w:t>The TAP Interim Guidance</w:t>
      </w:r>
      <w:r w:rsidR="00D4102A">
        <w:t xml:space="preserve"> specifies that an MPO can allow a state to run the competitive selection process for its suballocated TAP funding.  However, the state cannot require the MPO to turn over its selection process. </w:t>
      </w:r>
    </w:p>
    <w:p w:rsidR="00D4102A" w:rsidRDefault="00D4102A" w:rsidP="00D4102A">
      <w:pPr>
        <w:spacing w:after="0" w:line="240" w:lineRule="auto"/>
        <w:ind w:left="720" w:right="720"/>
      </w:pPr>
    </w:p>
    <w:p w:rsidR="00D4102A" w:rsidRPr="00C24CE6" w:rsidRDefault="00D4102A" w:rsidP="00D4102A">
      <w:pPr>
        <w:spacing w:after="0" w:line="240" w:lineRule="auto"/>
        <w:ind w:left="720" w:right="720"/>
      </w:pPr>
      <w:r>
        <w:t xml:space="preserve">The law permits </w:t>
      </w:r>
      <w:r w:rsidRPr="00C24CE6">
        <w:t>fund</w:t>
      </w:r>
      <w:r>
        <w:t>ing from the following categories to be transferred to TAP projects: the National Highway Performance Program (NHPP), Surface Transportation Program (STP), Highway Safety Improvement Program (HSIP), Congestion Mitigation/Air Quality Program (CMAQ).  The law also permits</w:t>
      </w:r>
      <w:r w:rsidRPr="00194277">
        <w:t xml:space="preserve"> </w:t>
      </w:r>
      <w:r>
        <w:t>state DOTs to transfer the TAP funding that is suballocated for statewide project selection</w:t>
      </w:r>
      <w:r w:rsidR="003622C5">
        <w:t xml:space="preserve"> to these </w:t>
      </w:r>
      <w:r>
        <w:t xml:space="preserve">same </w:t>
      </w:r>
      <w:r w:rsidR="003622C5">
        <w:t>categories</w:t>
      </w:r>
      <w:r w:rsidR="001D2ADA">
        <w:t>.</w:t>
      </w:r>
    </w:p>
    <w:p w:rsidR="00D4102A" w:rsidRDefault="00D4102A" w:rsidP="00D4102A">
      <w:pPr>
        <w:spacing w:after="0" w:line="240" w:lineRule="auto"/>
        <w:ind w:left="720" w:right="720"/>
      </w:pPr>
    </w:p>
    <w:p w:rsidR="00D4102A" w:rsidRDefault="00D4102A" w:rsidP="00D4102A">
      <w:pPr>
        <w:spacing w:after="0" w:line="240" w:lineRule="auto"/>
        <w:ind w:left="720" w:right="720"/>
        <w:rPr>
          <w:b/>
          <w:bCs/>
        </w:rPr>
      </w:pPr>
    </w:p>
    <w:p w:rsidR="00D4102A" w:rsidRDefault="00D4102A" w:rsidP="00D4102A">
      <w:pPr>
        <w:spacing w:after="0" w:line="240" w:lineRule="auto"/>
        <w:ind w:left="720" w:right="720"/>
        <w:rPr>
          <w:b/>
          <w:bCs/>
        </w:rPr>
      </w:pPr>
      <w:r>
        <w:rPr>
          <w:b/>
          <w:bCs/>
        </w:rPr>
        <w:t xml:space="preserve">Establishing the </w:t>
      </w:r>
      <w:r w:rsidRPr="00507132">
        <w:rPr>
          <w:b/>
          <w:bCs/>
        </w:rPr>
        <w:t>Program</w:t>
      </w:r>
      <w:r>
        <w:rPr>
          <w:b/>
          <w:bCs/>
        </w:rPr>
        <w:t xml:space="preserve"> in Our Region</w:t>
      </w:r>
    </w:p>
    <w:p w:rsidR="00D4102A" w:rsidRPr="00622184" w:rsidRDefault="00D4102A" w:rsidP="00D4102A">
      <w:pPr>
        <w:spacing w:after="0" w:line="240" w:lineRule="auto"/>
        <w:ind w:left="720" w:right="720"/>
        <w:rPr>
          <w:bCs/>
        </w:rPr>
      </w:pPr>
    </w:p>
    <w:p w:rsidR="00D4102A" w:rsidRDefault="001D2ADA" w:rsidP="00D4102A">
      <w:pPr>
        <w:spacing w:after="0" w:line="240" w:lineRule="auto"/>
        <w:ind w:left="720" w:right="720"/>
        <w:rPr>
          <w:bCs/>
        </w:rPr>
      </w:pPr>
      <w:r>
        <w:rPr>
          <w:bCs/>
        </w:rPr>
        <w:t>In the National Capital Region, t</w:t>
      </w:r>
      <w:r w:rsidR="00D4102A">
        <w:rPr>
          <w:bCs/>
        </w:rPr>
        <w:t xml:space="preserve">his new program offers an unusual opportunity to fund regional priorities and complement regional planning activities.  It </w:t>
      </w:r>
      <w:r w:rsidR="003622C5">
        <w:rPr>
          <w:bCs/>
        </w:rPr>
        <w:t>could</w:t>
      </w:r>
      <w:r w:rsidR="00D4102A">
        <w:rPr>
          <w:bCs/>
        </w:rPr>
        <w:t xml:space="preserve"> promote key goals</w:t>
      </w:r>
      <w:r>
        <w:rPr>
          <w:bCs/>
        </w:rPr>
        <w:t xml:space="preserve"> of the TPB</w:t>
      </w:r>
      <w:r w:rsidR="00D4102A">
        <w:rPr>
          <w:bCs/>
        </w:rPr>
        <w:t xml:space="preserve">, including increasing non-motorized transportation options and promoting the development of regional activity centers in all jurisdictions of the region.  It will also complement a range of TPB planning activities, including the Transportation/Land-Use Connections (TLC) Program, which funds small-scale planning grants often focused on non-motorized modes, and the TPB’s role </w:t>
      </w:r>
      <w:r>
        <w:rPr>
          <w:bCs/>
        </w:rPr>
        <w:t xml:space="preserve">in managing project selection for federal programs </w:t>
      </w:r>
      <w:r w:rsidR="00D4102A">
        <w:rPr>
          <w:bCs/>
        </w:rPr>
        <w:t xml:space="preserve">focused on the needs of low-income people and persons with disabilities.  </w:t>
      </w:r>
    </w:p>
    <w:p w:rsidR="00D4102A" w:rsidRDefault="00D4102A" w:rsidP="00D4102A">
      <w:pPr>
        <w:spacing w:after="0" w:line="240" w:lineRule="auto"/>
        <w:ind w:left="720" w:right="720"/>
        <w:rPr>
          <w:bCs/>
        </w:rPr>
      </w:pPr>
    </w:p>
    <w:p w:rsidR="00D4102A" w:rsidRDefault="00D4102A" w:rsidP="00D4102A">
      <w:pPr>
        <w:spacing w:after="0" w:line="240" w:lineRule="auto"/>
        <w:ind w:left="720" w:right="720"/>
        <w:outlineLvl w:val="0"/>
        <w:rPr>
          <w:rFonts w:cs="Times New Roman"/>
          <w:b/>
        </w:rPr>
      </w:pPr>
      <w:r>
        <w:rPr>
          <w:rFonts w:cs="Times New Roman"/>
        </w:rPr>
        <w:t xml:space="preserve">The TPB Citizens Advisory Committee and the Access for All Advisory Committee have spoken in favor of the establishment of a robust regional </w:t>
      </w:r>
      <w:r w:rsidR="001D2ADA">
        <w:rPr>
          <w:rFonts w:cs="Times New Roman"/>
        </w:rPr>
        <w:t xml:space="preserve">TAP </w:t>
      </w:r>
      <w:r>
        <w:rPr>
          <w:rFonts w:cs="Times New Roman"/>
        </w:rPr>
        <w:t xml:space="preserve">program.  At their meeting in October, CAC members spoke about the need to be sure the Transportation Alternatives Program is implemented in a unified manner within our region and is not simply three separate programs in D.C., Maryland and Virginia.  </w:t>
      </w:r>
      <w:r w:rsidR="003622C5">
        <w:rPr>
          <w:rFonts w:cs="Times New Roman"/>
        </w:rPr>
        <w:t>Recognizing</w:t>
      </w:r>
      <w:r>
        <w:rPr>
          <w:rFonts w:cs="Times New Roman"/>
        </w:rPr>
        <w:t xml:space="preserve"> that this new federal program represents a rare opportunity for regional planning but that the TPB faces a unique challenge in coordinating among three state-level jurisdictions to implement a regional program, the CAC unanimously passed the following resolution: </w:t>
      </w:r>
    </w:p>
    <w:p w:rsidR="00D4102A" w:rsidRDefault="00D4102A" w:rsidP="00D4102A">
      <w:pPr>
        <w:spacing w:after="0" w:line="240" w:lineRule="auto"/>
        <w:ind w:left="720" w:right="720"/>
        <w:outlineLvl w:val="0"/>
        <w:rPr>
          <w:rFonts w:cs="Times New Roman"/>
          <w:b/>
        </w:rPr>
      </w:pPr>
    </w:p>
    <w:p w:rsidR="00D4102A" w:rsidRPr="00501F9B" w:rsidRDefault="00D4102A" w:rsidP="00D4102A">
      <w:pPr>
        <w:spacing w:after="0" w:line="240" w:lineRule="auto"/>
        <w:ind w:left="1440" w:right="720"/>
        <w:rPr>
          <w:bCs/>
        </w:rPr>
      </w:pPr>
      <w:r w:rsidRPr="00501F9B">
        <w:rPr>
          <w:rFonts w:cs="Times New Roman"/>
        </w:rPr>
        <w:t>“The CAC recommends that the TPB move forward expeditiously to develop a competitive regional program for implementing the new federal Transportation Alternatives Program, using a transparent project selection process and regional project selection criteria.”</w:t>
      </w:r>
    </w:p>
    <w:p w:rsidR="00D4102A" w:rsidRDefault="00D4102A" w:rsidP="00D4102A">
      <w:pPr>
        <w:spacing w:after="0" w:line="240" w:lineRule="auto"/>
        <w:ind w:left="720" w:right="720"/>
        <w:rPr>
          <w:b/>
          <w:bCs/>
        </w:rPr>
      </w:pPr>
    </w:p>
    <w:p w:rsidR="006F739E" w:rsidRDefault="006F739E" w:rsidP="006F739E">
      <w:pPr>
        <w:spacing w:after="0" w:line="240" w:lineRule="auto"/>
        <w:ind w:left="720"/>
      </w:pPr>
      <w:r w:rsidRPr="006F739E">
        <w:t>At its October 25, 2012 meeting, the Access for All (AFA) Advisory Committee agreed with the CAC’s recommendation and asked that the TPB also consider giving priority to TAP project applications that improve transportation for persons with disabilities</w:t>
      </w:r>
      <w:r>
        <w:t>,</w:t>
      </w:r>
      <w:r w:rsidRPr="006F739E">
        <w:t xml:space="preserve"> those with limited incomes and, minority communities.  The AFA suggested that within the TPB evaluation criteri</w:t>
      </w:r>
      <w:r>
        <w:t>a</w:t>
      </w:r>
      <w:r w:rsidRPr="006F739E">
        <w:t xml:space="preserve"> for scoring projects, extra points could be assigned to applications that address transportation for these groups.</w:t>
      </w:r>
    </w:p>
    <w:p w:rsidR="006F739E" w:rsidRDefault="006F739E" w:rsidP="006F739E">
      <w:pPr>
        <w:spacing w:after="0" w:line="240" w:lineRule="auto"/>
        <w:ind w:left="720"/>
      </w:pPr>
      <w:r>
        <w:t> </w:t>
      </w:r>
    </w:p>
    <w:p w:rsidR="00D4102A" w:rsidRDefault="003622C5" w:rsidP="006F739E">
      <w:pPr>
        <w:spacing w:after="0" w:line="240" w:lineRule="auto"/>
        <w:ind w:left="720" w:right="720"/>
        <w:rPr>
          <w:bCs/>
        </w:rPr>
      </w:pPr>
      <w:r>
        <w:rPr>
          <w:bCs/>
        </w:rPr>
        <w:t>I</w:t>
      </w:r>
      <w:r w:rsidR="00D4102A">
        <w:rPr>
          <w:bCs/>
        </w:rPr>
        <w:t xml:space="preserve">mplementing the program in our three-state region poses unique challenges.   An effective regional program must be flexible enough to work with the processes of each of our states while maintaining an identity and purpose that is common across our state lines.    </w:t>
      </w:r>
      <w:r w:rsidR="00D4102A" w:rsidRPr="00C24CE6">
        <w:t xml:space="preserve">Applicants in our region will be eligible for </w:t>
      </w:r>
      <w:r w:rsidR="00D4102A" w:rsidRPr="00C24CE6">
        <w:lastRenderedPageBreak/>
        <w:t>both suballocated and st</w:t>
      </w:r>
      <w:r w:rsidR="00D4102A">
        <w:t xml:space="preserve">atewide funds within their respective states, and </w:t>
      </w:r>
      <w:r w:rsidR="001D2ADA">
        <w:t xml:space="preserve">therefore we </w:t>
      </w:r>
      <w:r w:rsidR="00D4102A">
        <w:rPr>
          <w:bCs/>
        </w:rPr>
        <w:t>will need to coordinate within each state and among them, seeking to align the selection process and scheduling as much as possible</w:t>
      </w:r>
      <w:r w:rsidR="00D4102A" w:rsidRPr="00995CDA">
        <w:t xml:space="preserve"> </w:t>
      </w:r>
      <w:r w:rsidR="00D4102A" w:rsidRPr="00C24CE6">
        <w:t>to provide a seamless application process</w:t>
      </w:r>
      <w:r w:rsidR="00D4102A">
        <w:rPr>
          <w:bCs/>
        </w:rPr>
        <w:t xml:space="preserve">.  </w:t>
      </w:r>
    </w:p>
    <w:p w:rsidR="00D4102A" w:rsidRDefault="00D4102A" w:rsidP="00D4102A">
      <w:pPr>
        <w:spacing w:after="0" w:line="240" w:lineRule="auto"/>
        <w:ind w:left="720" w:right="720"/>
        <w:rPr>
          <w:bCs/>
        </w:rPr>
      </w:pPr>
    </w:p>
    <w:p w:rsidR="00D4102A" w:rsidRDefault="00D4102A" w:rsidP="00D4102A">
      <w:pPr>
        <w:spacing w:after="0" w:line="240" w:lineRule="auto"/>
        <w:ind w:left="720" w:right="720"/>
        <w:rPr>
          <w:bCs/>
        </w:rPr>
      </w:pPr>
      <w:r>
        <w:rPr>
          <w:bCs/>
        </w:rPr>
        <w:t xml:space="preserve">In addition, the transitions from the previous programs may be complicated.   Clearly, the law intends for the new rules to apply for the new TAP funding, which begins in FY2013.  But in many cases, funding from the previous programs (TE and SRTS) will continue to be expended according to the rules of those previous programs, which did not suballocate funding and had somewhat different eligibility requirements. </w:t>
      </w:r>
      <w:r w:rsidR="003622C5">
        <w:rPr>
          <w:bCs/>
        </w:rPr>
        <w:t xml:space="preserve"> In addition, there may be project applications that have been submitted to the previous TE and SRTS programs that have not yet been funded but may be eligible for the new TAP funding. </w:t>
      </w:r>
    </w:p>
    <w:p w:rsidR="00D4102A" w:rsidRPr="00622184" w:rsidRDefault="00D4102A" w:rsidP="00D4102A">
      <w:pPr>
        <w:spacing w:after="0" w:line="240" w:lineRule="auto"/>
        <w:ind w:left="720" w:right="720"/>
      </w:pPr>
    </w:p>
    <w:p w:rsidR="00D4102A" w:rsidRPr="00C24CE6" w:rsidRDefault="00D4102A" w:rsidP="00D4102A">
      <w:pPr>
        <w:spacing w:after="0" w:line="240" w:lineRule="auto"/>
        <w:ind w:left="720" w:right="720"/>
      </w:pPr>
      <w:r w:rsidRPr="00C24CE6">
        <w:t xml:space="preserve">For all three states combined, the suballocated portion of program funds for our region is expected to </w:t>
      </w:r>
      <w:r w:rsidR="001D2ADA">
        <w:t>be</w:t>
      </w:r>
      <w:r w:rsidRPr="00C24CE6">
        <w:t xml:space="preserve"> $4</w:t>
      </w:r>
      <w:r w:rsidR="006F739E">
        <w:t>-5</w:t>
      </w:r>
      <w:r w:rsidRPr="00C24CE6">
        <w:t xml:space="preserve"> million annually.  </w:t>
      </w:r>
      <w:r w:rsidR="003622C5">
        <w:t>Relative to the eligible projects throughout the region, t</w:t>
      </w:r>
      <w:r w:rsidR="001D2ADA">
        <w:t xml:space="preserve">his funding total will </w:t>
      </w:r>
      <w:r w:rsidR="003622C5">
        <w:t>be very modest</w:t>
      </w:r>
      <w:r w:rsidR="001D2ADA">
        <w:t xml:space="preserve">, a fact that </w:t>
      </w:r>
      <w:r>
        <w:t xml:space="preserve">further supports the need to establish a selection process that is efficient and well-coordinated.  </w:t>
      </w:r>
    </w:p>
    <w:p w:rsidR="00D4102A" w:rsidRDefault="00D4102A" w:rsidP="00D4102A">
      <w:pPr>
        <w:spacing w:after="0" w:line="240" w:lineRule="auto"/>
        <w:ind w:left="720" w:right="720"/>
        <w:rPr>
          <w:b/>
          <w:bCs/>
        </w:rPr>
      </w:pPr>
    </w:p>
    <w:p w:rsidR="00ED1145" w:rsidRDefault="00ED1145" w:rsidP="00D4102A">
      <w:pPr>
        <w:spacing w:after="0" w:line="240" w:lineRule="auto"/>
        <w:ind w:left="720" w:right="720"/>
        <w:rPr>
          <w:b/>
          <w:bCs/>
        </w:rPr>
      </w:pPr>
    </w:p>
    <w:p w:rsidR="00D4102A" w:rsidRDefault="00D4102A" w:rsidP="00D4102A">
      <w:pPr>
        <w:spacing w:after="0" w:line="240" w:lineRule="auto"/>
        <w:ind w:left="720" w:right="720"/>
        <w:rPr>
          <w:b/>
          <w:bCs/>
        </w:rPr>
      </w:pPr>
      <w:r>
        <w:rPr>
          <w:b/>
          <w:bCs/>
        </w:rPr>
        <w:t xml:space="preserve">TPB Staff Proposal </w:t>
      </w:r>
    </w:p>
    <w:p w:rsidR="00D4102A" w:rsidRDefault="00D4102A" w:rsidP="00D4102A">
      <w:pPr>
        <w:spacing w:after="0" w:line="240" w:lineRule="auto"/>
        <w:ind w:left="720" w:right="720"/>
        <w:rPr>
          <w:b/>
          <w:bCs/>
        </w:rPr>
      </w:pPr>
    </w:p>
    <w:p w:rsidR="00D4102A" w:rsidRDefault="00D4102A" w:rsidP="00D4102A">
      <w:pPr>
        <w:spacing w:after="0" w:line="240" w:lineRule="auto"/>
        <w:ind w:left="720" w:right="720"/>
      </w:pPr>
      <w:r>
        <w:t xml:space="preserve">Based upon staff review of the law and guidance, and discussions with the three state DOTs, TPB staff </w:t>
      </w:r>
      <w:r w:rsidR="00144CC3">
        <w:t>is proposing the establishment of a regional</w:t>
      </w:r>
      <w:r>
        <w:t xml:space="preserve"> TAP project selection process in our region</w:t>
      </w:r>
      <w:r w:rsidR="00144CC3">
        <w:t xml:space="preserve">.  The process would be grounded in the following key features for both suballocated and statewide funds: </w:t>
      </w:r>
    </w:p>
    <w:p w:rsidR="00D4102A" w:rsidRDefault="00D4102A" w:rsidP="00D4102A">
      <w:pPr>
        <w:spacing w:after="0" w:line="240" w:lineRule="auto"/>
        <w:ind w:left="720" w:right="720"/>
      </w:pPr>
    </w:p>
    <w:p w:rsidR="00D4102A" w:rsidRPr="00C24CE6" w:rsidRDefault="00D4102A" w:rsidP="00D4102A">
      <w:pPr>
        <w:numPr>
          <w:ilvl w:val="0"/>
          <w:numId w:val="7"/>
        </w:numPr>
        <w:spacing w:after="0" w:line="240" w:lineRule="auto"/>
        <w:ind w:right="720"/>
      </w:pPr>
      <w:r w:rsidRPr="00C24CE6">
        <w:t>Projects will be selected for the suballocated funds by the TPB using regional project selection criteria established by the TPB</w:t>
      </w:r>
      <w:r>
        <w:t>.   F</w:t>
      </w:r>
      <w:r w:rsidRPr="00C24CE6">
        <w:t>or the statewide funds</w:t>
      </w:r>
      <w:r>
        <w:t xml:space="preserve">, project selection will be conducted </w:t>
      </w:r>
      <w:r w:rsidRPr="00C24CE6">
        <w:t>by the three states.</w:t>
      </w:r>
    </w:p>
    <w:p w:rsidR="00D4102A" w:rsidRDefault="00D4102A" w:rsidP="00D4102A">
      <w:pPr>
        <w:spacing w:after="0" w:line="240" w:lineRule="auto"/>
        <w:ind w:left="1440" w:right="720"/>
      </w:pPr>
    </w:p>
    <w:p w:rsidR="00D4102A" w:rsidRPr="00C24CE6" w:rsidRDefault="00D4102A" w:rsidP="00D4102A">
      <w:pPr>
        <w:numPr>
          <w:ilvl w:val="0"/>
          <w:numId w:val="7"/>
        </w:numPr>
        <w:spacing w:after="0" w:line="240" w:lineRule="auto"/>
        <w:ind w:right="720"/>
      </w:pPr>
      <w:r w:rsidRPr="00C24CE6">
        <w:t>Applicants will fill out only one application issued by their respective states, making them eligible for project selection for both suballocated and statewide funds.</w:t>
      </w:r>
    </w:p>
    <w:p w:rsidR="00D4102A" w:rsidRDefault="00D4102A" w:rsidP="00D4102A">
      <w:pPr>
        <w:spacing w:after="0" w:line="240" w:lineRule="auto"/>
        <w:ind w:left="1440" w:right="720"/>
      </w:pPr>
    </w:p>
    <w:p w:rsidR="00D4102A" w:rsidRPr="00C24CE6" w:rsidRDefault="00D4102A" w:rsidP="00D4102A">
      <w:pPr>
        <w:numPr>
          <w:ilvl w:val="0"/>
          <w:numId w:val="7"/>
        </w:numPr>
        <w:spacing w:after="0" w:line="240" w:lineRule="auto"/>
        <w:ind w:right="720"/>
      </w:pPr>
      <w:r w:rsidRPr="00C24CE6">
        <w:t>Funds allocated from each state</w:t>
      </w:r>
      <w:r w:rsidR="00144CC3">
        <w:t>, both for the statewide and suballocated funds,</w:t>
      </w:r>
      <w:r w:rsidRPr="00C24CE6">
        <w:t xml:space="preserve"> will stay within that state.</w:t>
      </w:r>
    </w:p>
    <w:p w:rsidR="00D4102A" w:rsidRDefault="00D4102A" w:rsidP="00D4102A">
      <w:pPr>
        <w:spacing w:after="0" w:line="240" w:lineRule="auto"/>
        <w:ind w:left="1440" w:right="720"/>
      </w:pPr>
    </w:p>
    <w:p w:rsidR="00D4102A" w:rsidRPr="00C24CE6" w:rsidRDefault="00D4102A" w:rsidP="00D4102A">
      <w:pPr>
        <w:numPr>
          <w:ilvl w:val="0"/>
          <w:numId w:val="7"/>
        </w:numPr>
        <w:spacing w:after="0" w:line="240" w:lineRule="auto"/>
        <w:ind w:right="720"/>
      </w:pPr>
      <w:r w:rsidRPr="00C24CE6">
        <w:t xml:space="preserve">State transportation agencies will </w:t>
      </w:r>
      <w:r w:rsidR="003622C5">
        <w:t xml:space="preserve">manage project </w:t>
      </w:r>
      <w:r w:rsidR="006F739E">
        <w:t xml:space="preserve">implementation </w:t>
      </w:r>
      <w:r w:rsidR="006F739E" w:rsidRPr="00C24CE6">
        <w:t>by</w:t>
      </w:r>
      <w:r w:rsidR="003622C5">
        <w:t xml:space="preserve"> successful project applicants.</w:t>
      </w:r>
    </w:p>
    <w:p w:rsidR="00D4102A" w:rsidRDefault="00D4102A" w:rsidP="00D4102A">
      <w:pPr>
        <w:spacing w:after="0" w:line="240" w:lineRule="auto"/>
        <w:ind w:left="720" w:right="720"/>
        <w:rPr>
          <w:b/>
          <w:bCs/>
        </w:rPr>
      </w:pPr>
    </w:p>
    <w:p w:rsidR="00D4102A" w:rsidRDefault="00D4102A" w:rsidP="00D4102A">
      <w:pPr>
        <w:spacing w:after="0" w:line="240" w:lineRule="auto"/>
        <w:ind w:left="720" w:right="720"/>
      </w:pPr>
      <w:r>
        <w:t xml:space="preserve">The TPB’s </w:t>
      </w:r>
      <w:r w:rsidR="003622C5">
        <w:t xml:space="preserve">proposed </w:t>
      </w:r>
      <w:r>
        <w:t>competitive selection process</w:t>
      </w:r>
      <w:r w:rsidR="00144CC3">
        <w:t xml:space="preserve"> for projects funded through the region’s TAP suballocation,</w:t>
      </w:r>
      <w:r>
        <w:t xml:space="preserve"> </w:t>
      </w:r>
      <w:r w:rsidR="003622C5">
        <w:t>would</w:t>
      </w:r>
      <w:r>
        <w:t xml:space="preserve"> include the following steps and features: </w:t>
      </w:r>
    </w:p>
    <w:p w:rsidR="00D4102A" w:rsidRDefault="00D4102A" w:rsidP="00D4102A">
      <w:pPr>
        <w:spacing w:after="0" w:line="240" w:lineRule="auto"/>
        <w:ind w:left="720" w:right="720"/>
      </w:pPr>
    </w:p>
    <w:p w:rsidR="00D4102A" w:rsidRDefault="00D4102A" w:rsidP="00D4102A">
      <w:pPr>
        <w:numPr>
          <w:ilvl w:val="0"/>
          <w:numId w:val="8"/>
        </w:numPr>
        <w:spacing w:after="0" w:line="240" w:lineRule="auto"/>
        <w:ind w:right="720"/>
      </w:pPr>
      <w:r>
        <w:t>The s</w:t>
      </w:r>
      <w:r w:rsidRPr="00C24CE6">
        <w:t>tate DOTs w</w:t>
      </w:r>
      <w:r w:rsidR="003622C5">
        <w:t>ould</w:t>
      </w:r>
      <w:r w:rsidRPr="00C24CE6">
        <w:t xml:space="preserve"> screen all applications for eligibility</w:t>
      </w:r>
      <w:r>
        <w:t xml:space="preserve"> and readiness</w:t>
      </w:r>
      <w:r w:rsidR="003622C5">
        <w:t xml:space="preserve">, ensuring </w:t>
      </w:r>
      <w:r>
        <w:t xml:space="preserve">that only eligible and </w:t>
      </w:r>
      <w:r w:rsidR="003622C5">
        <w:t>implementable</w:t>
      </w:r>
      <w:r>
        <w:t xml:space="preserve"> projects </w:t>
      </w:r>
      <w:r w:rsidR="003622C5">
        <w:t>would</w:t>
      </w:r>
      <w:r>
        <w:t xml:space="preserve"> be considered. </w:t>
      </w:r>
    </w:p>
    <w:p w:rsidR="00D4102A" w:rsidRPr="00C24CE6" w:rsidRDefault="00D4102A" w:rsidP="00D4102A">
      <w:pPr>
        <w:spacing w:after="0" w:line="240" w:lineRule="auto"/>
        <w:ind w:left="1440" w:right="720"/>
      </w:pPr>
    </w:p>
    <w:p w:rsidR="00D4102A" w:rsidRPr="00C24CE6" w:rsidRDefault="00D4102A" w:rsidP="00D4102A">
      <w:pPr>
        <w:numPr>
          <w:ilvl w:val="0"/>
          <w:numId w:val="8"/>
        </w:numPr>
        <w:spacing w:after="0" w:line="240" w:lineRule="auto"/>
        <w:ind w:right="720"/>
      </w:pPr>
      <w:r w:rsidRPr="00C24CE6">
        <w:t xml:space="preserve">An impartial regional panel appointed by the TPB </w:t>
      </w:r>
      <w:r w:rsidR="003622C5">
        <w:t>would</w:t>
      </w:r>
      <w:r w:rsidRPr="00C24CE6">
        <w:t xml:space="preserve"> select projects using regional project selection criteria developed to reflect agreed-upon regional goals. </w:t>
      </w:r>
      <w:r>
        <w:t xml:space="preserve">  This panel will be similar to the selection panel for the TPB’s Transportation/Land-Use Connections (TLC) Program which </w:t>
      </w:r>
      <w:r w:rsidR="003622C5">
        <w:t xml:space="preserve">is chaired by a TPB member and </w:t>
      </w:r>
      <w:r>
        <w:t xml:space="preserve">includes representatives from national-level organizations, including the Transportation Research Board (TRB), the American Planning Association (APA), the Institute for Transportation Engineers (ITE), and the American Institute of Architects (AIA).  </w:t>
      </w:r>
    </w:p>
    <w:p w:rsidR="00D4102A" w:rsidRDefault="00D4102A" w:rsidP="00D4102A">
      <w:pPr>
        <w:spacing w:after="0" w:line="240" w:lineRule="auto"/>
        <w:ind w:left="1440" w:right="720"/>
      </w:pPr>
    </w:p>
    <w:p w:rsidR="00D4102A" w:rsidRPr="00C24CE6" w:rsidRDefault="00D4102A" w:rsidP="00D4102A">
      <w:pPr>
        <w:numPr>
          <w:ilvl w:val="0"/>
          <w:numId w:val="8"/>
        </w:numPr>
        <w:spacing w:after="0" w:line="240" w:lineRule="auto"/>
        <w:ind w:right="720"/>
      </w:pPr>
      <w:r w:rsidRPr="00C24CE6">
        <w:t xml:space="preserve">The regional project selection process </w:t>
      </w:r>
      <w:r w:rsidR="003622C5">
        <w:t>would</w:t>
      </w:r>
      <w:r w:rsidRPr="00C24CE6">
        <w:t xml:space="preserve"> be coordinated with the state project selection process. </w:t>
      </w:r>
      <w:r>
        <w:t xml:space="preserve"> </w:t>
      </w:r>
      <w:r w:rsidR="00144CC3">
        <w:t xml:space="preserve">Ideally, the selection panel would consider projects from all three states at the same time (although again, suballocated funds for each state would only be awarded to projects </w:t>
      </w:r>
      <w:r w:rsidR="001D2ADA">
        <w:t>with</w:t>
      </w:r>
      <w:r w:rsidR="00144CC3">
        <w:t xml:space="preserve">in that state).  </w:t>
      </w:r>
    </w:p>
    <w:p w:rsidR="00D4102A" w:rsidRDefault="00D4102A" w:rsidP="00D4102A">
      <w:pPr>
        <w:spacing w:after="0" w:line="240" w:lineRule="auto"/>
        <w:ind w:left="1440" w:right="720"/>
      </w:pPr>
    </w:p>
    <w:p w:rsidR="00D4102A" w:rsidRPr="00C24CE6" w:rsidRDefault="00144CC3" w:rsidP="00D4102A">
      <w:pPr>
        <w:numPr>
          <w:ilvl w:val="0"/>
          <w:numId w:val="8"/>
        </w:numPr>
        <w:spacing w:after="0" w:line="240" w:lineRule="auto"/>
        <w:ind w:right="720"/>
      </w:pPr>
      <w:r>
        <w:t>As indicated in the Interim Federal Guidance, the program will require a m</w:t>
      </w:r>
      <w:r w:rsidR="00D4102A" w:rsidRPr="00C24CE6">
        <w:t>inimum 20% local match</w:t>
      </w:r>
      <w:r>
        <w:t xml:space="preserve">.  </w:t>
      </w:r>
      <w:r w:rsidR="00D4102A" w:rsidRPr="00C24CE6">
        <w:t xml:space="preserve"> </w:t>
      </w:r>
    </w:p>
    <w:p w:rsidR="001D2ADA" w:rsidRDefault="001D2ADA" w:rsidP="00D4102A">
      <w:pPr>
        <w:spacing w:after="0" w:line="240" w:lineRule="auto"/>
        <w:ind w:left="720" w:right="720"/>
        <w:rPr>
          <w:b/>
          <w:bCs/>
        </w:rPr>
      </w:pPr>
    </w:p>
    <w:p w:rsidR="006F739E" w:rsidRDefault="006F739E" w:rsidP="00D4102A">
      <w:pPr>
        <w:spacing w:after="0" w:line="240" w:lineRule="auto"/>
        <w:ind w:left="720" w:right="720"/>
        <w:rPr>
          <w:b/>
          <w:bCs/>
        </w:rPr>
      </w:pPr>
    </w:p>
    <w:p w:rsidR="00144CC3" w:rsidRDefault="00144CC3" w:rsidP="00D4102A">
      <w:pPr>
        <w:spacing w:after="0" w:line="240" w:lineRule="auto"/>
        <w:ind w:left="720" w:right="720"/>
        <w:rPr>
          <w:b/>
          <w:bCs/>
        </w:rPr>
      </w:pPr>
      <w:r>
        <w:rPr>
          <w:b/>
          <w:bCs/>
        </w:rPr>
        <w:t>Moving Forward</w:t>
      </w:r>
    </w:p>
    <w:p w:rsidR="00144CC3" w:rsidRPr="00144CC3" w:rsidRDefault="00144CC3" w:rsidP="00D4102A">
      <w:pPr>
        <w:spacing w:after="0" w:line="240" w:lineRule="auto"/>
        <w:ind w:left="720" w:right="720"/>
        <w:rPr>
          <w:bCs/>
        </w:rPr>
      </w:pPr>
    </w:p>
    <w:p w:rsidR="00144CC3" w:rsidRDefault="003622C5" w:rsidP="00D4102A">
      <w:pPr>
        <w:spacing w:after="0" w:line="240" w:lineRule="auto"/>
        <w:ind w:left="720" w:right="720"/>
        <w:rPr>
          <w:bCs/>
        </w:rPr>
      </w:pPr>
      <w:r>
        <w:rPr>
          <w:bCs/>
        </w:rPr>
        <w:t>T</w:t>
      </w:r>
      <w:r w:rsidR="006F739E">
        <w:rPr>
          <w:bCs/>
        </w:rPr>
        <w:t>P</w:t>
      </w:r>
      <w:r>
        <w:rPr>
          <w:bCs/>
        </w:rPr>
        <w:t>B staff supports</w:t>
      </w:r>
      <w:r w:rsidR="00144CC3" w:rsidRPr="00144CC3">
        <w:rPr>
          <w:bCs/>
        </w:rPr>
        <w:t xml:space="preserve"> a proposal </w:t>
      </w:r>
      <w:r>
        <w:rPr>
          <w:bCs/>
        </w:rPr>
        <w:t>by</w:t>
      </w:r>
      <w:r w:rsidR="00144CC3" w:rsidRPr="00144CC3">
        <w:rPr>
          <w:bCs/>
        </w:rPr>
        <w:t xml:space="preserve"> </w:t>
      </w:r>
      <w:r w:rsidR="00ED1145">
        <w:rPr>
          <w:bCs/>
        </w:rPr>
        <w:t>the Maryland Department of Transportation</w:t>
      </w:r>
      <w:r w:rsidR="00144CC3" w:rsidRPr="00144CC3">
        <w:rPr>
          <w:bCs/>
        </w:rPr>
        <w:t xml:space="preserve"> that </w:t>
      </w:r>
      <w:r w:rsidR="00144CC3">
        <w:rPr>
          <w:bCs/>
        </w:rPr>
        <w:t xml:space="preserve">TAP funds for FY2013 and FY2014 be combined into one joint solicitation to be issued </w:t>
      </w:r>
      <w:r w:rsidR="00ED1145">
        <w:rPr>
          <w:bCs/>
        </w:rPr>
        <w:t xml:space="preserve">early </w:t>
      </w:r>
      <w:r w:rsidR="006F739E">
        <w:rPr>
          <w:bCs/>
        </w:rPr>
        <w:t>in</w:t>
      </w:r>
      <w:r w:rsidR="00ED1145">
        <w:rPr>
          <w:bCs/>
        </w:rPr>
        <w:t xml:space="preserve"> 2013</w:t>
      </w:r>
      <w:r w:rsidR="00144CC3">
        <w:rPr>
          <w:bCs/>
        </w:rPr>
        <w:t xml:space="preserve">, with </w:t>
      </w:r>
      <w:r w:rsidR="00ED1145">
        <w:rPr>
          <w:bCs/>
        </w:rPr>
        <w:t xml:space="preserve">project selection occurring by the end of June.   Such a </w:t>
      </w:r>
      <w:r w:rsidR="001D2ADA">
        <w:rPr>
          <w:bCs/>
        </w:rPr>
        <w:t>combination of funding</w:t>
      </w:r>
      <w:r w:rsidR="00ED1145">
        <w:rPr>
          <w:bCs/>
        </w:rPr>
        <w:t xml:space="preserve"> w</w:t>
      </w:r>
      <w:r>
        <w:rPr>
          <w:bCs/>
        </w:rPr>
        <w:t>ould</w:t>
      </w:r>
      <w:r w:rsidR="00ED1145">
        <w:rPr>
          <w:bCs/>
        </w:rPr>
        <w:t xml:space="preserve"> ease the transition from previous programs and w</w:t>
      </w:r>
      <w:r>
        <w:rPr>
          <w:bCs/>
        </w:rPr>
        <w:t>ould</w:t>
      </w:r>
      <w:r w:rsidR="00ED1145">
        <w:rPr>
          <w:bCs/>
        </w:rPr>
        <w:t xml:space="preserve"> permit the program partners additional time </w:t>
      </w:r>
      <w:r>
        <w:rPr>
          <w:bCs/>
        </w:rPr>
        <w:t>to</w:t>
      </w:r>
      <w:r w:rsidR="00ED1145">
        <w:rPr>
          <w:bCs/>
        </w:rPr>
        <w:t xml:space="preserve"> establish the new program.  </w:t>
      </w:r>
    </w:p>
    <w:p w:rsidR="00ED1145" w:rsidRDefault="00ED1145" w:rsidP="00D4102A">
      <w:pPr>
        <w:spacing w:after="0" w:line="240" w:lineRule="auto"/>
        <w:ind w:left="720" w:right="720"/>
        <w:rPr>
          <w:bCs/>
        </w:rPr>
      </w:pPr>
    </w:p>
    <w:p w:rsidR="008F4124" w:rsidRDefault="00C504B7" w:rsidP="00D4102A">
      <w:pPr>
        <w:spacing w:after="0" w:line="240" w:lineRule="auto"/>
        <w:ind w:left="720" w:right="720"/>
        <w:rPr>
          <w:bCs/>
        </w:rPr>
      </w:pPr>
      <w:r>
        <w:rPr>
          <w:bCs/>
        </w:rPr>
        <w:t xml:space="preserve">TPB staff is currently conducting discussions with DDOT, MDOT and VDOT regarding the establishment of the TAP in our region.  </w:t>
      </w:r>
      <w:r w:rsidR="008F4124">
        <w:rPr>
          <w:bCs/>
        </w:rPr>
        <w:t>Staff will provide</w:t>
      </w:r>
      <w:r>
        <w:rPr>
          <w:bCs/>
        </w:rPr>
        <w:t xml:space="preserve"> a progress report</w:t>
      </w:r>
      <w:r w:rsidR="008F4124">
        <w:rPr>
          <w:bCs/>
        </w:rPr>
        <w:t xml:space="preserve"> at the Board’s next meeting on </w:t>
      </w:r>
    </w:p>
    <w:p w:rsidR="00144CC3" w:rsidRDefault="008F4124" w:rsidP="00D4102A">
      <w:pPr>
        <w:spacing w:after="0" w:line="240" w:lineRule="auto"/>
        <w:ind w:left="720" w:right="720"/>
        <w:rPr>
          <w:b/>
          <w:bCs/>
        </w:rPr>
      </w:pPr>
      <w:r>
        <w:rPr>
          <w:bCs/>
        </w:rPr>
        <w:t>December 19.</w:t>
      </w:r>
    </w:p>
    <w:p w:rsidR="001D2ADA" w:rsidRDefault="001D2ADA" w:rsidP="00D4102A">
      <w:pPr>
        <w:spacing w:after="0" w:line="240" w:lineRule="auto"/>
        <w:ind w:left="720" w:right="720"/>
        <w:rPr>
          <w:b/>
          <w:bCs/>
        </w:rPr>
      </w:pPr>
    </w:p>
    <w:p w:rsidR="001D2ADA" w:rsidRDefault="001D2ADA" w:rsidP="00D4102A">
      <w:pPr>
        <w:spacing w:after="0" w:line="240" w:lineRule="auto"/>
        <w:ind w:left="720" w:right="720"/>
        <w:rPr>
          <w:b/>
          <w:bCs/>
        </w:rPr>
      </w:pPr>
    </w:p>
    <w:sectPr w:rsidR="001D2ADA" w:rsidSect="00F31732">
      <w:headerReference w:type="default" r:id="rId7"/>
      <w:headerReference w:type="first" r:id="rId8"/>
      <w:pgSz w:w="12240" w:h="15840" w:code="1"/>
      <w:pgMar w:top="1260" w:right="720" w:bottom="1440" w:left="720"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04B7" w:rsidRDefault="00C504B7">
      <w:r>
        <w:separator/>
      </w:r>
    </w:p>
  </w:endnote>
  <w:endnote w:type="continuationSeparator" w:id="0">
    <w:p w:rsidR="00C504B7" w:rsidRDefault="00C504B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Futura Md BT">
    <w:altName w:val="Lucida Sans Unicode"/>
    <w:panose1 w:val="020B0602020204020303"/>
    <w:charset w:val="00"/>
    <w:family w:val="swiss"/>
    <w:pitch w:val="variable"/>
    <w:sig w:usb0="00000001"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04B7" w:rsidRDefault="00C504B7">
      <w:r>
        <w:separator/>
      </w:r>
    </w:p>
  </w:footnote>
  <w:footnote w:type="continuationSeparator" w:id="0">
    <w:p w:rsidR="00C504B7" w:rsidRDefault="00C504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4B7" w:rsidRDefault="00C504B7" w:rsidP="00F31732">
    <w:pPr>
      <w:pStyle w:val="Header"/>
      <w:tabs>
        <w:tab w:val="clear" w:pos="8640"/>
      </w:tabs>
      <w:jc w:val="right"/>
    </w:pPr>
    <w:r>
      <w:rPr>
        <w:rStyle w:val="PageNumber"/>
      </w:rPr>
      <w:t xml:space="preserve">Page </w:t>
    </w:r>
    <w:r w:rsidR="0057034E">
      <w:rPr>
        <w:rStyle w:val="PageNumber"/>
      </w:rPr>
      <w:fldChar w:fldCharType="begin"/>
    </w:r>
    <w:r>
      <w:rPr>
        <w:rStyle w:val="PageNumber"/>
      </w:rPr>
      <w:instrText xml:space="preserve"> PAGE </w:instrText>
    </w:r>
    <w:r w:rsidR="0057034E">
      <w:rPr>
        <w:rStyle w:val="PageNumber"/>
      </w:rPr>
      <w:fldChar w:fldCharType="separate"/>
    </w:r>
    <w:r w:rsidR="000D27AC">
      <w:rPr>
        <w:rStyle w:val="PageNumber"/>
        <w:noProof/>
      </w:rPr>
      <w:t>2</w:t>
    </w:r>
    <w:r w:rsidR="0057034E">
      <w:rPr>
        <w:rStyle w:val="PageNumber"/>
      </w:rPr>
      <w:fldChar w:fldCharType="end"/>
    </w:r>
  </w:p>
  <w:p w:rsidR="00C504B7" w:rsidRPr="00F31732" w:rsidRDefault="00C504B7" w:rsidP="00F317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04B7" w:rsidRPr="00645337" w:rsidRDefault="00C504B7" w:rsidP="00F31732">
    <w:pPr>
      <w:pStyle w:val="Heading7"/>
      <w:tabs>
        <w:tab w:val="left" w:pos="-720"/>
        <w:tab w:val="right" w:leader="dot" w:pos="9180"/>
      </w:tabs>
      <w:ind w:left="-720" w:right="-187" w:firstLine="547"/>
      <w:jc w:val="center"/>
      <w:rPr>
        <w:rFonts w:ascii="Futura Md BT" w:hAnsi="Futura Md BT" w:cs="Arial"/>
        <w:b/>
        <w:color w:val="333399"/>
        <w:spacing w:val="-10"/>
        <w:kern w:val="20"/>
        <w:sz w:val="36"/>
        <w:szCs w:val="36"/>
        <w:u w:val="single"/>
      </w:rPr>
    </w:pPr>
    <w:r w:rsidRPr="00645337">
      <w:rPr>
        <w:rFonts w:ascii="Futura Md BT" w:hAnsi="Futura Md BT"/>
        <w:b/>
        <w:color w:val="333399"/>
        <w:spacing w:val="-10"/>
        <w:kern w:val="20"/>
        <w:sz w:val="36"/>
        <w:szCs w:val="36"/>
        <w:u w:val="single"/>
      </w:rPr>
      <w:t>National Capital Region Transportation Planning Board</w:t>
    </w:r>
  </w:p>
  <w:p w:rsidR="00C504B7" w:rsidRPr="00F70D5D" w:rsidRDefault="00C504B7" w:rsidP="00F31732">
    <w:pPr>
      <w:pStyle w:val="Arial"/>
      <w:ind w:right="-187" w:hanging="180"/>
      <w:rPr>
        <w:rFonts w:ascii="Arial Narrow" w:hAnsi="Arial Narrow"/>
        <w:kern w:val="14"/>
        <w:sz w:val="20"/>
      </w:rPr>
    </w:pPr>
    <w:smartTag w:uri="urn:schemas-microsoft-com:office:smarttags" w:element="address">
      <w:smartTag w:uri="urn:schemas-microsoft-com:office:smarttags" w:element="Street">
        <w:r w:rsidRPr="00CD1E8E">
          <w:rPr>
            <w:rFonts w:ascii="Arial Narrow" w:hAnsi="Arial Narrow"/>
            <w:kern w:val="14"/>
            <w:sz w:val="16"/>
          </w:rPr>
          <w:t>777 North Capitol Street, N.E., Suite 300</w:t>
        </w:r>
      </w:smartTag>
      <w:r w:rsidRPr="00CD1E8E">
        <w:rPr>
          <w:rFonts w:ascii="Arial Narrow" w:hAnsi="Arial Narrow"/>
          <w:kern w:val="14"/>
          <w:sz w:val="16"/>
        </w:rPr>
        <w:t xml:space="preserve">, </w:t>
      </w:r>
      <w:smartTag w:uri="urn:schemas-microsoft-com:office:smarttags" w:element="City">
        <w:r w:rsidRPr="00CD1E8E">
          <w:rPr>
            <w:rFonts w:ascii="Arial Narrow" w:hAnsi="Arial Narrow"/>
            <w:kern w:val="14"/>
            <w:sz w:val="16"/>
          </w:rPr>
          <w:t>Washington</w:t>
        </w:r>
      </w:smartTag>
      <w:r w:rsidRPr="00CD1E8E">
        <w:rPr>
          <w:rFonts w:ascii="Arial Narrow" w:hAnsi="Arial Narrow"/>
          <w:kern w:val="14"/>
          <w:sz w:val="16"/>
        </w:rPr>
        <w:t xml:space="preserve">, </w:t>
      </w:r>
      <w:smartTag w:uri="urn:schemas-microsoft-com:office:smarttags" w:element="State">
        <w:r w:rsidRPr="00CD1E8E">
          <w:rPr>
            <w:rFonts w:ascii="Arial Narrow" w:hAnsi="Arial Narrow"/>
            <w:kern w:val="14"/>
            <w:sz w:val="16"/>
          </w:rPr>
          <w:t>D.C.</w:t>
        </w:r>
      </w:smartTag>
      <w:r w:rsidRPr="00CD1E8E">
        <w:rPr>
          <w:rFonts w:ascii="Arial Narrow" w:hAnsi="Arial Narrow"/>
          <w:kern w:val="14"/>
          <w:sz w:val="16"/>
        </w:rPr>
        <w:t xml:space="preserve"> </w:t>
      </w:r>
      <w:smartTag w:uri="urn:schemas-microsoft-com:office:smarttags" w:element="PostalCode">
        <w:r w:rsidRPr="00CD1E8E">
          <w:rPr>
            <w:rFonts w:ascii="Arial Narrow" w:hAnsi="Arial Narrow"/>
            <w:kern w:val="14"/>
            <w:sz w:val="16"/>
          </w:rPr>
          <w:t>20002-4290</w:t>
        </w:r>
      </w:smartTag>
    </w:smartTag>
    <w:r w:rsidRPr="00CD1E8E">
      <w:rPr>
        <w:rFonts w:ascii="Arial Narrow" w:hAnsi="Arial Narrow"/>
        <w:kern w:val="14"/>
        <w:sz w:val="16"/>
      </w:rPr>
      <w:t xml:space="preserve"> (202) 962-3310 Fax: (202) 962-3202  TDD: (202) 962-3213</w:t>
    </w:r>
  </w:p>
  <w:p w:rsidR="00C504B7" w:rsidRDefault="00C504B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E4320A"/>
    <w:multiLevelType w:val="hybridMultilevel"/>
    <w:tmpl w:val="BB4A8446"/>
    <w:lvl w:ilvl="0" w:tplc="078CD45E">
      <w:start w:val="1"/>
      <w:numFmt w:val="bullet"/>
      <w:lvlText w:val="•"/>
      <w:lvlJc w:val="left"/>
      <w:pPr>
        <w:tabs>
          <w:tab w:val="num" w:pos="720"/>
        </w:tabs>
        <w:ind w:left="720" w:hanging="360"/>
      </w:pPr>
      <w:rPr>
        <w:rFonts w:ascii="Arial" w:hAnsi="Arial" w:hint="default"/>
      </w:rPr>
    </w:lvl>
    <w:lvl w:ilvl="1" w:tplc="D326D4A0">
      <w:start w:val="1"/>
      <w:numFmt w:val="bullet"/>
      <w:lvlText w:val="•"/>
      <w:lvlJc w:val="left"/>
      <w:pPr>
        <w:tabs>
          <w:tab w:val="num" w:pos="1440"/>
        </w:tabs>
        <w:ind w:left="1440" w:hanging="360"/>
      </w:pPr>
      <w:rPr>
        <w:rFonts w:ascii="Arial" w:hAnsi="Arial" w:hint="default"/>
      </w:rPr>
    </w:lvl>
    <w:lvl w:ilvl="2" w:tplc="76CE5930">
      <w:start w:val="206"/>
      <w:numFmt w:val="bullet"/>
      <w:lvlText w:val="-"/>
      <w:lvlJc w:val="left"/>
      <w:pPr>
        <w:tabs>
          <w:tab w:val="num" w:pos="2160"/>
        </w:tabs>
        <w:ind w:left="2160" w:hanging="360"/>
      </w:pPr>
      <w:rPr>
        <w:rFonts w:ascii="Times New Roman" w:hAnsi="Times New Roman" w:hint="default"/>
      </w:rPr>
    </w:lvl>
    <w:lvl w:ilvl="3" w:tplc="09AECBBE" w:tentative="1">
      <w:start w:val="1"/>
      <w:numFmt w:val="bullet"/>
      <w:lvlText w:val="•"/>
      <w:lvlJc w:val="left"/>
      <w:pPr>
        <w:tabs>
          <w:tab w:val="num" w:pos="2880"/>
        </w:tabs>
        <w:ind w:left="2880" w:hanging="360"/>
      </w:pPr>
      <w:rPr>
        <w:rFonts w:ascii="Arial" w:hAnsi="Arial" w:hint="default"/>
      </w:rPr>
    </w:lvl>
    <w:lvl w:ilvl="4" w:tplc="C4AA6394" w:tentative="1">
      <w:start w:val="1"/>
      <w:numFmt w:val="bullet"/>
      <w:lvlText w:val="•"/>
      <w:lvlJc w:val="left"/>
      <w:pPr>
        <w:tabs>
          <w:tab w:val="num" w:pos="3600"/>
        </w:tabs>
        <w:ind w:left="3600" w:hanging="360"/>
      </w:pPr>
      <w:rPr>
        <w:rFonts w:ascii="Arial" w:hAnsi="Arial" w:hint="default"/>
      </w:rPr>
    </w:lvl>
    <w:lvl w:ilvl="5" w:tplc="A8B260F4" w:tentative="1">
      <w:start w:val="1"/>
      <w:numFmt w:val="bullet"/>
      <w:lvlText w:val="•"/>
      <w:lvlJc w:val="left"/>
      <w:pPr>
        <w:tabs>
          <w:tab w:val="num" w:pos="4320"/>
        </w:tabs>
        <w:ind w:left="4320" w:hanging="360"/>
      </w:pPr>
      <w:rPr>
        <w:rFonts w:ascii="Arial" w:hAnsi="Arial" w:hint="default"/>
      </w:rPr>
    </w:lvl>
    <w:lvl w:ilvl="6" w:tplc="CA522B2E" w:tentative="1">
      <w:start w:val="1"/>
      <w:numFmt w:val="bullet"/>
      <w:lvlText w:val="•"/>
      <w:lvlJc w:val="left"/>
      <w:pPr>
        <w:tabs>
          <w:tab w:val="num" w:pos="5040"/>
        </w:tabs>
        <w:ind w:left="5040" w:hanging="360"/>
      </w:pPr>
      <w:rPr>
        <w:rFonts w:ascii="Arial" w:hAnsi="Arial" w:hint="default"/>
      </w:rPr>
    </w:lvl>
    <w:lvl w:ilvl="7" w:tplc="D8FE12B6" w:tentative="1">
      <w:start w:val="1"/>
      <w:numFmt w:val="bullet"/>
      <w:lvlText w:val="•"/>
      <w:lvlJc w:val="left"/>
      <w:pPr>
        <w:tabs>
          <w:tab w:val="num" w:pos="5760"/>
        </w:tabs>
        <w:ind w:left="5760" w:hanging="360"/>
      </w:pPr>
      <w:rPr>
        <w:rFonts w:ascii="Arial" w:hAnsi="Arial" w:hint="default"/>
      </w:rPr>
    </w:lvl>
    <w:lvl w:ilvl="8" w:tplc="379255EA" w:tentative="1">
      <w:start w:val="1"/>
      <w:numFmt w:val="bullet"/>
      <w:lvlText w:val="•"/>
      <w:lvlJc w:val="left"/>
      <w:pPr>
        <w:tabs>
          <w:tab w:val="num" w:pos="6480"/>
        </w:tabs>
        <w:ind w:left="6480" w:hanging="360"/>
      </w:pPr>
      <w:rPr>
        <w:rFonts w:ascii="Arial" w:hAnsi="Arial" w:hint="default"/>
      </w:rPr>
    </w:lvl>
  </w:abstractNum>
  <w:abstractNum w:abstractNumId="1">
    <w:nsid w:val="2F91785C"/>
    <w:multiLevelType w:val="hybridMultilevel"/>
    <w:tmpl w:val="451230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ED5852"/>
    <w:multiLevelType w:val="hybridMultilevel"/>
    <w:tmpl w:val="F0E4FAC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9C92B35"/>
    <w:multiLevelType w:val="hybridMultilevel"/>
    <w:tmpl w:val="DD7EAC82"/>
    <w:lvl w:ilvl="0" w:tplc="86B0880C">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D05D82"/>
    <w:multiLevelType w:val="hybridMultilevel"/>
    <w:tmpl w:val="39248E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CDD34D2"/>
    <w:multiLevelType w:val="hybridMultilevel"/>
    <w:tmpl w:val="A7FC19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772358B0"/>
    <w:multiLevelType w:val="hybridMultilevel"/>
    <w:tmpl w:val="2E3061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E321654"/>
    <w:multiLevelType w:val="hybridMultilevel"/>
    <w:tmpl w:val="AA3A2620"/>
    <w:lvl w:ilvl="0" w:tplc="00227AEE">
      <w:start w:val="1"/>
      <w:numFmt w:val="bullet"/>
      <w:pStyle w:val="Ul"/>
      <w:lvlText w:val=""/>
      <w:lvlJc w:val="left"/>
      <w:pPr>
        <w:tabs>
          <w:tab w:val="num" w:pos="3240"/>
        </w:tabs>
        <w:ind w:left="3240" w:hanging="360"/>
      </w:pPr>
      <w:rPr>
        <w:rFonts w:ascii="Symbol" w:hAnsi="Symbol" w:hint="default"/>
      </w:rPr>
    </w:lvl>
    <w:lvl w:ilvl="1" w:tplc="04090003">
      <w:start w:val="1"/>
      <w:numFmt w:val="bullet"/>
      <w:lvlText w:val="o"/>
      <w:lvlJc w:val="left"/>
      <w:pPr>
        <w:tabs>
          <w:tab w:val="num" w:pos="4140"/>
        </w:tabs>
        <w:ind w:left="414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num w:numId="1">
    <w:abstractNumId w:val="2"/>
  </w:num>
  <w:num w:numId="2">
    <w:abstractNumId w:val="1"/>
  </w:num>
  <w:num w:numId="3">
    <w:abstractNumId w:val="7"/>
  </w:num>
  <w:num w:numId="4">
    <w:abstractNumId w:val="5"/>
  </w:num>
  <w:num w:numId="5">
    <w:abstractNumId w:val="0"/>
  </w:num>
  <w:num w:numId="6">
    <w:abstractNumId w:val="3"/>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attachedTemplate r:id="rId1"/>
  <w:stylePaneFormatFilter w:val="3F01"/>
  <w:defaultTabStop w:val="720"/>
  <w:characterSpacingControl w:val="doNotCompress"/>
  <w:footnotePr>
    <w:footnote w:id="-1"/>
    <w:footnote w:id="0"/>
  </w:footnotePr>
  <w:endnotePr>
    <w:endnote w:id="-1"/>
    <w:endnote w:id="0"/>
  </w:endnotePr>
  <w:compat/>
  <w:rsids>
    <w:rsidRoot w:val="00144CC3"/>
    <w:rsid w:val="0009160C"/>
    <w:rsid w:val="000D27AC"/>
    <w:rsid w:val="00105538"/>
    <w:rsid w:val="0012307F"/>
    <w:rsid w:val="0013427A"/>
    <w:rsid w:val="00144CC3"/>
    <w:rsid w:val="001A1300"/>
    <w:rsid w:val="001D2ADA"/>
    <w:rsid w:val="001D7B3B"/>
    <w:rsid w:val="0023605C"/>
    <w:rsid w:val="00273012"/>
    <w:rsid w:val="002F69C0"/>
    <w:rsid w:val="00312861"/>
    <w:rsid w:val="003622C5"/>
    <w:rsid w:val="003E52AE"/>
    <w:rsid w:val="00497452"/>
    <w:rsid w:val="00501F9B"/>
    <w:rsid w:val="0057034E"/>
    <w:rsid w:val="005E32E4"/>
    <w:rsid w:val="00620752"/>
    <w:rsid w:val="00645337"/>
    <w:rsid w:val="006965E5"/>
    <w:rsid w:val="006D7C22"/>
    <w:rsid w:val="006F739E"/>
    <w:rsid w:val="00817DD8"/>
    <w:rsid w:val="008F4124"/>
    <w:rsid w:val="00AA4143"/>
    <w:rsid w:val="00B012C1"/>
    <w:rsid w:val="00B22C2F"/>
    <w:rsid w:val="00B2488D"/>
    <w:rsid w:val="00B263F3"/>
    <w:rsid w:val="00B52E28"/>
    <w:rsid w:val="00B561CC"/>
    <w:rsid w:val="00BB7379"/>
    <w:rsid w:val="00C504B7"/>
    <w:rsid w:val="00C51799"/>
    <w:rsid w:val="00C62A4C"/>
    <w:rsid w:val="00CD1E8E"/>
    <w:rsid w:val="00D21184"/>
    <w:rsid w:val="00D4102A"/>
    <w:rsid w:val="00D4501B"/>
    <w:rsid w:val="00D50AD7"/>
    <w:rsid w:val="00E157D9"/>
    <w:rsid w:val="00E336C4"/>
    <w:rsid w:val="00E940DE"/>
    <w:rsid w:val="00ED1145"/>
    <w:rsid w:val="00ED19CA"/>
    <w:rsid w:val="00EE2B34"/>
    <w:rsid w:val="00F161E2"/>
    <w:rsid w:val="00F31732"/>
    <w:rsid w:val="00F630A5"/>
    <w:rsid w:val="00F70D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4102A"/>
    <w:pPr>
      <w:spacing w:after="200" w:line="276" w:lineRule="auto"/>
    </w:pPr>
    <w:rPr>
      <w:rFonts w:asciiTheme="minorHAnsi" w:eastAsiaTheme="minorHAnsi" w:hAnsiTheme="minorHAnsi" w:cstheme="minorBidi"/>
      <w:sz w:val="22"/>
      <w:szCs w:val="22"/>
    </w:rPr>
  </w:style>
  <w:style w:type="paragraph" w:styleId="Heading7">
    <w:name w:val="heading 7"/>
    <w:basedOn w:val="Normal"/>
    <w:next w:val="Normal"/>
    <w:qFormat/>
    <w:rsid w:val="00F70D5D"/>
    <w:pPr>
      <w:widowControl w:val="0"/>
      <w:spacing w:before="240" w:after="60"/>
      <w:outlineLvl w:val="6"/>
    </w:pPr>
    <w:rPr>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0D5D"/>
    <w:pPr>
      <w:tabs>
        <w:tab w:val="center" w:pos="4320"/>
        <w:tab w:val="right" w:pos="8640"/>
      </w:tabs>
    </w:pPr>
  </w:style>
  <w:style w:type="paragraph" w:styleId="Footer">
    <w:name w:val="footer"/>
    <w:basedOn w:val="Normal"/>
    <w:rsid w:val="00F70D5D"/>
    <w:pPr>
      <w:tabs>
        <w:tab w:val="center" w:pos="4320"/>
        <w:tab w:val="right" w:pos="8640"/>
      </w:tabs>
    </w:pPr>
  </w:style>
  <w:style w:type="paragraph" w:customStyle="1" w:styleId="Arial">
    <w:name w:val="Arial"/>
    <w:aliases w:val="Not Bold,Left:  0&quot;,First line:  0.5&quot;,Right:  -0&quot;"/>
    <w:basedOn w:val="Heading7"/>
    <w:rsid w:val="00F70D5D"/>
    <w:pPr>
      <w:keepNext/>
      <w:widowControl/>
      <w:pBdr>
        <w:between w:val="single" w:sz="18" w:space="1" w:color="auto"/>
      </w:pBdr>
      <w:tabs>
        <w:tab w:val="right" w:leader="dot" w:pos="9360"/>
      </w:tabs>
      <w:spacing w:before="0" w:after="0" w:line="216" w:lineRule="auto"/>
      <w:ind w:right="-7" w:firstLine="720"/>
      <w:jc w:val="center"/>
    </w:pPr>
    <w:rPr>
      <w:rFonts w:ascii="Arial" w:hAnsi="Arial" w:cs="Arial"/>
      <w:snapToGrid/>
      <w:szCs w:val="20"/>
    </w:rPr>
  </w:style>
  <w:style w:type="character" w:styleId="PageNumber">
    <w:name w:val="page number"/>
    <w:basedOn w:val="DefaultParagraphFont"/>
    <w:rsid w:val="00F31732"/>
  </w:style>
  <w:style w:type="paragraph" w:styleId="ListParagraph">
    <w:name w:val="List Paragraph"/>
    <w:basedOn w:val="Normal"/>
    <w:uiPriority w:val="34"/>
    <w:qFormat/>
    <w:rsid w:val="00CD1E8E"/>
    <w:pPr>
      <w:ind w:left="720"/>
      <w:contextualSpacing/>
    </w:pPr>
    <w:rPr>
      <w:rFonts w:ascii="Calibri" w:eastAsia="Calibri" w:hAnsi="Calibri" w:cs="Times New Roman"/>
    </w:rPr>
  </w:style>
  <w:style w:type="paragraph" w:customStyle="1" w:styleId="Ul">
    <w:name w:val="Ul"/>
    <w:basedOn w:val="Normal"/>
    <w:rsid w:val="00CD1E8E"/>
    <w:pPr>
      <w:numPr>
        <w:numId w:val="3"/>
      </w:numPr>
      <w:shd w:val="solid" w:color="FFFFFF" w:fill="auto"/>
      <w:tabs>
        <w:tab w:val="num" w:pos="720"/>
      </w:tabs>
      <w:ind w:left="720"/>
    </w:pPr>
    <w:rPr>
      <w:rFonts w:ascii="Calibri" w:hAnsi="Calibri"/>
      <w:shd w:val="solid" w:color="FFFFFF" w:fill="auto"/>
      <w:lang w:eastAsia="ru-RU"/>
    </w:rPr>
  </w:style>
  <w:style w:type="paragraph" w:styleId="BalloonText">
    <w:name w:val="Balloon Text"/>
    <w:basedOn w:val="Normal"/>
    <w:link w:val="BalloonTextChar"/>
    <w:rsid w:val="00CD1E8E"/>
    <w:rPr>
      <w:rFonts w:ascii="Tahoma" w:hAnsi="Tahoma" w:cs="Tahoma"/>
      <w:sz w:val="16"/>
      <w:szCs w:val="16"/>
    </w:rPr>
  </w:style>
  <w:style w:type="character" w:customStyle="1" w:styleId="BalloonTextChar">
    <w:name w:val="Balloon Text Char"/>
    <w:basedOn w:val="DefaultParagraphFont"/>
    <w:link w:val="BalloonText"/>
    <w:rsid w:val="00CD1E8E"/>
    <w:rPr>
      <w:rFonts w:ascii="Tahoma" w:hAnsi="Tahoma" w:cs="Tahoma"/>
      <w:sz w:val="16"/>
      <w:szCs w:val="16"/>
    </w:rPr>
  </w:style>
  <w:style w:type="paragraph" w:styleId="NormalWeb">
    <w:name w:val="Normal (Web)"/>
    <w:basedOn w:val="Normal"/>
    <w:uiPriority w:val="99"/>
    <w:unhideWhenUsed/>
    <w:rsid w:val="0049745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65483171">
      <w:bodyDiv w:val="1"/>
      <w:marLeft w:val="0"/>
      <w:marRight w:val="0"/>
      <w:marTop w:val="0"/>
      <w:marBottom w:val="0"/>
      <w:divBdr>
        <w:top w:val="none" w:sz="0" w:space="0" w:color="auto"/>
        <w:left w:val="none" w:sz="0" w:space="0" w:color="auto"/>
        <w:bottom w:val="none" w:sz="0" w:space="0" w:color="auto"/>
        <w:right w:val="none" w:sz="0" w:space="0" w:color="auto"/>
      </w:divBdr>
      <w:divsChild>
        <w:div w:id="914362959">
          <w:marLeft w:val="0"/>
          <w:marRight w:val="0"/>
          <w:marTop w:val="0"/>
          <w:marBottom w:val="0"/>
          <w:divBdr>
            <w:top w:val="none" w:sz="0" w:space="0" w:color="auto"/>
            <w:left w:val="none" w:sz="0" w:space="0" w:color="auto"/>
            <w:bottom w:val="none" w:sz="0" w:space="0" w:color="auto"/>
            <w:right w:val="none" w:sz="0" w:space="0" w:color="auto"/>
          </w:divBdr>
          <w:divsChild>
            <w:div w:id="388386222">
              <w:marLeft w:val="0"/>
              <w:marRight w:val="0"/>
              <w:marTop w:val="0"/>
              <w:marBottom w:val="0"/>
              <w:divBdr>
                <w:top w:val="none" w:sz="0" w:space="0" w:color="auto"/>
                <w:left w:val="none" w:sz="0" w:space="0" w:color="auto"/>
                <w:bottom w:val="none" w:sz="0" w:space="0" w:color="auto"/>
                <w:right w:val="none" w:sz="0" w:space="0" w:color="auto"/>
              </w:divBdr>
              <w:divsChild>
                <w:div w:id="169013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47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I:\TPB%20Letterhead\TPB%20Letterhead_Single-Pag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TPB Letterhead_Single-Page</Template>
  <TotalTime>0</TotalTime>
  <Pages>4</Pages>
  <Words>1525</Words>
  <Characters>8810</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Metropolitan Washington Council of Governments</Company>
  <LinksUpToDate>false</LinksUpToDate>
  <CharactersWithSpaces>10315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jswanson</dc:creator>
  <cp:lastModifiedBy>mfarrell</cp:lastModifiedBy>
  <cp:revision>2</cp:revision>
  <cp:lastPrinted>2012-11-15T16:56:00Z</cp:lastPrinted>
  <dcterms:created xsi:type="dcterms:W3CDTF">2012-11-26T15:12:00Z</dcterms:created>
  <dcterms:modified xsi:type="dcterms:W3CDTF">2012-11-26T15:12:00Z</dcterms:modified>
</cp:coreProperties>
</file>