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719" w:rsidRPr="005B05E3" w:rsidRDefault="00311719" w:rsidP="00311719">
      <w:pPr>
        <w:pStyle w:val="Heading6"/>
      </w:pPr>
      <w:r w:rsidRPr="005B05E3">
        <w:t>Memorandum</w:t>
      </w:r>
    </w:p>
    <w:p w:rsidR="00311719" w:rsidRPr="005B05E3" w:rsidRDefault="00311719" w:rsidP="00311719">
      <w:pPr>
        <w:spacing w:line="215" w:lineRule="auto"/>
        <w:jc w:val="both"/>
        <w:rPr>
          <w:rFonts w:ascii="Times New Roman" w:hAnsi="Times New Roman"/>
        </w:rPr>
      </w:pPr>
    </w:p>
    <w:p w:rsidR="00311719" w:rsidRDefault="00311719" w:rsidP="00311719">
      <w:pPr>
        <w:tabs>
          <w:tab w:val="left" w:pos="-1440"/>
        </w:tabs>
        <w:ind w:left="1440" w:hanging="1440"/>
        <w:rPr>
          <w:rFonts w:ascii="Times New Roman" w:hAnsi="Times New Roman"/>
        </w:rPr>
      </w:pPr>
      <w:r w:rsidRPr="005B05E3">
        <w:rPr>
          <w:rFonts w:ascii="Times New Roman" w:hAnsi="Times New Roman"/>
          <w:b/>
        </w:rPr>
        <w:t>Date:</w:t>
      </w:r>
      <w:r w:rsidRPr="005B05E3">
        <w:rPr>
          <w:rFonts w:ascii="Times New Roman" w:hAnsi="Times New Roman"/>
        </w:rPr>
        <w:tab/>
      </w:r>
      <w:r>
        <w:rPr>
          <w:rFonts w:ascii="Times New Roman" w:hAnsi="Times New Roman"/>
        </w:rPr>
        <w:t>September 22, 2010</w:t>
      </w:r>
    </w:p>
    <w:p w:rsidR="000C2A65" w:rsidRPr="005B05E3" w:rsidRDefault="000C2A65" w:rsidP="00311719">
      <w:pPr>
        <w:tabs>
          <w:tab w:val="left" w:pos="-1440"/>
        </w:tabs>
        <w:ind w:left="1440" w:hanging="1440"/>
        <w:rPr>
          <w:rFonts w:ascii="Times New Roman" w:hAnsi="Times New Roman"/>
        </w:rPr>
      </w:pPr>
    </w:p>
    <w:p w:rsidR="00311719" w:rsidRDefault="00311719" w:rsidP="00311719">
      <w:pPr>
        <w:rPr>
          <w:rFonts w:ascii="Times New Roman" w:hAnsi="Times New Roman"/>
        </w:rPr>
      </w:pPr>
      <w:r w:rsidRPr="005B05E3">
        <w:rPr>
          <w:rFonts w:ascii="Times New Roman" w:hAnsi="Times New Roman"/>
          <w:b/>
        </w:rPr>
        <w:t>To:</w:t>
      </w:r>
      <w:r w:rsidRPr="005B05E3">
        <w:rPr>
          <w:rFonts w:ascii="Times New Roman" w:hAnsi="Times New Roman"/>
        </w:rPr>
        <w:t xml:space="preserve"> </w:t>
      </w:r>
      <w:r w:rsidRPr="005B05E3">
        <w:rPr>
          <w:rFonts w:ascii="Times New Roman" w:hAnsi="Times New Roman"/>
        </w:rPr>
        <w:tab/>
      </w:r>
      <w:r w:rsidRPr="005B05E3">
        <w:rPr>
          <w:rFonts w:ascii="Times New Roman" w:hAnsi="Times New Roman"/>
        </w:rPr>
        <w:tab/>
      </w:r>
      <w:r>
        <w:rPr>
          <w:rFonts w:ascii="Times New Roman" w:hAnsi="Times New Roman"/>
        </w:rPr>
        <w:t>Climate, Energy and Environment Policy Committee</w:t>
      </w:r>
      <w:r w:rsidR="000C2A65">
        <w:rPr>
          <w:rFonts w:ascii="Times New Roman" w:hAnsi="Times New Roman"/>
        </w:rPr>
        <w:t xml:space="preserve"> (CEEPC)</w:t>
      </w:r>
    </w:p>
    <w:p w:rsidR="000C2A65" w:rsidRPr="005B05E3" w:rsidRDefault="000C2A65" w:rsidP="00311719">
      <w:pPr>
        <w:rPr>
          <w:rFonts w:ascii="Times New Roman" w:hAnsi="Times New Roman"/>
        </w:rPr>
      </w:pPr>
    </w:p>
    <w:p w:rsidR="00311719" w:rsidRDefault="00311719" w:rsidP="00311719">
      <w:pPr>
        <w:tabs>
          <w:tab w:val="left" w:pos="-1440"/>
        </w:tabs>
        <w:ind w:left="1440" w:hanging="1440"/>
        <w:outlineLvl w:val="0"/>
        <w:rPr>
          <w:rFonts w:ascii="Times New Roman" w:hAnsi="Times New Roman"/>
        </w:rPr>
      </w:pPr>
      <w:r w:rsidRPr="005B05E3">
        <w:rPr>
          <w:rFonts w:ascii="Times New Roman" w:hAnsi="Times New Roman"/>
          <w:b/>
        </w:rPr>
        <w:t xml:space="preserve">From: </w:t>
      </w:r>
      <w:r>
        <w:rPr>
          <w:rFonts w:ascii="Times New Roman" w:hAnsi="Times New Roman"/>
        </w:rPr>
        <w:tab/>
      </w:r>
      <w:r w:rsidR="000C2A65">
        <w:rPr>
          <w:rFonts w:ascii="Times New Roman" w:hAnsi="Times New Roman"/>
        </w:rPr>
        <w:t>Jeannine Altavilla, DEP Intern</w:t>
      </w:r>
    </w:p>
    <w:p w:rsidR="000C2A65" w:rsidRPr="005B05E3" w:rsidRDefault="000C2A65" w:rsidP="00311719">
      <w:pPr>
        <w:tabs>
          <w:tab w:val="left" w:pos="-1440"/>
        </w:tabs>
        <w:ind w:left="1440" w:hanging="1440"/>
        <w:outlineLvl w:val="0"/>
        <w:rPr>
          <w:rFonts w:ascii="Times New Roman" w:hAnsi="Times New Roman"/>
        </w:rPr>
      </w:pPr>
    </w:p>
    <w:p w:rsidR="00311719" w:rsidRPr="005B05E3" w:rsidRDefault="00311719" w:rsidP="00311719">
      <w:pPr>
        <w:tabs>
          <w:tab w:val="left" w:pos="-1440"/>
        </w:tabs>
        <w:ind w:left="1440" w:hanging="1440"/>
        <w:rPr>
          <w:rFonts w:ascii="Times New Roman" w:hAnsi="Times New Roman"/>
          <w:b/>
        </w:rPr>
      </w:pPr>
      <w:r w:rsidRPr="005B05E3">
        <w:rPr>
          <w:rFonts w:ascii="Times New Roman" w:hAnsi="Times New Roman"/>
          <w:b/>
        </w:rPr>
        <w:t>Subject:</w:t>
      </w:r>
      <w:r w:rsidRPr="005B05E3">
        <w:rPr>
          <w:rFonts w:ascii="Times New Roman" w:hAnsi="Times New Roman"/>
          <w:b/>
        </w:rPr>
        <w:tab/>
      </w:r>
      <w:r>
        <w:rPr>
          <w:rFonts w:ascii="Times New Roman" w:hAnsi="Times New Roman"/>
          <w:b/>
        </w:rPr>
        <w:t>Database of Energy Related Contracts and Use of EECBG Funds</w:t>
      </w:r>
    </w:p>
    <w:p w:rsidR="00311719" w:rsidRPr="005B05E3" w:rsidRDefault="00311719" w:rsidP="00311719">
      <w:pPr>
        <w:tabs>
          <w:tab w:val="left" w:pos="-1440"/>
        </w:tabs>
        <w:spacing w:line="215" w:lineRule="auto"/>
        <w:ind w:left="1440" w:hanging="1440"/>
        <w:rPr>
          <w:rFonts w:ascii="Times New Roman" w:hAnsi="Times New Roman"/>
        </w:rPr>
      </w:pPr>
    </w:p>
    <w:p w:rsidR="00311719" w:rsidRPr="003B288E" w:rsidRDefault="00FB7574" w:rsidP="00311719">
      <w:pPr>
        <w:spacing w:line="215" w:lineRule="auto"/>
        <w:rPr>
          <w:rFonts w:ascii="Times New Roman" w:hAnsi="Times New Roman"/>
        </w:rPr>
      </w:pPr>
      <w:r>
        <w:rPr>
          <w:rFonts w:ascii="Times New Roman" w:hAnsi="Times New Roman"/>
          <w:noProof/>
          <w:snapToGrid/>
        </w:rPr>
        <w:pict>
          <v:line id="_x0000_s1026" style="position:absolute;z-index:251660288" from="-3.6pt,5.4pt" to="482.4pt,5.4pt" o:allowincell="f"/>
        </w:pict>
      </w:r>
    </w:p>
    <w:p w:rsidR="003B288E" w:rsidRPr="003B288E" w:rsidRDefault="003B288E" w:rsidP="00311719">
      <w:pPr>
        <w:rPr>
          <w:rFonts w:ascii="Times New Roman" w:hAnsi="Times New Roman"/>
          <w:b/>
        </w:rPr>
      </w:pPr>
      <w:r w:rsidRPr="003B288E">
        <w:rPr>
          <w:rFonts w:ascii="Times New Roman" w:hAnsi="Times New Roman"/>
          <w:b/>
        </w:rPr>
        <w:t>Highlights</w:t>
      </w:r>
    </w:p>
    <w:p w:rsidR="000965FF" w:rsidRPr="003B288E" w:rsidRDefault="00311719" w:rsidP="00311719">
      <w:pPr>
        <w:rPr>
          <w:rFonts w:ascii="Times New Roman" w:hAnsi="Times New Roman"/>
        </w:rPr>
      </w:pPr>
      <w:r w:rsidRPr="003B288E">
        <w:rPr>
          <w:rFonts w:ascii="Times New Roman" w:hAnsi="Times New Roman"/>
        </w:rPr>
        <w:t>This summer COG staff conducted a survey of the use of EECBG funds in member jurisdictions and began to collect information for a data</w:t>
      </w:r>
      <w:r w:rsidR="002C76F6" w:rsidRPr="003B288E">
        <w:rPr>
          <w:rFonts w:ascii="Times New Roman" w:hAnsi="Times New Roman"/>
        </w:rPr>
        <w:t xml:space="preserve">base of energy-related contracts </w:t>
      </w:r>
      <w:r w:rsidRPr="003B288E">
        <w:rPr>
          <w:rFonts w:ascii="Times New Roman" w:hAnsi="Times New Roman"/>
        </w:rPr>
        <w:t>executed in entities that sit on the COG Chief Purchasing Officers Committee.</w:t>
      </w:r>
      <w:r w:rsidR="003B288E" w:rsidRPr="003B288E">
        <w:rPr>
          <w:rFonts w:ascii="Times New Roman" w:hAnsi="Times New Roman"/>
        </w:rPr>
        <w:t xml:space="preserve"> </w:t>
      </w:r>
      <w:r w:rsidR="00BB38A0">
        <w:rPr>
          <w:rFonts w:ascii="Times New Roman" w:hAnsi="Times New Roman"/>
        </w:rPr>
        <w:t xml:space="preserve">The region received </w:t>
      </w:r>
      <w:r w:rsidR="003B288E" w:rsidRPr="003B288E">
        <w:rPr>
          <w:rFonts w:ascii="Times New Roman" w:hAnsi="Times New Roman"/>
        </w:rPr>
        <w:t xml:space="preserve">$46 million in EECBG funding </w:t>
      </w:r>
      <w:r w:rsidR="00BB38A0">
        <w:rPr>
          <w:rFonts w:ascii="Times New Roman" w:hAnsi="Times New Roman"/>
        </w:rPr>
        <w:t>to be</w:t>
      </w:r>
      <w:r w:rsidR="003B288E" w:rsidRPr="003B288E">
        <w:rPr>
          <w:rFonts w:ascii="Times New Roman" w:hAnsi="Times New Roman"/>
        </w:rPr>
        <w:t xml:space="preserve"> distributed for a </w:t>
      </w:r>
      <w:r w:rsidR="00BB38A0">
        <w:rPr>
          <w:rFonts w:ascii="Times New Roman" w:hAnsi="Times New Roman"/>
        </w:rPr>
        <w:t>range</w:t>
      </w:r>
      <w:r w:rsidR="003B288E" w:rsidRPr="003B288E">
        <w:rPr>
          <w:rFonts w:ascii="Times New Roman" w:hAnsi="Times New Roman"/>
        </w:rPr>
        <w:t xml:space="preserve"> of projects. The energy-related contracts </w:t>
      </w:r>
      <w:r w:rsidR="003B288E">
        <w:rPr>
          <w:rFonts w:ascii="Times New Roman" w:hAnsi="Times New Roman"/>
        </w:rPr>
        <w:t>collected were</w:t>
      </w:r>
      <w:r w:rsidR="003B288E" w:rsidRPr="003B288E">
        <w:rPr>
          <w:rFonts w:ascii="Times New Roman" w:hAnsi="Times New Roman"/>
        </w:rPr>
        <w:t xml:space="preserve"> </w:t>
      </w:r>
      <w:r w:rsidR="00331829">
        <w:rPr>
          <w:rFonts w:ascii="Times New Roman" w:hAnsi="Times New Roman"/>
        </w:rPr>
        <w:t>placed in</w:t>
      </w:r>
      <w:r w:rsidR="003B288E" w:rsidRPr="003B288E">
        <w:rPr>
          <w:rFonts w:ascii="Times New Roman" w:hAnsi="Times New Roman"/>
        </w:rPr>
        <w:t xml:space="preserve"> a searchable database that will be accessible on COG’s website.</w:t>
      </w:r>
    </w:p>
    <w:p w:rsidR="00311719" w:rsidRPr="003B288E" w:rsidRDefault="00311719" w:rsidP="00311719">
      <w:pPr>
        <w:rPr>
          <w:rFonts w:ascii="Times New Roman" w:hAnsi="Times New Roman"/>
        </w:rPr>
      </w:pPr>
    </w:p>
    <w:p w:rsidR="004D6D9F" w:rsidRPr="003B288E" w:rsidRDefault="004D6D9F" w:rsidP="00311719">
      <w:pPr>
        <w:rPr>
          <w:rFonts w:ascii="Times New Roman" w:hAnsi="Times New Roman"/>
          <w:b/>
        </w:rPr>
      </w:pPr>
      <w:r w:rsidRPr="003B288E">
        <w:rPr>
          <w:rFonts w:ascii="Times New Roman" w:hAnsi="Times New Roman"/>
          <w:b/>
        </w:rPr>
        <w:t>EECBG</w:t>
      </w:r>
    </w:p>
    <w:p w:rsidR="00EA57A0" w:rsidRDefault="00BB38A0" w:rsidP="00311719">
      <w:pPr>
        <w:rPr>
          <w:rFonts w:ascii="Times New Roman" w:hAnsi="Times New Roman"/>
        </w:rPr>
      </w:pPr>
      <w:r>
        <w:rPr>
          <w:rFonts w:ascii="Times New Roman" w:hAnsi="Times New Roman"/>
        </w:rPr>
        <w:t xml:space="preserve">COG member jurisdictions have distributed </w:t>
      </w:r>
      <w:r w:rsidR="00311719" w:rsidRPr="003B288E">
        <w:rPr>
          <w:rFonts w:ascii="Times New Roman" w:hAnsi="Times New Roman"/>
        </w:rPr>
        <w:t xml:space="preserve">EECBG funding across ninety projects approved by the Department of Energy. </w:t>
      </w:r>
      <w:r w:rsidR="00FB2F8E" w:rsidRPr="003B288E">
        <w:rPr>
          <w:rFonts w:ascii="Times New Roman" w:hAnsi="Times New Roman"/>
        </w:rPr>
        <w:t xml:space="preserve">Area jurisdictions received a total of $46 million dollars in EECBG grants. </w:t>
      </w:r>
      <w:r w:rsidR="00311719" w:rsidRPr="003B288E">
        <w:rPr>
          <w:rFonts w:ascii="Times New Roman" w:hAnsi="Times New Roman"/>
        </w:rPr>
        <w:t xml:space="preserve">These projects cover a wide </w:t>
      </w:r>
      <w:r w:rsidR="00B12734" w:rsidRPr="003B288E">
        <w:rPr>
          <w:rFonts w:ascii="Times New Roman" w:hAnsi="Times New Roman"/>
        </w:rPr>
        <w:t xml:space="preserve">range </w:t>
      </w:r>
      <w:r w:rsidR="00311719" w:rsidRPr="003B288E">
        <w:rPr>
          <w:rFonts w:ascii="Times New Roman" w:hAnsi="Times New Roman"/>
        </w:rPr>
        <w:t>of initiatives</w:t>
      </w:r>
      <w:r w:rsidR="009B762F" w:rsidRPr="003B288E">
        <w:rPr>
          <w:rFonts w:ascii="Times New Roman" w:hAnsi="Times New Roman"/>
        </w:rPr>
        <w:t xml:space="preserve"> including energy efficiency and renewable energy in government, residential, and commercial buildings, street and traffic light </w:t>
      </w:r>
      <w:r>
        <w:rPr>
          <w:rFonts w:ascii="Times New Roman" w:hAnsi="Times New Roman"/>
        </w:rPr>
        <w:t>improvements</w:t>
      </w:r>
      <w:r w:rsidR="009B762F" w:rsidRPr="003B288E">
        <w:rPr>
          <w:rFonts w:ascii="Times New Roman" w:hAnsi="Times New Roman"/>
        </w:rPr>
        <w:t>, transportation, and supporting activities</w:t>
      </w:r>
      <w:r w:rsidR="00B12734" w:rsidRPr="003B288E">
        <w:rPr>
          <w:rFonts w:ascii="Times New Roman" w:hAnsi="Times New Roman"/>
        </w:rPr>
        <w:t xml:space="preserve">.  </w:t>
      </w:r>
    </w:p>
    <w:p w:rsidR="00EA57A0" w:rsidRDefault="00EA57A0" w:rsidP="00311719">
      <w:pPr>
        <w:rPr>
          <w:rFonts w:ascii="Times New Roman" w:hAnsi="Times New Roman"/>
        </w:rPr>
      </w:pPr>
    </w:p>
    <w:p w:rsidR="00FB2F8E" w:rsidRDefault="00EA57A0" w:rsidP="00311719">
      <w:pPr>
        <w:rPr>
          <w:rFonts w:ascii="Times New Roman" w:hAnsi="Times New Roman"/>
        </w:rPr>
      </w:pPr>
      <w:r>
        <w:rPr>
          <w:rFonts w:ascii="Times New Roman" w:hAnsi="Times New Roman"/>
          <w:noProof/>
          <w:snapToGrid/>
        </w:rPr>
        <w:drawing>
          <wp:anchor distT="0" distB="0" distL="114300" distR="114300" simplePos="0" relativeHeight="251661312" behindDoc="0" locked="0" layoutInCell="1" allowOverlap="1">
            <wp:simplePos x="0" y="0"/>
            <wp:positionH relativeFrom="column">
              <wp:posOffset>2219325</wp:posOffset>
            </wp:positionH>
            <wp:positionV relativeFrom="paragraph">
              <wp:posOffset>151765</wp:posOffset>
            </wp:positionV>
            <wp:extent cx="3638550" cy="2371725"/>
            <wp:effectExtent l="19050" t="0" r="19050" b="0"/>
            <wp:wrapSquare wrapText="bothSides"/>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sidR="00B12734" w:rsidRPr="003B288E">
        <w:rPr>
          <w:rFonts w:ascii="Times New Roman" w:hAnsi="Times New Roman"/>
        </w:rPr>
        <w:t>Over three-quarters of t</w:t>
      </w:r>
      <w:r w:rsidR="009B762F" w:rsidRPr="003B288E">
        <w:rPr>
          <w:rFonts w:ascii="Times New Roman" w:hAnsi="Times New Roman"/>
        </w:rPr>
        <w:t xml:space="preserve">he funds </w:t>
      </w:r>
      <w:r w:rsidR="00B12734" w:rsidRPr="003B288E">
        <w:rPr>
          <w:rFonts w:ascii="Times New Roman" w:hAnsi="Times New Roman"/>
        </w:rPr>
        <w:t>will be used to</w:t>
      </w:r>
      <w:r w:rsidR="009B762F" w:rsidRPr="003B288E">
        <w:rPr>
          <w:rFonts w:ascii="Times New Roman" w:hAnsi="Times New Roman"/>
        </w:rPr>
        <w:t xml:space="preserve"> </w:t>
      </w:r>
      <w:r w:rsidR="00331829">
        <w:rPr>
          <w:rFonts w:ascii="Times New Roman" w:hAnsi="Times New Roman"/>
        </w:rPr>
        <w:t xml:space="preserve">audit and </w:t>
      </w:r>
      <w:r w:rsidR="009B762F" w:rsidRPr="003B288E">
        <w:rPr>
          <w:rFonts w:ascii="Times New Roman" w:hAnsi="Times New Roman"/>
        </w:rPr>
        <w:t>improve existing buildings, with over half of the</w:t>
      </w:r>
      <w:r w:rsidR="00B12734" w:rsidRPr="003B288E">
        <w:rPr>
          <w:rFonts w:ascii="Times New Roman" w:hAnsi="Times New Roman"/>
        </w:rPr>
        <w:t xml:space="preserve"> total</w:t>
      </w:r>
      <w:r w:rsidR="009B762F" w:rsidRPr="003B288E">
        <w:rPr>
          <w:rFonts w:ascii="Times New Roman" w:hAnsi="Times New Roman"/>
        </w:rPr>
        <w:t xml:space="preserve"> EECBG </w:t>
      </w:r>
      <w:r w:rsidR="00B12734" w:rsidRPr="003B288E">
        <w:rPr>
          <w:rFonts w:ascii="Times New Roman" w:hAnsi="Times New Roman"/>
        </w:rPr>
        <w:t>funding</w:t>
      </w:r>
      <w:r w:rsidR="009B762F" w:rsidRPr="003B288E">
        <w:rPr>
          <w:rFonts w:ascii="Times New Roman" w:hAnsi="Times New Roman"/>
        </w:rPr>
        <w:t xml:space="preserve"> reserved for government buildings. Outreach activities and inventories consti</w:t>
      </w:r>
      <w:r w:rsidR="00BB38A0">
        <w:rPr>
          <w:rFonts w:ascii="Times New Roman" w:hAnsi="Times New Roman"/>
        </w:rPr>
        <w:t xml:space="preserve">tute </w:t>
      </w:r>
      <w:r w:rsidR="00331829">
        <w:rPr>
          <w:rFonts w:ascii="Times New Roman" w:hAnsi="Times New Roman"/>
        </w:rPr>
        <w:t>nine</w:t>
      </w:r>
      <w:r w:rsidR="00BB38A0">
        <w:rPr>
          <w:rFonts w:ascii="Times New Roman" w:hAnsi="Times New Roman"/>
        </w:rPr>
        <w:t xml:space="preserve"> percent of the funding. S</w:t>
      </w:r>
      <w:r w:rsidR="009B762F" w:rsidRPr="003B288E">
        <w:rPr>
          <w:rFonts w:ascii="Times New Roman" w:hAnsi="Times New Roman"/>
        </w:rPr>
        <w:t xml:space="preserve">ix percent of the funds </w:t>
      </w:r>
      <w:r w:rsidR="00BB38A0">
        <w:rPr>
          <w:rFonts w:ascii="Times New Roman" w:hAnsi="Times New Roman"/>
        </w:rPr>
        <w:t>are</w:t>
      </w:r>
      <w:r w:rsidR="009B762F" w:rsidRPr="003B288E">
        <w:rPr>
          <w:rFonts w:ascii="Times New Roman" w:hAnsi="Times New Roman"/>
        </w:rPr>
        <w:t xml:space="preserve"> allocated for street and traffic light upgrades, while very little funding was reserved for transportation projects. The breakdown of funding for each category can be viewed in the </w:t>
      </w:r>
      <w:r w:rsidR="00042552" w:rsidRPr="003B288E">
        <w:rPr>
          <w:rFonts w:ascii="Times New Roman" w:hAnsi="Times New Roman"/>
        </w:rPr>
        <w:t xml:space="preserve">accompanying </w:t>
      </w:r>
      <w:r w:rsidR="009B762F" w:rsidRPr="003B288E">
        <w:rPr>
          <w:rFonts w:ascii="Times New Roman" w:hAnsi="Times New Roman"/>
        </w:rPr>
        <w:t>chart.</w:t>
      </w:r>
    </w:p>
    <w:p w:rsidR="0032558A" w:rsidRDefault="0032558A" w:rsidP="00311719">
      <w:pPr>
        <w:rPr>
          <w:rFonts w:ascii="Times New Roman" w:hAnsi="Times New Roman"/>
        </w:rPr>
      </w:pPr>
    </w:p>
    <w:p w:rsidR="0032558A" w:rsidRPr="003B288E" w:rsidRDefault="00BB38A0" w:rsidP="00311719">
      <w:pPr>
        <w:rPr>
          <w:rFonts w:ascii="Times New Roman" w:hAnsi="Times New Roman"/>
        </w:rPr>
      </w:pPr>
      <w:r>
        <w:rPr>
          <w:rFonts w:ascii="Times New Roman" w:hAnsi="Times New Roman"/>
        </w:rPr>
        <w:t>At the time</w:t>
      </w:r>
      <w:r w:rsidR="0032558A">
        <w:rPr>
          <w:rFonts w:ascii="Times New Roman" w:hAnsi="Times New Roman"/>
        </w:rPr>
        <w:t xml:space="preserve"> reported, </w:t>
      </w:r>
      <w:r w:rsidR="00331829">
        <w:rPr>
          <w:rFonts w:ascii="Times New Roman" w:hAnsi="Times New Roman"/>
        </w:rPr>
        <w:t xml:space="preserve">completed projects accounted for </w:t>
      </w:r>
      <w:r w:rsidR="0032558A">
        <w:rPr>
          <w:rFonts w:ascii="Times New Roman" w:hAnsi="Times New Roman"/>
        </w:rPr>
        <w:t xml:space="preserve">2.4% of the funds.  These projects were largely audit or planning services. </w:t>
      </w:r>
      <w:r w:rsidR="00EA57A0">
        <w:rPr>
          <w:rFonts w:ascii="Times New Roman" w:hAnsi="Times New Roman"/>
        </w:rPr>
        <w:t>A further 37% of the funds were associated with</w:t>
      </w:r>
      <w:r w:rsidR="0032558A">
        <w:rPr>
          <w:rFonts w:ascii="Times New Roman" w:hAnsi="Times New Roman"/>
        </w:rPr>
        <w:t xml:space="preserve"> projects </w:t>
      </w:r>
      <w:r w:rsidR="00EA57A0">
        <w:rPr>
          <w:rFonts w:ascii="Times New Roman" w:hAnsi="Times New Roman"/>
        </w:rPr>
        <w:t xml:space="preserve">that </w:t>
      </w:r>
      <w:r w:rsidR="0032558A">
        <w:rPr>
          <w:rFonts w:ascii="Times New Roman" w:hAnsi="Times New Roman"/>
        </w:rPr>
        <w:t>were close to bidding or in contract negotiations</w:t>
      </w:r>
      <w:r w:rsidR="00EA57A0">
        <w:rPr>
          <w:rFonts w:ascii="Times New Roman" w:hAnsi="Times New Roman"/>
        </w:rPr>
        <w:t xml:space="preserve"> when reported</w:t>
      </w:r>
      <w:r>
        <w:rPr>
          <w:rFonts w:ascii="Times New Roman" w:hAnsi="Times New Roman"/>
        </w:rPr>
        <w:t xml:space="preserve">; these projects </w:t>
      </w:r>
      <w:r w:rsidR="00331829">
        <w:rPr>
          <w:rFonts w:ascii="Times New Roman" w:hAnsi="Times New Roman"/>
        </w:rPr>
        <w:t>covered</w:t>
      </w:r>
      <w:r>
        <w:rPr>
          <w:rFonts w:ascii="Times New Roman" w:hAnsi="Times New Roman"/>
        </w:rPr>
        <w:t xml:space="preserve"> spectrum of categories</w:t>
      </w:r>
      <w:r w:rsidR="0032558A">
        <w:rPr>
          <w:rFonts w:ascii="Times New Roman" w:hAnsi="Times New Roman"/>
        </w:rPr>
        <w:t xml:space="preserve">. </w:t>
      </w:r>
    </w:p>
    <w:p w:rsidR="004D6D9F" w:rsidRPr="003B288E" w:rsidRDefault="004D6D9F" w:rsidP="00311719">
      <w:pPr>
        <w:rPr>
          <w:rFonts w:ascii="Times New Roman" w:hAnsi="Times New Roman"/>
        </w:rPr>
      </w:pPr>
    </w:p>
    <w:p w:rsidR="004D6D9F" w:rsidRPr="003B288E" w:rsidRDefault="004D6D9F" w:rsidP="00311719">
      <w:pPr>
        <w:rPr>
          <w:rFonts w:ascii="Times New Roman" w:hAnsi="Times New Roman"/>
          <w:b/>
        </w:rPr>
      </w:pPr>
      <w:r w:rsidRPr="003B288E">
        <w:rPr>
          <w:rFonts w:ascii="Times New Roman" w:hAnsi="Times New Roman"/>
          <w:b/>
        </w:rPr>
        <w:t>Energy Contracts</w:t>
      </w:r>
    </w:p>
    <w:p w:rsidR="00EA57A0" w:rsidRDefault="003F1017" w:rsidP="00311719">
      <w:pPr>
        <w:rPr>
          <w:rFonts w:ascii="Times New Roman" w:hAnsi="Times New Roman"/>
        </w:rPr>
      </w:pPr>
      <w:r w:rsidRPr="003B288E">
        <w:rPr>
          <w:rFonts w:ascii="Times New Roman" w:hAnsi="Times New Roman"/>
        </w:rPr>
        <w:t xml:space="preserve">Currently there are </w:t>
      </w:r>
      <w:r w:rsidR="00BB6872" w:rsidRPr="003B288E">
        <w:rPr>
          <w:rFonts w:ascii="Times New Roman" w:hAnsi="Times New Roman"/>
        </w:rPr>
        <w:t>50</w:t>
      </w:r>
      <w:r w:rsidRPr="003B288E">
        <w:rPr>
          <w:rFonts w:ascii="Times New Roman" w:hAnsi="Times New Roman"/>
        </w:rPr>
        <w:t xml:space="preserve"> contracts in the database</w:t>
      </w:r>
      <w:r w:rsidR="00EA57A0">
        <w:rPr>
          <w:rFonts w:ascii="Times New Roman" w:hAnsi="Times New Roman"/>
        </w:rPr>
        <w:t xml:space="preserve"> from 12 entities, with an additional 10 entities reporting that they had no applicable contracts</w:t>
      </w:r>
      <w:r w:rsidRPr="003B288E">
        <w:rPr>
          <w:rFonts w:ascii="Times New Roman" w:hAnsi="Times New Roman"/>
        </w:rPr>
        <w:t xml:space="preserve">. Most </w:t>
      </w:r>
      <w:r w:rsidR="00331829">
        <w:rPr>
          <w:rFonts w:ascii="Times New Roman" w:hAnsi="Times New Roman"/>
        </w:rPr>
        <w:t xml:space="preserve">contracts </w:t>
      </w:r>
      <w:r w:rsidRPr="003B288E">
        <w:rPr>
          <w:rFonts w:ascii="Times New Roman" w:hAnsi="Times New Roman"/>
        </w:rPr>
        <w:t xml:space="preserve">were received from the survey, but several were gathered through jurisdictions’ online databases. </w:t>
      </w:r>
      <w:r w:rsidR="00BB6872" w:rsidRPr="003B288E">
        <w:rPr>
          <w:rFonts w:ascii="Times New Roman" w:hAnsi="Times New Roman"/>
        </w:rPr>
        <w:t xml:space="preserve">Contract amounts were not obtained for most contracts because many secured prices </w:t>
      </w:r>
      <w:r w:rsidR="00042552" w:rsidRPr="003B288E">
        <w:rPr>
          <w:rFonts w:ascii="Times New Roman" w:hAnsi="Times New Roman"/>
        </w:rPr>
        <w:t xml:space="preserve">for a good or service </w:t>
      </w:r>
      <w:r w:rsidR="00BB6872" w:rsidRPr="003B288E">
        <w:rPr>
          <w:rFonts w:ascii="Times New Roman" w:hAnsi="Times New Roman"/>
        </w:rPr>
        <w:t xml:space="preserve">rather than establishing a total contract price. </w:t>
      </w:r>
    </w:p>
    <w:p w:rsidR="004A20F0" w:rsidRDefault="004A20F0" w:rsidP="00311719">
      <w:pPr>
        <w:rPr>
          <w:rFonts w:ascii="Times New Roman" w:hAnsi="Times New Roman"/>
        </w:rPr>
      </w:pPr>
    </w:p>
    <w:p w:rsidR="004A20F0" w:rsidRPr="003B288E" w:rsidRDefault="004A20F0" w:rsidP="004A20F0">
      <w:pPr>
        <w:rPr>
          <w:rFonts w:ascii="Times New Roman" w:hAnsi="Times New Roman"/>
        </w:rPr>
      </w:pPr>
      <w:r w:rsidRPr="003B288E">
        <w:rPr>
          <w:rFonts w:ascii="Times New Roman" w:hAnsi="Times New Roman"/>
        </w:rPr>
        <w:t xml:space="preserve">The contact person for each entity was not always located in the same department, making it difficult to compile a list of the best contacts.  In some entities the purchasing department replied and in others the response came from those administering the actual projects. It would be helpful to have input on </w:t>
      </w:r>
      <w:r>
        <w:rPr>
          <w:rFonts w:ascii="Times New Roman" w:hAnsi="Times New Roman"/>
        </w:rPr>
        <w:t xml:space="preserve">which department to contact, and </w:t>
      </w:r>
      <w:r w:rsidRPr="003B288E">
        <w:rPr>
          <w:rFonts w:ascii="Times New Roman" w:hAnsi="Times New Roman"/>
        </w:rPr>
        <w:t xml:space="preserve">whether a director or general purchasing agent should be contacted first.  </w:t>
      </w:r>
    </w:p>
    <w:p w:rsidR="00EA57A0" w:rsidRDefault="00EA57A0" w:rsidP="00311719">
      <w:pPr>
        <w:rPr>
          <w:rFonts w:ascii="Times New Roman" w:hAnsi="Times New Roman"/>
        </w:rPr>
      </w:pPr>
    </w:p>
    <w:p w:rsidR="003F1017" w:rsidRPr="003B288E" w:rsidRDefault="00BB6872" w:rsidP="00311719">
      <w:pPr>
        <w:rPr>
          <w:rFonts w:ascii="Times New Roman" w:hAnsi="Times New Roman"/>
        </w:rPr>
      </w:pPr>
      <w:r w:rsidRPr="003B288E">
        <w:rPr>
          <w:rFonts w:ascii="Times New Roman" w:hAnsi="Times New Roman"/>
        </w:rPr>
        <w:t xml:space="preserve">A quarter of the contracts </w:t>
      </w:r>
      <w:r w:rsidR="00042552" w:rsidRPr="003B288E">
        <w:rPr>
          <w:rFonts w:ascii="Times New Roman" w:hAnsi="Times New Roman"/>
        </w:rPr>
        <w:t xml:space="preserve">in the directory </w:t>
      </w:r>
      <w:r w:rsidRPr="003B288E">
        <w:rPr>
          <w:rFonts w:ascii="Times New Roman" w:hAnsi="Times New Roman"/>
        </w:rPr>
        <w:t xml:space="preserve">pertain to energy efficiency and renewable energy </w:t>
      </w:r>
      <w:r w:rsidR="00042552" w:rsidRPr="003B288E">
        <w:rPr>
          <w:rFonts w:ascii="Times New Roman" w:hAnsi="Times New Roman"/>
        </w:rPr>
        <w:t>in government buildings. An additional</w:t>
      </w:r>
      <w:r w:rsidRPr="003B288E">
        <w:rPr>
          <w:rFonts w:ascii="Times New Roman" w:hAnsi="Times New Roman"/>
        </w:rPr>
        <w:t xml:space="preserve"> quarter of the contracts are for</w:t>
      </w:r>
      <w:r w:rsidR="00BB38A0">
        <w:rPr>
          <w:rFonts w:ascii="Times New Roman" w:hAnsi="Times New Roman"/>
        </w:rPr>
        <w:t xml:space="preserve"> supporting</w:t>
      </w:r>
      <w:r w:rsidRPr="003B288E">
        <w:rPr>
          <w:rFonts w:ascii="Times New Roman" w:hAnsi="Times New Roman"/>
        </w:rPr>
        <w:t xml:space="preserve"> services to conduct greenhouse gas inventories, develop energy strategies, or provide outreach materials and efforts</w:t>
      </w:r>
      <w:r w:rsidR="00042552" w:rsidRPr="003B288E">
        <w:rPr>
          <w:rFonts w:ascii="Times New Roman" w:hAnsi="Times New Roman"/>
        </w:rPr>
        <w:t xml:space="preserve"> in the community</w:t>
      </w:r>
      <w:r w:rsidRPr="003B288E">
        <w:rPr>
          <w:rFonts w:ascii="Times New Roman" w:hAnsi="Times New Roman"/>
        </w:rPr>
        <w:t xml:space="preserve">. </w:t>
      </w:r>
      <w:r w:rsidR="00065828" w:rsidRPr="003B288E">
        <w:rPr>
          <w:rFonts w:ascii="Times New Roman" w:hAnsi="Times New Roman"/>
        </w:rPr>
        <w:t xml:space="preserve">One-fifth of the contracts </w:t>
      </w:r>
      <w:r w:rsidR="00331829">
        <w:rPr>
          <w:rFonts w:ascii="Times New Roman" w:hAnsi="Times New Roman"/>
        </w:rPr>
        <w:t>are for</w:t>
      </w:r>
      <w:r w:rsidRPr="003B288E">
        <w:rPr>
          <w:rFonts w:ascii="Times New Roman" w:hAnsi="Times New Roman"/>
        </w:rPr>
        <w:t xml:space="preserve"> the purchase of hybrid electric vehicles.</w:t>
      </w:r>
      <w:r w:rsidR="00065828" w:rsidRPr="003B288E">
        <w:rPr>
          <w:rFonts w:ascii="Times New Roman" w:hAnsi="Times New Roman"/>
        </w:rPr>
        <w:t xml:space="preserve"> </w:t>
      </w:r>
      <w:r w:rsidR="00BB38A0">
        <w:rPr>
          <w:rFonts w:ascii="Times New Roman" w:hAnsi="Times New Roman"/>
        </w:rPr>
        <w:t xml:space="preserve">Fourteen percent of the </w:t>
      </w:r>
      <w:r w:rsidR="00065828" w:rsidRPr="003B288E">
        <w:rPr>
          <w:rFonts w:ascii="Times New Roman" w:hAnsi="Times New Roman"/>
        </w:rPr>
        <w:t xml:space="preserve">contracts </w:t>
      </w:r>
      <w:r w:rsidR="00BB38A0">
        <w:rPr>
          <w:rFonts w:ascii="Times New Roman" w:hAnsi="Times New Roman"/>
        </w:rPr>
        <w:t>are for purchasing</w:t>
      </w:r>
      <w:r w:rsidR="00065828" w:rsidRPr="003B288E">
        <w:rPr>
          <w:rFonts w:ascii="Times New Roman" w:hAnsi="Times New Roman"/>
        </w:rPr>
        <w:t xml:space="preserve"> new street</w:t>
      </w:r>
      <w:r w:rsidR="00042552" w:rsidRPr="003B288E">
        <w:rPr>
          <w:rFonts w:ascii="Times New Roman" w:hAnsi="Times New Roman"/>
        </w:rPr>
        <w:t xml:space="preserve"> and traffic light equipment</w:t>
      </w:r>
      <w:r w:rsidR="00065828" w:rsidRPr="003B288E">
        <w:rPr>
          <w:rFonts w:ascii="Times New Roman" w:hAnsi="Times New Roman"/>
        </w:rPr>
        <w:t xml:space="preserve">.  One-tenth of the contracts relate to energy efficiency and renewable energy in residential or commercial facilities. </w:t>
      </w:r>
      <w:r w:rsidR="004A20F0">
        <w:rPr>
          <w:rFonts w:ascii="Times New Roman" w:hAnsi="Times New Roman"/>
        </w:rPr>
        <w:t>See the table below for a view of the area breakdown.</w:t>
      </w:r>
    </w:p>
    <w:p w:rsidR="00BB6872" w:rsidRPr="003B288E" w:rsidRDefault="00BB6872" w:rsidP="00311719">
      <w:pPr>
        <w:rPr>
          <w:rFonts w:ascii="Times New Roman" w:hAnsi="Times New Roman"/>
        </w:rPr>
      </w:pPr>
    </w:p>
    <w:p w:rsidR="003F1017" w:rsidRPr="003B288E" w:rsidRDefault="003F1017" w:rsidP="00311719">
      <w:pPr>
        <w:rPr>
          <w:rFonts w:ascii="Times New Roman" w:hAnsi="Times New Roman"/>
        </w:rPr>
      </w:pPr>
      <w:r w:rsidRPr="003B288E">
        <w:rPr>
          <w:rFonts w:ascii="Times New Roman" w:hAnsi="Times New Roman"/>
        </w:rPr>
        <w:t xml:space="preserve">This </w:t>
      </w:r>
      <w:r w:rsidR="00331829">
        <w:rPr>
          <w:rFonts w:ascii="Times New Roman" w:hAnsi="Times New Roman"/>
        </w:rPr>
        <w:t>database</w:t>
      </w:r>
      <w:r w:rsidRPr="003B288E">
        <w:rPr>
          <w:rFonts w:ascii="Times New Roman" w:hAnsi="Times New Roman"/>
        </w:rPr>
        <w:t xml:space="preserve"> includes the details for nine contracts in Loudoun County that have not been bid yet, but are funded by EECBG grants</w:t>
      </w:r>
      <w:r w:rsidR="00042552" w:rsidRPr="003B288E">
        <w:rPr>
          <w:rFonts w:ascii="Times New Roman" w:hAnsi="Times New Roman"/>
        </w:rPr>
        <w:t xml:space="preserve"> and will hopefully be released soon</w:t>
      </w:r>
      <w:r w:rsidRPr="003B288E">
        <w:rPr>
          <w:rFonts w:ascii="Times New Roman" w:hAnsi="Times New Roman"/>
        </w:rPr>
        <w:t xml:space="preserve">. </w:t>
      </w:r>
    </w:p>
    <w:p w:rsidR="003F1017" w:rsidRPr="003B288E" w:rsidRDefault="003F1017" w:rsidP="00311719">
      <w:pPr>
        <w:rPr>
          <w:rFonts w:ascii="Times New Roman" w:hAnsi="Times New Roman"/>
        </w:rPr>
      </w:pPr>
    </w:p>
    <w:p w:rsidR="003F1017" w:rsidRDefault="00042552" w:rsidP="00311719">
      <w:pPr>
        <w:rPr>
          <w:rFonts w:ascii="Times New Roman" w:hAnsi="Times New Roman"/>
        </w:rPr>
      </w:pPr>
      <w:r w:rsidRPr="003B288E">
        <w:rPr>
          <w:rFonts w:ascii="Times New Roman" w:hAnsi="Times New Roman"/>
        </w:rPr>
        <w:t>The c</w:t>
      </w:r>
      <w:r w:rsidR="003F1017" w:rsidRPr="003B288E">
        <w:rPr>
          <w:rFonts w:ascii="Times New Roman" w:hAnsi="Times New Roman"/>
        </w:rPr>
        <w:t xml:space="preserve">ontract and contact information </w:t>
      </w:r>
      <w:r w:rsidRPr="003B288E">
        <w:rPr>
          <w:rFonts w:ascii="Times New Roman" w:hAnsi="Times New Roman"/>
        </w:rPr>
        <w:t>gathered in this search will be</w:t>
      </w:r>
      <w:r w:rsidR="003F1017" w:rsidRPr="003B288E">
        <w:rPr>
          <w:rFonts w:ascii="Times New Roman" w:hAnsi="Times New Roman"/>
        </w:rPr>
        <w:t xml:space="preserve"> available in a database located on MWCOG’s website. The listings </w:t>
      </w:r>
      <w:r w:rsidRPr="003B288E">
        <w:rPr>
          <w:rFonts w:ascii="Times New Roman" w:hAnsi="Times New Roman"/>
        </w:rPr>
        <w:t>will be</w:t>
      </w:r>
      <w:r w:rsidR="003F1017" w:rsidRPr="003B288E">
        <w:rPr>
          <w:rFonts w:ascii="Times New Roman" w:hAnsi="Times New Roman"/>
        </w:rPr>
        <w:t xml:space="preserve"> searchable and contain contact information for further </w:t>
      </w:r>
      <w:r w:rsidRPr="003B288E">
        <w:rPr>
          <w:rFonts w:ascii="Times New Roman" w:hAnsi="Times New Roman"/>
        </w:rPr>
        <w:t>information</w:t>
      </w:r>
      <w:r w:rsidR="003F1017" w:rsidRPr="003B288E">
        <w:rPr>
          <w:rFonts w:ascii="Times New Roman" w:hAnsi="Times New Roman"/>
        </w:rPr>
        <w:t xml:space="preserve"> and collaboration opportunities. </w:t>
      </w:r>
      <w:r w:rsidRPr="003B288E">
        <w:rPr>
          <w:rFonts w:ascii="Times New Roman" w:hAnsi="Times New Roman"/>
        </w:rPr>
        <w:t xml:space="preserve">As more applicable contracts are signed they can be uploaded into the database.  </w:t>
      </w:r>
      <w:r w:rsidR="003F1017" w:rsidRPr="003B288E">
        <w:rPr>
          <w:rFonts w:ascii="Times New Roman" w:hAnsi="Times New Roman"/>
        </w:rPr>
        <w:t xml:space="preserve">The </w:t>
      </w:r>
      <w:r w:rsidRPr="003B288E">
        <w:rPr>
          <w:rFonts w:ascii="Times New Roman" w:hAnsi="Times New Roman"/>
        </w:rPr>
        <w:t xml:space="preserve">system </w:t>
      </w:r>
      <w:r w:rsidR="003F1017" w:rsidRPr="003B288E">
        <w:rPr>
          <w:rFonts w:ascii="Times New Roman" w:hAnsi="Times New Roman"/>
        </w:rPr>
        <w:t>is currently set up to be accessible only to those with a username and</w:t>
      </w:r>
      <w:r w:rsidRPr="003B288E">
        <w:rPr>
          <w:rFonts w:ascii="Times New Roman" w:hAnsi="Times New Roman"/>
        </w:rPr>
        <w:t xml:space="preserve"> password approved by COG.  This </w:t>
      </w:r>
      <w:r w:rsidR="003F1017" w:rsidRPr="003B288E">
        <w:rPr>
          <w:rFonts w:ascii="Times New Roman" w:hAnsi="Times New Roman"/>
        </w:rPr>
        <w:t xml:space="preserve">set-up allows those with accounts to input information about new contracts as it becomes available. The database could become public, </w:t>
      </w:r>
      <w:r w:rsidR="002B4243" w:rsidRPr="003B288E">
        <w:rPr>
          <w:rFonts w:ascii="Times New Roman" w:hAnsi="Times New Roman"/>
        </w:rPr>
        <w:t>with additional contracts sent from</w:t>
      </w:r>
      <w:r w:rsidR="003F1017" w:rsidRPr="003B288E">
        <w:rPr>
          <w:rFonts w:ascii="Times New Roman" w:hAnsi="Times New Roman"/>
        </w:rPr>
        <w:t xml:space="preserve"> project managers</w:t>
      </w:r>
      <w:r w:rsidR="002B4243" w:rsidRPr="003B288E">
        <w:rPr>
          <w:rFonts w:ascii="Times New Roman" w:hAnsi="Times New Roman"/>
        </w:rPr>
        <w:t xml:space="preserve"> to be</w:t>
      </w:r>
      <w:r w:rsidR="003F1017" w:rsidRPr="003B288E">
        <w:rPr>
          <w:rFonts w:ascii="Times New Roman" w:hAnsi="Times New Roman"/>
        </w:rPr>
        <w:t xml:space="preserve"> uploaded by COG. </w:t>
      </w:r>
    </w:p>
    <w:p w:rsidR="004A20F0" w:rsidRDefault="004A20F0" w:rsidP="00311719">
      <w:pPr>
        <w:rPr>
          <w:rFonts w:ascii="Times New Roman" w:hAnsi="Times New Roman"/>
        </w:rPr>
      </w:pPr>
    </w:p>
    <w:tbl>
      <w:tblPr>
        <w:tblStyle w:val="LightGrid"/>
        <w:tblW w:w="0" w:type="auto"/>
        <w:tblLook w:val="04A0"/>
      </w:tblPr>
      <w:tblGrid>
        <w:gridCol w:w="7128"/>
        <w:gridCol w:w="2250"/>
      </w:tblGrid>
      <w:tr w:rsidR="004A20F0" w:rsidTr="004A20F0">
        <w:trPr>
          <w:cnfStyle w:val="100000000000"/>
        </w:trPr>
        <w:tc>
          <w:tcPr>
            <w:cnfStyle w:val="001000000000"/>
            <w:tcW w:w="7128" w:type="dxa"/>
          </w:tcPr>
          <w:p w:rsidR="004A20F0" w:rsidRDefault="004A20F0" w:rsidP="00311719">
            <w:pPr>
              <w:rPr>
                <w:rFonts w:ascii="Times New Roman" w:hAnsi="Times New Roman"/>
              </w:rPr>
            </w:pPr>
            <w:r>
              <w:rPr>
                <w:rFonts w:ascii="Times New Roman" w:hAnsi="Times New Roman"/>
              </w:rPr>
              <w:t>Area</w:t>
            </w:r>
          </w:p>
        </w:tc>
        <w:tc>
          <w:tcPr>
            <w:tcW w:w="2250" w:type="dxa"/>
          </w:tcPr>
          <w:p w:rsidR="004A20F0" w:rsidRDefault="004A20F0" w:rsidP="00311719">
            <w:pPr>
              <w:cnfStyle w:val="100000000000"/>
              <w:rPr>
                <w:rFonts w:ascii="Times New Roman" w:hAnsi="Times New Roman"/>
              </w:rPr>
            </w:pPr>
            <w:r>
              <w:rPr>
                <w:rFonts w:ascii="Times New Roman" w:hAnsi="Times New Roman"/>
              </w:rPr>
              <w:t>Number of Contracts</w:t>
            </w:r>
          </w:p>
        </w:tc>
      </w:tr>
      <w:tr w:rsidR="004A20F0" w:rsidTr="004A20F0">
        <w:trPr>
          <w:cnfStyle w:val="000000100000"/>
        </w:trPr>
        <w:tc>
          <w:tcPr>
            <w:cnfStyle w:val="001000000000"/>
            <w:tcW w:w="7128" w:type="dxa"/>
          </w:tcPr>
          <w:p w:rsidR="004A20F0" w:rsidRDefault="004A20F0" w:rsidP="00311719">
            <w:pPr>
              <w:rPr>
                <w:rFonts w:ascii="Times New Roman" w:hAnsi="Times New Roman"/>
              </w:rPr>
            </w:pPr>
            <w:r>
              <w:rPr>
                <w:rFonts w:ascii="Times New Roman" w:hAnsi="Times New Roman"/>
              </w:rPr>
              <w:t>Energy Efficiency and Renewable Energy- Government Buildings</w:t>
            </w:r>
          </w:p>
        </w:tc>
        <w:tc>
          <w:tcPr>
            <w:tcW w:w="2250" w:type="dxa"/>
          </w:tcPr>
          <w:p w:rsidR="004A20F0" w:rsidRDefault="004A20F0" w:rsidP="00311719">
            <w:pPr>
              <w:cnfStyle w:val="000000100000"/>
              <w:rPr>
                <w:rFonts w:ascii="Times New Roman" w:hAnsi="Times New Roman"/>
              </w:rPr>
            </w:pPr>
            <w:r>
              <w:rPr>
                <w:rFonts w:ascii="Times New Roman" w:hAnsi="Times New Roman"/>
              </w:rPr>
              <w:t>13</w:t>
            </w:r>
          </w:p>
        </w:tc>
      </w:tr>
      <w:tr w:rsidR="004A20F0" w:rsidTr="004A20F0">
        <w:trPr>
          <w:cnfStyle w:val="000000010000"/>
        </w:trPr>
        <w:tc>
          <w:tcPr>
            <w:cnfStyle w:val="001000000000"/>
            <w:tcW w:w="7128" w:type="dxa"/>
          </w:tcPr>
          <w:p w:rsidR="004A20F0" w:rsidRDefault="004A20F0" w:rsidP="00311719">
            <w:pPr>
              <w:rPr>
                <w:rFonts w:ascii="Times New Roman" w:hAnsi="Times New Roman"/>
              </w:rPr>
            </w:pPr>
            <w:r>
              <w:rPr>
                <w:rFonts w:ascii="Times New Roman" w:hAnsi="Times New Roman"/>
              </w:rPr>
              <w:t>Street Lights</w:t>
            </w:r>
          </w:p>
        </w:tc>
        <w:tc>
          <w:tcPr>
            <w:tcW w:w="2250" w:type="dxa"/>
          </w:tcPr>
          <w:p w:rsidR="004A20F0" w:rsidRDefault="004A20F0" w:rsidP="00311719">
            <w:pPr>
              <w:cnfStyle w:val="000000010000"/>
              <w:rPr>
                <w:rFonts w:ascii="Times New Roman" w:hAnsi="Times New Roman"/>
              </w:rPr>
            </w:pPr>
            <w:r>
              <w:rPr>
                <w:rFonts w:ascii="Times New Roman" w:hAnsi="Times New Roman"/>
              </w:rPr>
              <w:t>7</w:t>
            </w:r>
          </w:p>
        </w:tc>
      </w:tr>
      <w:tr w:rsidR="004A20F0" w:rsidTr="004A20F0">
        <w:trPr>
          <w:cnfStyle w:val="000000100000"/>
        </w:trPr>
        <w:tc>
          <w:tcPr>
            <w:cnfStyle w:val="001000000000"/>
            <w:tcW w:w="7128" w:type="dxa"/>
          </w:tcPr>
          <w:p w:rsidR="004A20F0" w:rsidRDefault="004A20F0" w:rsidP="00311719">
            <w:pPr>
              <w:rPr>
                <w:rFonts w:ascii="Times New Roman" w:hAnsi="Times New Roman"/>
              </w:rPr>
            </w:pPr>
            <w:r>
              <w:rPr>
                <w:rFonts w:ascii="Times New Roman" w:hAnsi="Times New Roman"/>
              </w:rPr>
              <w:t>Energy Efficiency and Renewable Energy- Residential and Commercial Buildings</w:t>
            </w:r>
          </w:p>
        </w:tc>
        <w:tc>
          <w:tcPr>
            <w:tcW w:w="2250" w:type="dxa"/>
          </w:tcPr>
          <w:p w:rsidR="004A20F0" w:rsidRDefault="004A20F0" w:rsidP="00311719">
            <w:pPr>
              <w:cnfStyle w:val="000000100000"/>
              <w:rPr>
                <w:rFonts w:ascii="Times New Roman" w:hAnsi="Times New Roman"/>
              </w:rPr>
            </w:pPr>
            <w:r>
              <w:rPr>
                <w:rFonts w:ascii="Times New Roman" w:hAnsi="Times New Roman"/>
              </w:rPr>
              <w:t>5</w:t>
            </w:r>
          </w:p>
        </w:tc>
      </w:tr>
      <w:tr w:rsidR="004A20F0" w:rsidTr="004A20F0">
        <w:trPr>
          <w:cnfStyle w:val="000000010000"/>
        </w:trPr>
        <w:tc>
          <w:tcPr>
            <w:cnfStyle w:val="001000000000"/>
            <w:tcW w:w="7128" w:type="dxa"/>
          </w:tcPr>
          <w:p w:rsidR="004A20F0" w:rsidRDefault="004A20F0" w:rsidP="00311719">
            <w:pPr>
              <w:rPr>
                <w:rFonts w:ascii="Times New Roman" w:hAnsi="Times New Roman"/>
              </w:rPr>
            </w:pPr>
            <w:r>
              <w:rPr>
                <w:rFonts w:ascii="Times New Roman" w:hAnsi="Times New Roman"/>
              </w:rPr>
              <w:t>Transportation</w:t>
            </w:r>
          </w:p>
        </w:tc>
        <w:tc>
          <w:tcPr>
            <w:tcW w:w="2250" w:type="dxa"/>
          </w:tcPr>
          <w:p w:rsidR="004A20F0" w:rsidRDefault="004A20F0" w:rsidP="00311719">
            <w:pPr>
              <w:cnfStyle w:val="000000010000"/>
              <w:rPr>
                <w:rFonts w:ascii="Times New Roman" w:hAnsi="Times New Roman"/>
              </w:rPr>
            </w:pPr>
            <w:r>
              <w:rPr>
                <w:rFonts w:ascii="Times New Roman" w:hAnsi="Times New Roman"/>
              </w:rPr>
              <w:t>10</w:t>
            </w:r>
          </w:p>
        </w:tc>
      </w:tr>
      <w:tr w:rsidR="004A20F0" w:rsidTr="004A20F0">
        <w:trPr>
          <w:cnfStyle w:val="000000100000"/>
        </w:trPr>
        <w:tc>
          <w:tcPr>
            <w:cnfStyle w:val="001000000000"/>
            <w:tcW w:w="7128" w:type="dxa"/>
          </w:tcPr>
          <w:p w:rsidR="004A20F0" w:rsidRDefault="004A20F0" w:rsidP="00311719">
            <w:pPr>
              <w:rPr>
                <w:rFonts w:ascii="Times New Roman" w:hAnsi="Times New Roman"/>
              </w:rPr>
            </w:pPr>
            <w:r>
              <w:rPr>
                <w:rFonts w:ascii="Times New Roman" w:hAnsi="Times New Roman"/>
              </w:rPr>
              <w:t>Supporting Activities</w:t>
            </w:r>
          </w:p>
        </w:tc>
        <w:tc>
          <w:tcPr>
            <w:tcW w:w="2250" w:type="dxa"/>
          </w:tcPr>
          <w:p w:rsidR="004A20F0" w:rsidRDefault="004A20F0" w:rsidP="00311719">
            <w:pPr>
              <w:cnfStyle w:val="000000100000"/>
              <w:rPr>
                <w:rFonts w:ascii="Times New Roman" w:hAnsi="Times New Roman"/>
              </w:rPr>
            </w:pPr>
            <w:r>
              <w:rPr>
                <w:rFonts w:ascii="Times New Roman" w:hAnsi="Times New Roman"/>
              </w:rPr>
              <w:t>13</w:t>
            </w:r>
          </w:p>
        </w:tc>
      </w:tr>
      <w:tr w:rsidR="004A20F0" w:rsidTr="004A20F0">
        <w:trPr>
          <w:cnfStyle w:val="000000010000"/>
        </w:trPr>
        <w:tc>
          <w:tcPr>
            <w:cnfStyle w:val="001000000000"/>
            <w:tcW w:w="7128" w:type="dxa"/>
          </w:tcPr>
          <w:p w:rsidR="004A20F0" w:rsidRDefault="004A20F0" w:rsidP="00311719">
            <w:pPr>
              <w:rPr>
                <w:rFonts w:ascii="Times New Roman" w:hAnsi="Times New Roman"/>
              </w:rPr>
            </w:pPr>
            <w:r>
              <w:rPr>
                <w:rFonts w:ascii="Times New Roman" w:hAnsi="Times New Roman"/>
              </w:rPr>
              <w:t>Other</w:t>
            </w:r>
          </w:p>
        </w:tc>
        <w:tc>
          <w:tcPr>
            <w:tcW w:w="2250" w:type="dxa"/>
          </w:tcPr>
          <w:p w:rsidR="004A20F0" w:rsidRDefault="004A20F0" w:rsidP="00311719">
            <w:pPr>
              <w:cnfStyle w:val="000000010000"/>
              <w:rPr>
                <w:rFonts w:ascii="Times New Roman" w:hAnsi="Times New Roman"/>
              </w:rPr>
            </w:pPr>
            <w:r>
              <w:rPr>
                <w:rFonts w:ascii="Times New Roman" w:hAnsi="Times New Roman"/>
              </w:rPr>
              <w:t>2</w:t>
            </w:r>
          </w:p>
        </w:tc>
      </w:tr>
      <w:tr w:rsidR="004A20F0" w:rsidTr="004A20F0">
        <w:trPr>
          <w:cnfStyle w:val="000000100000"/>
        </w:trPr>
        <w:tc>
          <w:tcPr>
            <w:cnfStyle w:val="001000000000"/>
            <w:tcW w:w="7128" w:type="dxa"/>
          </w:tcPr>
          <w:p w:rsidR="004A20F0" w:rsidRDefault="004A20F0" w:rsidP="00311719">
            <w:pPr>
              <w:rPr>
                <w:rFonts w:ascii="Times New Roman" w:hAnsi="Times New Roman"/>
              </w:rPr>
            </w:pPr>
            <w:r>
              <w:rPr>
                <w:rFonts w:ascii="Times New Roman" w:hAnsi="Times New Roman"/>
              </w:rPr>
              <w:t>TOTAL</w:t>
            </w:r>
          </w:p>
        </w:tc>
        <w:tc>
          <w:tcPr>
            <w:tcW w:w="2250" w:type="dxa"/>
          </w:tcPr>
          <w:p w:rsidR="004A20F0" w:rsidRDefault="004A20F0" w:rsidP="00311719">
            <w:pPr>
              <w:cnfStyle w:val="000000100000"/>
              <w:rPr>
                <w:rFonts w:ascii="Times New Roman" w:hAnsi="Times New Roman"/>
              </w:rPr>
            </w:pPr>
            <w:r>
              <w:rPr>
                <w:rFonts w:ascii="Times New Roman" w:hAnsi="Times New Roman"/>
              </w:rPr>
              <w:t>50</w:t>
            </w:r>
          </w:p>
        </w:tc>
      </w:tr>
    </w:tbl>
    <w:p w:rsidR="004A20F0" w:rsidRPr="003B288E" w:rsidRDefault="004A20F0" w:rsidP="00311719">
      <w:pPr>
        <w:rPr>
          <w:rFonts w:ascii="Times New Roman" w:hAnsi="Times New Roman"/>
        </w:rPr>
      </w:pPr>
    </w:p>
    <w:sectPr w:rsidR="004A20F0" w:rsidRPr="003B288E" w:rsidSect="000965F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0F0" w:rsidRDefault="004A20F0" w:rsidP="00AC13C7">
      <w:r>
        <w:separator/>
      </w:r>
    </w:p>
  </w:endnote>
  <w:endnote w:type="continuationSeparator" w:id="0">
    <w:p w:rsidR="004A20F0" w:rsidRDefault="004A20F0" w:rsidP="00AC13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netian301 Dm BT">
    <w:altName w:val="Times New Roman"/>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0F0" w:rsidRDefault="004A20F0" w:rsidP="00AC13C7">
      <w:r>
        <w:separator/>
      </w:r>
    </w:p>
  </w:footnote>
  <w:footnote w:type="continuationSeparator" w:id="0">
    <w:p w:rsidR="004A20F0" w:rsidRDefault="004A20F0" w:rsidP="00AC13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0F0" w:rsidRDefault="004A20F0">
    <w:pPr>
      <w:pStyle w:val="Header"/>
    </w:pPr>
    <w:r>
      <w:t>Draft 9/9/10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F4B40"/>
    <w:rsid w:val="00040A1A"/>
    <w:rsid w:val="00042552"/>
    <w:rsid w:val="00065828"/>
    <w:rsid w:val="000965FF"/>
    <w:rsid w:val="000C2A65"/>
    <w:rsid w:val="002B4243"/>
    <w:rsid w:val="002C76F6"/>
    <w:rsid w:val="00311231"/>
    <w:rsid w:val="00311719"/>
    <w:rsid w:val="0032558A"/>
    <w:rsid w:val="00331829"/>
    <w:rsid w:val="00374481"/>
    <w:rsid w:val="003B288E"/>
    <w:rsid w:val="003F1017"/>
    <w:rsid w:val="003F21A2"/>
    <w:rsid w:val="004A20F0"/>
    <w:rsid w:val="004D6D9F"/>
    <w:rsid w:val="005226A4"/>
    <w:rsid w:val="0076735A"/>
    <w:rsid w:val="00800FAC"/>
    <w:rsid w:val="009070B2"/>
    <w:rsid w:val="009B762F"/>
    <w:rsid w:val="00A92157"/>
    <w:rsid w:val="00AC13C7"/>
    <w:rsid w:val="00B12734"/>
    <w:rsid w:val="00BB38A0"/>
    <w:rsid w:val="00BB678D"/>
    <w:rsid w:val="00BB6872"/>
    <w:rsid w:val="00CF4B40"/>
    <w:rsid w:val="00D07C75"/>
    <w:rsid w:val="00E804C7"/>
    <w:rsid w:val="00EA57A0"/>
    <w:rsid w:val="00F57DE2"/>
    <w:rsid w:val="00FB2F8E"/>
    <w:rsid w:val="00FB7574"/>
    <w:rsid w:val="00FC4A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719"/>
    <w:pPr>
      <w:widowControl w:val="0"/>
      <w:spacing w:after="0" w:line="240" w:lineRule="auto"/>
    </w:pPr>
    <w:rPr>
      <w:rFonts w:ascii="Venetian301 Dm BT" w:eastAsia="Times New Roman" w:hAnsi="Venetian301 Dm BT" w:cs="Times New Roman"/>
      <w:snapToGrid w:val="0"/>
      <w:sz w:val="24"/>
      <w:szCs w:val="20"/>
    </w:rPr>
  </w:style>
  <w:style w:type="paragraph" w:styleId="Heading6">
    <w:name w:val="heading 6"/>
    <w:basedOn w:val="Normal"/>
    <w:next w:val="Normal"/>
    <w:link w:val="Heading6Char"/>
    <w:qFormat/>
    <w:rsid w:val="00311719"/>
    <w:pPr>
      <w:keepNext/>
      <w:spacing w:line="215" w:lineRule="auto"/>
      <w:jc w:val="both"/>
      <w:outlineLvl w:val="5"/>
    </w:pPr>
    <w:rPr>
      <w:rFonts w:ascii="Times New Roman" w:hAnsi="Times New Roman"/>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11719"/>
    <w:rPr>
      <w:rFonts w:ascii="Times New Roman" w:eastAsia="Times New Roman" w:hAnsi="Times New Roman" w:cs="Times New Roman"/>
      <w:bCs/>
      <w:snapToGrid w:val="0"/>
      <w:sz w:val="40"/>
      <w:szCs w:val="20"/>
    </w:rPr>
  </w:style>
  <w:style w:type="paragraph" w:styleId="Header">
    <w:name w:val="header"/>
    <w:basedOn w:val="Normal"/>
    <w:link w:val="HeaderChar"/>
    <w:rsid w:val="00311719"/>
    <w:pPr>
      <w:tabs>
        <w:tab w:val="center" w:pos="4320"/>
        <w:tab w:val="right" w:pos="8640"/>
      </w:tabs>
    </w:pPr>
  </w:style>
  <w:style w:type="character" w:customStyle="1" w:styleId="HeaderChar">
    <w:name w:val="Header Char"/>
    <w:basedOn w:val="DefaultParagraphFont"/>
    <w:link w:val="Header"/>
    <w:rsid w:val="00311719"/>
    <w:rPr>
      <w:rFonts w:ascii="Venetian301 Dm BT" w:eastAsia="Times New Roman" w:hAnsi="Venetian301 Dm BT" w:cs="Times New Roman"/>
      <w:snapToGrid w:val="0"/>
      <w:sz w:val="24"/>
      <w:szCs w:val="20"/>
    </w:rPr>
  </w:style>
  <w:style w:type="paragraph" w:styleId="BalloonText">
    <w:name w:val="Balloon Text"/>
    <w:basedOn w:val="Normal"/>
    <w:link w:val="BalloonTextChar"/>
    <w:uiPriority w:val="99"/>
    <w:semiHidden/>
    <w:unhideWhenUsed/>
    <w:rsid w:val="00FB2F8E"/>
    <w:rPr>
      <w:rFonts w:ascii="Tahoma" w:hAnsi="Tahoma" w:cs="Tahoma"/>
      <w:sz w:val="16"/>
      <w:szCs w:val="16"/>
    </w:rPr>
  </w:style>
  <w:style w:type="character" w:customStyle="1" w:styleId="BalloonTextChar">
    <w:name w:val="Balloon Text Char"/>
    <w:basedOn w:val="DefaultParagraphFont"/>
    <w:link w:val="BalloonText"/>
    <w:uiPriority w:val="99"/>
    <w:semiHidden/>
    <w:rsid w:val="00FB2F8E"/>
    <w:rPr>
      <w:rFonts w:ascii="Tahoma" w:eastAsia="Times New Roman" w:hAnsi="Tahoma" w:cs="Tahoma"/>
      <w:snapToGrid w:val="0"/>
      <w:sz w:val="16"/>
      <w:szCs w:val="16"/>
    </w:rPr>
  </w:style>
  <w:style w:type="paragraph" w:styleId="Footer">
    <w:name w:val="footer"/>
    <w:basedOn w:val="Normal"/>
    <w:link w:val="FooterChar"/>
    <w:uiPriority w:val="99"/>
    <w:semiHidden/>
    <w:unhideWhenUsed/>
    <w:rsid w:val="00AC13C7"/>
    <w:pPr>
      <w:tabs>
        <w:tab w:val="center" w:pos="4680"/>
        <w:tab w:val="right" w:pos="9360"/>
      </w:tabs>
    </w:pPr>
  </w:style>
  <w:style w:type="character" w:customStyle="1" w:styleId="FooterChar">
    <w:name w:val="Footer Char"/>
    <w:basedOn w:val="DefaultParagraphFont"/>
    <w:link w:val="Footer"/>
    <w:uiPriority w:val="99"/>
    <w:semiHidden/>
    <w:rsid w:val="00AC13C7"/>
    <w:rPr>
      <w:rFonts w:ascii="Venetian301 Dm BT" w:eastAsia="Times New Roman" w:hAnsi="Venetian301 Dm BT" w:cs="Times New Roman"/>
      <w:snapToGrid w:val="0"/>
      <w:sz w:val="24"/>
      <w:szCs w:val="20"/>
    </w:rPr>
  </w:style>
  <w:style w:type="table" w:styleId="TableGrid">
    <w:name w:val="Table Grid"/>
    <w:basedOn w:val="TableNormal"/>
    <w:uiPriority w:val="59"/>
    <w:rsid w:val="004A20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4A20F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4A20F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ogfs002\dep$\Climate%20Change\Energy%20Contracts\Use%20of%20eecbg_funds_by_jurisdiction_July20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sz="1400"/>
              <a:t>EECBG - Direct allocations ($) </a:t>
            </a:r>
          </a:p>
          <a:p>
            <a:pPr>
              <a:defRPr/>
            </a:pPr>
            <a:r>
              <a:rPr lang="en-US" sz="1100"/>
              <a:t> 18 jurisdictions, </a:t>
            </a:r>
            <a:r>
              <a:rPr lang="en-US" sz="1100" baseline="0"/>
              <a:t>$46 million</a:t>
            </a:r>
            <a:r>
              <a:rPr lang="en-US" sz="1100"/>
              <a:t> </a:t>
            </a:r>
          </a:p>
        </c:rich>
      </c:tx>
      <c:layout>
        <c:manualLayout>
          <c:xMode val="edge"/>
          <c:yMode val="edge"/>
          <c:x val="0.17744281964754419"/>
          <c:y val="2.2750213452234189E-2"/>
        </c:manualLayout>
      </c:layout>
    </c:title>
    <c:view3D>
      <c:rotX val="30"/>
      <c:perspective val="30"/>
    </c:view3D>
    <c:plotArea>
      <c:layout>
        <c:manualLayout>
          <c:layoutTarget val="inner"/>
          <c:xMode val="edge"/>
          <c:yMode val="edge"/>
          <c:x val="0.31714336755026074"/>
          <c:y val="0.38164036724325195"/>
          <c:w val="0.68140083274931018"/>
          <c:h val="0.3856813079088014"/>
        </c:manualLayout>
      </c:layout>
      <c:pie3DChart>
        <c:varyColors val="1"/>
        <c:ser>
          <c:idx val="3"/>
          <c:order val="3"/>
          <c:dLbls>
            <c:dLbl>
              <c:idx val="1"/>
              <c:layout>
                <c:manualLayout>
                  <c:x val="8.0114331258330965E-2"/>
                  <c:y val="-0.13565442873857625"/>
                </c:manualLayout>
              </c:layout>
              <c:showPercent val="1"/>
            </c:dLbl>
            <c:dLbl>
              <c:idx val="3"/>
              <c:layout>
                <c:manualLayout>
                  <c:x val="2.7444031034582178E-2"/>
                  <c:y val="-2.0312114600132797E-2"/>
                </c:manualLayout>
              </c:layout>
              <c:showPercent val="1"/>
            </c:dLbl>
            <c:dLbl>
              <c:idx val="4"/>
              <c:layout>
                <c:manualLayout>
                  <c:x val="5.5028788940649491E-2"/>
                  <c:y val="6.5682151176886083E-2"/>
                </c:manualLayout>
              </c:layout>
              <c:showPercent val="1"/>
            </c:dLbl>
            <c:dLbl>
              <c:idx val="5"/>
              <c:layout>
                <c:manualLayout>
                  <c:x val="9.0940138506783157E-3"/>
                  <c:y val="-7.2713223931120995E-3"/>
                </c:manualLayout>
              </c:layout>
              <c:showPercent val="1"/>
            </c:dLbl>
            <c:showPercent val="1"/>
          </c:dLbls>
          <c:cat>
            <c:strRef>
              <c:f>(summary!$B$12,summary!$B$18,summary!$B$25,summary!$B$30,summary!$B$37,summary!$B$41)</c:f>
              <c:strCache>
                <c:ptCount val="6"/>
                <c:pt idx="0">
                  <c:v>EERE in government buildings</c:v>
                </c:pt>
                <c:pt idx="1">
                  <c:v>Street and Traffic Lights</c:v>
                </c:pt>
                <c:pt idx="2">
                  <c:v>EERE in Residential and commercial buildings</c:v>
                </c:pt>
                <c:pt idx="3">
                  <c:v>Transportation </c:v>
                </c:pt>
                <c:pt idx="4">
                  <c:v>Supporting activities</c:v>
                </c:pt>
                <c:pt idx="5">
                  <c:v>Other</c:v>
                </c:pt>
              </c:strCache>
            </c:strRef>
          </c:cat>
          <c:val>
            <c:numRef>
              <c:f>(summary!$F$12,summary!$F$18,summary!$F$25,summary!$F$30,summary!$F$37,summary!$F$41)</c:f>
              <c:numCache>
                <c:formatCode>_("$"* #,##0.00_);_("$"* \(#,##0.00\);_("$"* "-"??_);_(@_)</c:formatCode>
                <c:ptCount val="6"/>
                <c:pt idx="0">
                  <c:v>26741906</c:v>
                </c:pt>
                <c:pt idx="1">
                  <c:v>2825035</c:v>
                </c:pt>
                <c:pt idx="2">
                  <c:v>11379710</c:v>
                </c:pt>
                <c:pt idx="3">
                  <c:v>381800</c:v>
                </c:pt>
                <c:pt idx="4">
                  <c:v>3992659</c:v>
                </c:pt>
                <c:pt idx="5">
                  <c:v>598863</c:v>
                </c:pt>
              </c:numCache>
            </c:numRef>
          </c:val>
        </c:ser>
        <c:ser>
          <c:idx val="2"/>
          <c:order val="2"/>
          <c:cat>
            <c:strRef>
              <c:f>(summary!$B$12,summary!$B$18,summary!$B$25,summary!$B$30,summary!$B$37,summary!$B$41)</c:f>
              <c:strCache>
                <c:ptCount val="6"/>
                <c:pt idx="0">
                  <c:v>EERE in government buildings</c:v>
                </c:pt>
                <c:pt idx="1">
                  <c:v>Street and Traffic Lights</c:v>
                </c:pt>
                <c:pt idx="2">
                  <c:v>EERE in Residential and commercial buildings</c:v>
                </c:pt>
                <c:pt idx="3">
                  <c:v>Transportation </c:v>
                </c:pt>
                <c:pt idx="4">
                  <c:v>Supporting activities</c:v>
                </c:pt>
                <c:pt idx="5">
                  <c:v>Other</c:v>
                </c:pt>
              </c:strCache>
            </c:strRef>
          </c:cat>
          <c:val>
            <c:numRef>
              <c:f>(summary!$E$12,summary!$E$18,summary!$E$25,summary!$E$30,summary!$E$37,summary!$E$41)</c:f>
            </c:numRef>
          </c:val>
        </c:ser>
        <c:ser>
          <c:idx val="1"/>
          <c:order val="1"/>
          <c:cat>
            <c:strRef>
              <c:f>(summary!$B$12,summary!$B$18,summary!$B$25,summary!$B$30,summary!$B$37,summary!$B$41)</c:f>
              <c:strCache>
                <c:ptCount val="6"/>
                <c:pt idx="0">
                  <c:v>EERE in government buildings</c:v>
                </c:pt>
                <c:pt idx="1">
                  <c:v>Street and Traffic Lights</c:v>
                </c:pt>
                <c:pt idx="2">
                  <c:v>EERE in Residential and commercial buildings</c:v>
                </c:pt>
                <c:pt idx="3">
                  <c:v>Transportation </c:v>
                </c:pt>
                <c:pt idx="4">
                  <c:v>Supporting activities</c:v>
                </c:pt>
                <c:pt idx="5">
                  <c:v>Other</c:v>
                </c:pt>
              </c:strCache>
            </c:strRef>
          </c:cat>
          <c:val>
            <c:numRef>
              <c:f>(summary!$D$12,summary!$D$18,summary!$D$25,summary!$D$30,summary!$D$37,summary!$D$41)</c:f>
            </c:numRef>
          </c:val>
        </c:ser>
        <c:ser>
          <c:idx val="0"/>
          <c:order val="0"/>
          <c:cat>
            <c:strRef>
              <c:f>(summary!$B$12,summary!$B$18,summary!$B$25,summary!$B$30,summary!$B$37,summary!$B$41)</c:f>
              <c:strCache>
                <c:ptCount val="6"/>
                <c:pt idx="0">
                  <c:v>EERE in government buildings</c:v>
                </c:pt>
                <c:pt idx="1">
                  <c:v>Street and Traffic Lights</c:v>
                </c:pt>
                <c:pt idx="2">
                  <c:v>EERE in Residential and commercial buildings</c:v>
                </c:pt>
                <c:pt idx="3">
                  <c:v>Transportation </c:v>
                </c:pt>
                <c:pt idx="4">
                  <c:v>Supporting activities</c:v>
                </c:pt>
                <c:pt idx="5">
                  <c:v>Other</c:v>
                </c:pt>
              </c:strCache>
            </c:strRef>
          </c:cat>
          <c:val>
            <c:numRef>
              <c:f>(summary!$C$12,summary!$C$18,summary!$C$25,summary!$C$30,summary!$C$37,summary!$C$41)</c:f>
            </c:numRef>
          </c:val>
        </c:ser>
        <c:dLbls>
          <c:showPercent val="1"/>
        </c:dLbls>
      </c:pie3DChart>
    </c:plotArea>
    <c:legend>
      <c:legendPos val="l"/>
      <c:layout>
        <c:manualLayout>
          <c:xMode val="edge"/>
          <c:yMode val="edge"/>
          <c:x val="1.9607843137254902E-2"/>
          <c:y val="0.22014072036176213"/>
          <c:w val="0.45858221568457824"/>
          <c:h val="0.77909622742940343"/>
        </c:manualLayout>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JAltavilla</dc:creator>
  <cp:lastModifiedBy>jrohlfs</cp:lastModifiedBy>
  <cp:revision>2</cp:revision>
  <cp:lastPrinted>2010-09-07T19:28:00Z</cp:lastPrinted>
  <dcterms:created xsi:type="dcterms:W3CDTF">2010-09-10T12:53:00Z</dcterms:created>
  <dcterms:modified xsi:type="dcterms:W3CDTF">2010-09-10T12:53:00Z</dcterms:modified>
</cp:coreProperties>
</file>