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0CF819" w14:textId="77777777" w:rsidR="00FF0938" w:rsidRPr="00707DD3" w:rsidRDefault="00FF0938" w:rsidP="00AF2028">
      <w:pPr>
        <w:pStyle w:val="1Head-TPBMemo"/>
      </w:pPr>
      <w:r w:rsidRPr="00AF2028">
        <w:t>memorandum</w:t>
      </w:r>
    </w:p>
    <w:p w14:paraId="39968A09" w14:textId="77777777" w:rsidR="00FF0938" w:rsidRPr="00FF0938" w:rsidRDefault="00FF0938" w:rsidP="004422AB">
      <w:pPr>
        <w:pStyle w:val="3Paragraph"/>
      </w:pPr>
    </w:p>
    <w:p w14:paraId="5F3A4286" w14:textId="45EC8871" w:rsidR="00FF0938" w:rsidRPr="00FF0938" w:rsidRDefault="00FF0938" w:rsidP="009D7BCE">
      <w:pPr>
        <w:pStyle w:val="ToFromInfo"/>
      </w:pPr>
      <w:r w:rsidRPr="003C210F">
        <w:rPr>
          <w:rStyle w:val="TOFROM-HEAVYFONT"/>
        </w:rPr>
        <w:t>TO:</w:t>
      </w:r>
      <w:r w:rsidRPr="00FF0938">
        <w:rPr>
          <w:sz w:val="18"/>
          <w:szCs w:val="18"/>
        </w:rPr>
        <w:t xml:space="preserve"> </w:t>
      </w:r>
      <w:r w:rsidRPr="00FF0938">
        <w:rPr>
          <w:sz w:val="18"/>
          <w:szCs w:val="18"/>
        </w:rPr>
        <w:tab/>
      </w:r>
      <w:r w:rsidR="001450B6">
        <w:t>TPB Access for All Advisory Committee</w:t>
      </w:r>
    </w:p>
    <w:p w14:paraId="18CCC82C" w14:textId="77777777" w:rsidR="000E0870" w:rsidRDefault="00FF0938" w:rsidP="000E0870">
      <w:pPr>
        <w:pStyle w:val="ToFromInfo"/>
      </w:pPr>
      <w:r w:rsidRPr="003C210F">
        <w:rPr>
          <w:rStyle w:val="TOFROM-HEAVYFONT"/>
        </w:rPr>
        <w:t>FROM:</w:t>
      </w:r>
      <w:r w:rsidRPr="00FF0938">
        <w:rPr>
          <w:rFonts w:cs="ITCFranklinGothicStd-Hvy"/>
          <w:spacing w:val="-2"/>
          <w:sz w:val="18"/>
          <w:szCs w:val="18"/>
        </w:rPr>
        <w:t xml:space="preserve"> </w:t>
      </w:r>
      <w:r w:rsidRPr="00FF0938">
        <w:rPr>
          <w:rFonts w:cs="ITCFranklinGothicStd-Hvy"/>
          <w:spacing w:val="-2"/>
          <w:sz w:val="18"/>
          <w:szCs w:val="18"/>
        </w:rPr>
        <w:tab/>
      </w:r>
      <w:r w:rsidR="00226CE1">
        <w:t>John Swanson, Transportation Planner</w:t>
      </w:r>
      <w:r w:rsidR="000E0870">
        <w:t xml:space="preserve"> </w:t>
      </w:r>
    </w:p>
    <w:p w14:paraId="632476F9" w14:textId="2B5F87C1" w:rsidR="00FF0938" w:rsidRPr="00FF0938" w:rsidRDefault="00FF0938" w:rsidP="009D7BCE">
      <w:pPr>
        <w:pStyle w:val="ToFromInfo"/>
      </w:pPr>
      <w:r w:rsidRPr="0081435B">
        <w:rPr>
          <w:rStyle w:val="TOFROM-HEAVYFONT"/>
        </w:rPr>
        <w:t>SUBJECT</w:t>
      </w:r>
      <w:r w:rsidRPr="003C210F">
        <w:rPr>
          <w:rStyle w:val="TOFROM-HEAVYFONT"/>
        </w:rPr>
        <w:t>:</w:t>
      </w:r>
      <w:r w:rsidRPr="00FF0938">
        <w:rPr>
          <w:spacing w:val="-2"/>
          <w:sz w:val="18"/>
          <w:szCs w:val="18"/>
        </w:rPr>
        <w:t xml:space="preserve"> </w:t>
      </w:r>
      <w:r w:rsidRPr="00FF0938">
        <w:rPr>
          <w:spacing w:val="-2"/>
          <w:sz w:val="18"/>
          <w:szCs w:val="18"/>
        </w:rPr>
        <w:tab/>
      </w:r>
      <w:r w:rsidR="00226CE1" w:rsidRPr="00226CE1">
        <w:t xml:space="preserve">Projects </w:t>
      </w:r>
      <w:r w:rsidR="009D5D96">
        <w:t>r</w:t>
      </w:r>
      <w:r w:rsidR="00226CE1" w:rsidRPr="00226CE1">
        <w:t>ecommended for funding in FY 20</w:t>
      </w:r>
      <w:r w:rsidR="00DE21ED">
        <w:t>21</w:t>
      </w:r>
      <w:r w:rsidR="00140558">
        <w:t>-202</w:t>
      </w:r>
      <w:r w:rsidR="00DE21ED">
        <w:t>2</w:t>
      </w:r>
      <w:r w:rsidR="00226CE1" w:rsidRPr="00226CE1">
        <w:t xml:space="preserve"> in </w:t>
      </w:r>
      <w:r w:rsidR="00140558">
        <w:t>Virginia</w:t>
      </w:r>
      <w:r w:rsidR="00226CE1" w:rsidRPr="00226CE1">
        <w:t xml:space="preserve"> under the Transportation Alternatives </w:t>
      </w:r>
      <w:r w:rsidR="00F455B7">
        <w:t>Set-Aside</w:t>
      </w:r>
      <w:r w:rsidR="00226CE1" w:rsidRPr="00226CE1">
        <w:t xml:space="preserve"> Program</w:t>
      </w:r>
      <w:r w:rsidR="00226CE1">
        <w:rPr>
          <w:spacing w:val="-2"/>
          <w:sz w:val="18"/>
          <w:szCs w:val="18"/>
        </w:rPr>
        <w:t xml:space="preserve"> </w:t>
      </w:r>
    </w:p>
    <w:p w14:paraId="08F512DD" w14:textId="6008E9E9" w:rsidR="00FF0938" w:rsidRPr="00FF0938" w:rsidRDefault="00FF0938" w:rsidP="009D7BCE">
      <w:pPr>
        <w:pStyle w:val="ToFromInfo"/>
      </w:pPr>
      <w:r w:rsidRPr="008F251C">
        <w:rPr>
          <w:rStyle w:val="TOFROM-HEAVYFONT"/>
        </w:rPr>
        <w:t>DATE</w:t>
      </w:r>
      <w:r w:rsidRPr="003C210F">
        <w:rPr>
          <w:rStyle w:val="TOFROM-HEAVYFONT"/>
        </w:rPr>
        <w:t>:</w:t>
      </w:r>
      <w:r w:rsidRPr="00FF0938">
        <w:rPr>
          <w:spacing w:val="-2"/>
          <w:sz w:val="18"/>
          <w:szCs w:val="18"/>
        </w:rPr>
        <w:t xml:space="preserve"> </w:t>
      </w:r>
      <w:r w:rsidRPr="00FF0938">
        <w:rPr>
          <w:spacing w:val="-2"/>
          <w:sz w:val="18"/>
          <w:szCs w:val="18"/>
        </w:rPr>
        <w:tab/>
      </w:r>
      <w:r w:rsidR="00DE21ED">
        <w:t xml:space="preserve">February </w:t>
      </w:r>
      <w:r w:rsidR="008C0812">
        <w:t>1</w:t>
      </w:r>
      <w:r w:rsidR="001450B6">
        <w:t>1</w:t>
      </w:r>
      <w:bookmarkStart w:id="0" w:name="_GoBack"/>
      <w:bookmarkEnd w:id="0"/>
      <w:r w:rsidR="00DE21ED">
        <w:t>, 2020</w:t>
      </w:r>
    </w:p>
    <w:p w14:paraId="3CE16B0C" w14:textId="77777777" w:rsidR="00FF0938" w:rsidRPr="00AF2028" w:rsidRDefault="00FF0938" w:rsidP="00AF2028">
      <w:pPr>
        <w:pStyle w:val="RULE-TPB"/>
      </w:pPr>
    </w:p>
    <w:p w14:paraId="2ED47F21" w14:textId="77777777" w:rsidR="00226CE1" w:rsidRDefault="00226CE1" w:rsidP="00226CE1">
      <w:pPr>
        <w:pStyle w:val="2Subhead"/>
      </w:pPr>
      <w:r>
        <w:t>Summary</w:t>
      </w:r>
    </w:p>
    <w:p w14:paraId="291DF1AD" w14:textId="77777777" w:rsidR="00226CE1" w:rsidRDefault="00226CE1" w:rsidP="00226CE1">
      <w:pPr>
        <w:pStyle w:val="3Paragraph"/>
      </w:pPr>
    </w:p>
    <w:p w14:paraId="2F72427B" w14:textId="79DA608B" w:rsidR="000E0870" w:rsidRDefault="00226CE1" w:rsidP="000E0870">
      <w:pPr>
        <w:pStyle w:val="3Paragraph"/>
      </w:pPr>
      <w:r>
        <w:t xml:space="preserve">Under the federal Transportation Alternatives </w:t>
      </w:r>
      <w:r w:rsidR="00F455B7">
        <w:t>Set-Aside</w:t>
      </w:r>
      <w:r>
        <w:t xml:space="preserve"> (TA </w:t>
      </w:r>
      <w:r w:rsidR="00F455B7">
        <w:t>Set-Aside</w:t>
      </w:r>
      <w:r>
        <w:t xml:space="preserve">) Program, the TPB is responsible for selecting projects using sub-allocated funding for Suburban Maryland, Northern Virginia, and the District of Columbia. The TA </w:t>
      </w:r>
      <w:r w:rsidR="00F455B7">
        <w:t>Set-Aside</w:t>
      </w:r>
      <w:r>
        <w:t>, which is part of the Surface Transportation Block Grant Program, was previously known as the Transportation</w:t>
      </w:r>
      <w:r w:rsidR="000E0870">
        <w:t xml:space="preserve"> Alternatives Program (TAP)</w:t>
      </w:r>
      <w:r>
        <w:t xml:space="preserve">.   </w:t>
      </w:r>
    </w:p>
    <w:p w14:paraId="736D028C" w14:textId="77777777" w:rsidR="000E0870" w:rsidRDefault="000E0870" w:rsidP="000E0870">
      <w:pPr>
        <w:pStyle w:val="3Paragraph"/>
      </w:pPr>
    </w:p>
    <w:p w14:paraId="4C686D85" w14:textId="26B66E0E" w:rsidR="00226CE1" w:rsidRPr="002C327F" w:rsidRDefault="00140558" w:rsidP="000E0870">
      <w:pPr>
        <w:pStyle w:val="3Paragraph"/>
      </w:pPr>
      <w:r>
        <w:t>For FY 20</w:t>
      </w:r>
      <w:r w:rsidR="00DE21ED">
        <w:t>21 and FY 2022</w:t>
      </w:r>
      <w:r w:rsidR="00E8145A">
        <w:t xml:space="preserve"> in Virginia</w:t>
      </w:r>
      <w:r w:rsidR="00226CE1" w:rsidRPr="0084374A">
        <w:t xml:space="preserve">, the TPB </w:t>
      </w:r>
      <w:r w:rsidR="00E8145A">
        <w:t>was provided</w:t>
      </w:r>
      <w:r w:rsidR="00226CE1" w:rsidRPr="0084374A">
        <w:t xml:space="preserve"> </w:t>
      </w:r>
      <w:r w:rsidR="00642747">
        <w:t xml:space="preserve">a sub-allocation of </w:t>
      </w:r>
      <w:r w:rsidRPr="002C327F">
        <w:t>$</w:t>
      </w:r>
      <w:r w:rsidR="00642747" w:rsidRPr="002C327F">
        <w:t>5,579,514</w:t>
      </w:r>
      <w:r w:rsidR="00226CE1" w:rsidRPr="002C327F">
        <w:t xml:space="preserve">. A selection panel has recommended </w:t>
      </w:r>
      <w:r w:rsidR="002C327F">
        <w:t>funding for</w:t>
      </w:r>
      <w:r w:rsidR="00226CE1" w:rsidRPr="002C327F">
        <w:t xml:space="preserve"> the projects </w:t>
      </w:r>
      <w:r w:rsidR="00CB2BCF" w:rsidRPr="002C327F">
        <w:t>list</w:t>
      </w:r>
      <w:r w:rsidR="002C327F" w:rsidRPr="002C327F">
        <w:t>ed</w:t>
      </w:r>
      <w:r w:rsidR="00CB2BCF" w:rsidRPr="002C327F">
        <w:t xml:space="preserve"> below</w:t>
      </w:r>
      <w:r w:rsidR="002C327F" w:rsidRPr="002C327F">
        <w:t>, which total $5,551,274</w:t>
      </w:r>
      <w:r w:rsidR="00226CE1" w:rsidRPr="002C327F">
        <w:t>.</w:t>
      </w:r>
      <w:r w:rsidR="00642747" w:rsidRPr="002C327F">
        <w:t xml:space="preserve"> </w:t>
      </w:r>
      <w:r w:rsidR="002C327F">
        <w:t xml:space="preserve">The TPB will be asked to approve the recommendations on February 19, 2020. </w:t>
      </w:r>
      <w:r w:rsidR="00642747" w:rsidRPr="002C327F">
        <w:t xml:space="preserve">The recommendations will leave a remainder of $28,240 unspent </w:t>
      </w:r>
      <w:r w:rsidR="00E56A76" w:rsidRPr="002C327F">
        <w:t>from</w:t>
      </w:r>
      <w:r w:rsidR="00642747" w:rsidRPr="002C327F">
        <w:t xml:space="preserve"> the TPB’s sub-allocation. </w:t>
      </w:r>
    </w:p>
    <w:p w14:paraId="5D3E6DAB" w14:textId="77777777" w:rsidR="00226CE1" w:rsidRDefault="00226CE1" w:rsidP="00E90281">
      <w:pPr>
        <w:pStyle w:val="3Paragraph"/>
      </w:pPr>
    </w:p>
    <w:tbl>
      <w:tblPr>
        <w:tblStyle w:val="TableGrid"/>
        <w:tblW w:w="0" w:type="auto"/>
        <w:tblLook w:val="04A0" w:firstRow="1" w:lastRow="0" w:firstColumn="1" w:lastColumn="0" w:noHBand="0" w:noVBand="1"/>
      </w:tblPr>
      <w:tblGrid>
        <w:gridCol w:w="4495"/>
        <w:gridCol w:w="2340"/>
        <w:gridCol w:w="2250"/>
      </w:tblGrid>
      <w:tr w:rsidR="00CB2BCF" w:rsidRPr="00642747" w14:paraId="23A11A59" w14:textId="77777777" w:rsidTr="00437048">
        <w:trPr>
          <w:trHeight w:val="750"/>
        </w:trPr>
        <w:tc>
          <w:tcPr>
            <w:tcW w:w="9085" w:type="dxa"/>
            <w:gridSpan w:val="3"/>
          </w:tcPr>
          <w:p w14:paraId="4A56E8FB" w14:textId="77777777" w:rsidR="00CB2BCF" w:rsidRDefault="00CB2BCF" w:rsidP="00642747">
            <w:pPr>
              <w:pStyle w:val="3Paragraph"/>
              <w:rPr>
                <w:b/>
                <w:bCs/>
              </w:rPr>
            </w:pPr>
            <w:bookmarkStart w:id="1" w:name="_Hlk31979127"/>
            <w:r>
              <w:rPr>
                <w:b/>
                <w:bCs/>
              </w:rPr>
              <w:t xml:space="preserve">TPB Selection Panel </w:t>
            </w:r>
          </w:p>
          <w:p w14:paraId="0334C7B8" w14:textId="77777777" w:rsidR="00CB2BCF" w:rsidRDefault="00CB2BCF" w:rsidP="00642747">
            <w:pPr>
              <w:pStyle w:val="3Paragraph"/>
              <w:rPr>
                <w:b/>
                <w:bCs/>
              </w:rPr>
            </w:pPr>
            <w:r>
              <w:rPr>
                <w:b/>
                <w:bCs/>
              </w:rPr>
              <w:t>Project Recommendations</w:t>
            </w:r>
          </w:p>
          <w:p w14:paraId="53F8153E" w14:textId="77777777" w:rsidR="00CB2BCF" w:rsidRDefault="00CB2BCF" w:rsidP="00642747">
            <w:pPr>
              <w:pStyle w:val="3Paragraph"/>
              <w:rPr>
                <w:b/>
                <w:bCs/>
              </w:rPr>
            </w:pPr>
            <w:r>
              <w:rPr>
                <w:b/>
                <w:bCs/>
              </w:rPr>
              <w:t>Virginia Transportation Alternatives Set-Aside Program, FY 2021-2022</w:t>
            </w:r>
          </w:p>
          <w:p w14:paraId="28ECE886" w14:textId="66A7F1E7" w:rsidR="00CB2BCF" w:rsidRPr="00642747" w:rsidRDefault="00CB2BCF" w:rsidP="00642747">
            <w:pPr>
              <w:pStyle w:val="3Paragraph"/>
              <w:rPr>
                <w:b/>
                <w:bCs/>
              </w:rPr>
            </w:pPr>
          </w:p>
        </w:tc>
      </w:tr>
      <w:tr w:rsidR="00642747" w:rsidRPr="00642747" w14:paraId="04219347" w14:textId="77777777" w:rsidTr="00642747">
        <w:trPr>
          <w:trHeight w:val="750"/>
        </w:trPr>
        <w:tc>
          <w:tcPr>
            <w:tcW w:w="4495" w:type="dxa"/>
            <w:hideMark/>
          </w:tcPr>
          <w:p w14:paraId="00D8A0B1" w14:textId="77777777" w:rsidR="00642747" w:rsidRPr="00642747" w:rsidRDefault="00642747" w:rsidP="00642747">
            <w:pPr>
              <w:pStyle w:val="3Paragraph"/>
              <w:rPr>
                <w:b/>
                <w:bCs/>
              </w:rPr>
            </w:pPr>
            <w:r w:rsidRPr="00642747">
              <w:rPr>
                <w:b/>
                <w:bCs/>
              </w:rPr>
              <w:t>Project Name</w:t>
            </w:r>
          </w:p>
        </w:tc>
        <w:tc>
          <w:tcPr>
            <w:tcW w:w="2340" w:type="dxa"/>
            <w:hideMark/>
          </w:tcPr>
          <w:p w14:paraId="11994FBD" w14:textId="77777777" w:rsidR="00642747" w:rsidRPr="00642747" w:rsidRDefault="00642747" w:rsidP="00642747">
            <w:pPr>
              <w:pStyle w:val="3Paragraph"/>
              <w:rPr>
                <w:b/>
                <w:bCs/>
              </w:rPr>
            </w:pPr>
            <w:r w:rsidRPr="00642747">
              <w:rPr>
                <w:b/>
                <w:bCs/>
              </w:rPr>
              <w:t>Jurisdiction</w:t>
            </w:r>
          </w:p>
        </w:tc>
        <w:tc>
          <w:tcPr>
            <w:tcW w:w="2250" w:type="dxa"/>
            <w:hideMark/>
          </w:tcPr>
          <w:p w14:paraId="4194CA4C" w14:textId="77777777" w:rsidR="00642747" w:rsidRPr="00642747" w:rsidRDefault="00642747" w:rsidP="00642747">
            <w:pPr>
              <w:pStyle w:val="3Paragraph"/>
              <w:rPr>
                <w:b/>
                <w:bCs/>
              </w:rPr>
            </w:pPr>
            <w:r w:rsidRPr="00642747">
              <w:rPr>
                <w:b/>
                <w:bCs/>
              </w:rPr>
              <w:t>Selection Panel Recommendations</w:t>
            </w:r>
          </w:p>
        </w:tc>
      </w:tr>
      <w:tr w:rsidR="00642747" w:rsidRPr="00642747" w14:paraId="560AF5C8" w14:textId="77777777" w:rsidTr="00E3574B">
        <w:trPr>
          <w:trHeight w:val="585"/>
        </w:trPr>
        <w:tc>
          <w:tcPr>
            <w:tcW w:w="4495" w:type="dxa"/>
            <w:hideMark/>
          </w:tcPr>
          <w:p w14:paraId="7B6A9D73" w14:textId="77777777" w:rsidR="00642747" w:rsidRPr="00642747" w:rsidRDefault="00642747" w:rsidP="00E3574B">
            <w:pPr>
              <w:pStyle w:val="3Paragraph"/>
            </w:pPr>
            <w:r w:rsidRPr="00642747">
              <w:t>Columbia Pike Complete Streets Improvements - Phase I</w:t>
            </w:r>
          </w:p>
        </w:tc>
        <w:tc>
          <w:tcPr>
            <w:tcW w:w="2340" w:type="dxa"/>
            <w:hideMark/>
          </w:tcPr>
          <w:p w14:paraId="442750BE" w14:textId="77777777" w:rsidR="00642747" w:rsidRPr="00642747" w:rsidRDefault="00642747" w:rsidP="00E3574B">
            <w:pPr>
              <w:pStyle w:val="3Paragraph"/>
            </w:pPr>
            <w:r w:rsidRPr="00642747">
              <w:t>Fairfax County</w:t>
            </w:r>
          </w:p>
        </w:tc>
        <w:tc>
          <w:tcPr>
            <w:tcW w:w="2250" w:type="dxa"/>
            <w:hideMark/>
          </w:tcPr>
          <w:p w14:paraId="33516E8D" w14:textId="77777777" w:rsidR="00642747" w:rsidRPr="00642747" w:rsidRDefault="00642747" w:rsidP="00E3574B">
            <w:pPr>
              <w:pStyle w:val="3Paragraph"/>
              <w:jc w:val="right"/>
            </w:pPr>
            <w:r w:rsidRPr="00642747">
              <w:t xml:space="preserve">$780,000 </w:t>
            </w:r>
          </w:p>
        </w:tc>
      </w:tr>
      <w:tr w:rsidR="00642747" w:rsidRPr="00642747" w14:paraId="569ED305" w14:textId="77777777" w:rsidTr="00882571">
        <w:trPr>
          <w:trHeight w:val="319"/>
        </w:trPr>
        <w:tc>
          <w:tcPr>
            <w:tcW w:w="4495" w:type="dxa"/>
            <w:hideMark/>
          </w:tcPr>
          <w:p w14:paraId="3DBF7AF2" w14:textId="77777777" w:rsidR="00642747" w:rsidRPr="00642747" w:rsidRDefault="00642747" w:rsidP="00882571">
            <w:pPr>
              <w:pStyle w:val="3Paragraph"/>
            </w:pPr>
            <w:r w:rsidRPr="00642747">
              <w:t>Orange Hunt Elementary School SRTS</w:t>
            </w:r>
          </w:p>
        </w:tc>
        <w:tc>
          <w:tcPr>
            <w:tcW w:w="2340" w:type="dxa"/>
            <w:hideMark/>
          </w:tcPr>
          <w:p w14:paraId="75DC5C32" w14:textId="77777777" w:rsidR="00642747" w:rsidRPr="00642747" w:rsidRDefault="00642747" w:rsidP="00882571">
            <w:pPr>
              <w:pStyle w:val="3Paragraph"/>
            </w:pPr>
            <w:r w:rsidRPr="00642747">
              <w:t>Fairfax County</w:t>
            </w:r>
          </w:p>
        </w:tc>
        <w:tc>
          <w:tcPr>
            <w:tcW w:w="2250" w:type="dxa"/>
            <w:hideMark/>
          </w:tcPr>
          <w:p w14:paraId="21C9D28B" w14:textId="77777777" w:rsidR="00642747" w:rsidRPr="00642747" w:rsidRDefault="00642747" w:rsidP="00882571">
            <w:pPr>
              <w:pStyle w:val="3Paragraph"/>
              <w:jc w:val="right"/>
            </w:pPr>
            <w:r w:rsidRPr="00642747">
              <w:t xml:space="preserve">$160,000 </w:t>
            </w:r>
          </w:p>
        </w:tc>
      </w:tr>
      <w:tr w:rsidR="00642747" w:rsidRPr="00642747" w14:paraId="663D201D" w14:textId="77777777" w:rsidTr="006B6D40">
        <w:trPr>
          <w:trHeight w:val="319"/>
        </w:trPr>
        <w:tc>
          <w:tcPr>
            <w:tcW w:w="4495" w:type="dxa"/>
            <w:hideMark/>
          </w:tcPr>
          <w:p w14:paraId="46F4B36C" w14:textId="77777777" w:rsidR="00642747" w:rsidRPr="00642747" w:rsidRDefault="00642747" w:rsidP="006B6D40">
            <w:pPr>
              <w:pStyle w:val="3Paragraph"/>
            </w:pPr>
            <w:r w:rsidRPr="00642747">
              <w:t>Central Elden Walkability Improvements</w:t>
            </w:r>
          </w:p>
        </w:tc>
        <w:tc>
          <w:tcPr>
            <w:tcW w:w="2340" w:type="dxa"/>
            <w:hideMark/>
          </w:tcPr>
          <w:p w14:paraId="3494225B" w14:textId="77777777" w:rsidR="00642747" w:rsidRPr="00642747" w:rsidRDefault="00642747" w:rsidP="006B6D40">
            <w:pPr>
              <w:pStyle w:val="3Paragraph"/>
            </w:pPr>
            <w:r w:rsidRPr="00642747">
              <w:t>Town of Herndon</w:t>
            </w:r>
          </w:p>
        </w:tc>
        <w:tc>
          <w:tcPr>
            <w:tcW w:w="2250" w:type="dxa"/>
            <w:hideMark/>
          </w:tcPr>
          <w:p w14:paraId="31F6DB05" w14:textId="77777777" w:rsidR="00642747" w:rsidRPr="00642747" w:rsidRDefault="00642747" w:rsidP="006B6D40">
            <w:pPr>
              <w:pStyle w:val="3Paragraph"/>
              <w:jc w:val="right"/>
            </w:pPr>
            <w:r w:rsidRPr="00642747">
              <w:t xml:space="preserve">$1,011,908 </w:t>
            </w:r>
          </w:p>
        </w:tc>
      </w:tr>
      <w:tr w:rsidR="00642747" w:rsidRPr="00642747" w14:paraId="3D782666" w14:textId="77777777" w:rsidTr="00210F4A">
        <w:trPr>
          <w:trHeight w:val="319"/>
        </w:trPr>
        <w:tc>
          <w:tcPr>
            <w:tcW w:w="4495" w:type="dxa"/>
            <w:hideMark/>
          </w:tcPr>
          <w:p w14:paraId="5C0E3FB8" w14:textId="77777777" w:rsidR="00642747" w:rsidRPr="00642747" w:rsidRDefault="00642747" w:rsidP="00210F4A">
            <w:pPr>
              <w:pStyle w:val="3Paragraph"/>
            </w:pPr>
            <w:r w:rsidRPr="00642747">
              <w:t>W&amp;OD Trail At-Grade Improvements</w:t>
            </w:r>
          </w:p>
        </w:tc>
        <w:tc>
          <w:tcPr>
            <w:tcW w:w="2340" w:type="dxa"/>
            <w:hideMark/>
          </w:tcPr>
          <w:p w14:paraId="29AF4B7D" w14:textId="77777777" w:rsidR="00642747" w:rsidRPr="00642747" w:rsidRDefault="00642747" w:rsidP="00210F4A">
            <w:pPr>
              <w:pStyle w:val="3Paragraph"/>
            </w:pPr>
            <w:r w:rsidRPr="00642747">
              <w:t>Loudoun County</w:t>
            </w:r>
          </w:p>
        </w:tc>
        <w:tc>
          <w:tcPr>
            <w:tcW w:w="2250" w:type="dxa"/>
            <w:hideMark/>
          </w:tcPr>
          <w:p w14:paraId="44EFC57D" w14:textId="77777777" w:rsidR="00642747" w:rsidRPr="00642747" w:rsidRDefault="00642747" w:rsidP="00210F4A">
            <w:pPr>
              <w:pStyle w:val="3Paragraph"/>
              <w:jc w:val="right"/>
            </w:pPr>
            <w:r w:rsidRPr="00642747">
              <w:t xml:space="preserve">$1,157,162 </w:t>
            </w:r>
          </w:p>
        </w:tc>
      </w:tr>
      <w:tr w:rsidR="00642747" w:rsidRPr="00642747" w14:paraId="035C333A" w14:textId="77777777" w:rsidTr="00642747">
        <w:trPr>
          <w:trHeight w:val="319"/>
        </w:trPr>
        <w:tc>
          <w:tcPr>
            <w:tcW w:w="4495" w:type="dxa"/>
            <w:hideMark/>
          </w:tcPr>
          <w:p w14:paraId="171BB581" w14:textId="77777777" w:rsidR="00642747" w:rsidRPr="00642747" w:rsidRDefault="00642747" w:rsidP="00642747">
            <w:pPr>
              <w:pStyle w:val="3Paragraph"/>
            </w:pPr>
            <w:r w:rsidRPr="00642747">
              <w:t>Wellington Road Shared-Use Path Gap</w:t>
            </w:r>
          </w:p>
        </w:tc>
        <w:tc>
          <w:tcPr>
            <w:tcW w:w="2340" w:type="dxa"/>
            <w:hideMark/>
          </w:tcPr>
          <w:p w14:paraId="1D0EDDDF" w14:textId="77777777" w:rsidR="00642747" w:rsidRPr="00642747" w:rsidRDefault="00642747" w:rsidP="00642747">
            <w:pPr>
              <w:pStyle w:val="3Paragraph"/>
            </w:pPr>
            <w:r w:rsidRPr="00642747">
              <w:t>City of Manassas</w:t>
            </w:r>
          </w:p>
        </w:tc>
        <w:tc>
          <w:tcPr>
            <w:tcW w:w="2250" w:type="dxa"/>
            <w:hideMark/>
          </w:tcPr>
          <w:p w14:paraId="5E627CD7" w14:textId="77777777" w:rsidR="00642747" w:rsidRPr="00642747" w:rsidRDefault="00642747" w:rsidP="00642747">
            <w:pPr>
              <w:pStyle w:val="3Paragraph"/>
              <w:jc w:val="right"/>
            </w:pPr>
            <w:r w:rsidRPr="00642747">
              <w:t xml:space="preserve">$675,092 </w:t>
            </w:r>
          </w:p>
        </w:tc>
      </w:tr>
      <w:tr w:rsidR="00642747" w:rsidRPr="00642747" w14:paraId="34387E8D" w14:textId="77777777" w:rsidTr="00642747">
        <w:trPr>
          <w:trHeight w:val="566"/>
        </w:trPr>
        <w:tc>
          <w:tcPr>
            <w:tcW w:w="4495" w:type="dxa"/>
            <w:hideMark/>
          </w:tcPr>
          <w:p w14:paraId="3F3FB723" w14:textId="41C4646D" w:rsidR="00642747" w:rsidRPr="00642747" w:rsidRDefault="00642747" w:rsidP="00642747">
            <w:pPr>
              <w:pStyle w:val="3Paragraph"/>
            </w:pPr>
            <w:r w:rsidRPr="00642747">
              <w:t>Old Bridge Rd SW-Oakwood to Forest Hills Sidewalk &amp; Pedestrian Improv</w:t>
            </w:r>
            <w:r>
              <w:t>e</w:t>
            </w:r>
            <w:r w:rsidRPr="00642747">
              <w:t>ments</w:t>
            </w:r>
          </w:p>
        </w:tc>
        <w:tc>
          <w:tcPr>
            <w:tcW w:w="2340" w:type="dxa"/>
            <w:hideMark/>
          </w:tcPr>
          <w:p w14:paraId="0A618D43" w14:textId="77777777" w:rsidR="00642747" w:rsidRPr="00642747" w:rsidRDefault="00642747" w:rsidP="00642747">
            <w:pPr>
              <w:pStyle w:val="3Paragraph"/>
            </w:pPr>
            <w:r w:rsidRPr="00642747">
              <w:t>Prince William County</w:t>
            </w:r>
          </w:p>
        </w:tc>
        <w:tc>
          <w:tcPr>
            <w:tcW w:w="2250" w:type="dxa"/>
            <w:hideMark/>
          </w:tcPr>
          <w:p w14:paraId="5B750B1F" w14:textId="77777777" w:rsidR="00642747" w:rsidRPr="00642747" w:rsidRDefault="00642747" w:rsidP="00642747">
            <w:pPr>
              <w:pStyle w:val="3Paragraph"/>
              <w:jc w:val="right"/>
            </w:pPr>
            <w:r w:rsidRPr="00642747">
              <w:t xml:space="preserve">$1,360,000 </w:t>
            </w:r>
          </w:p>
        </w:tc>
      </w:tr>
      <w:tr w:rsidR="00642747" w:rsidRPr="00642747" w14:paraId="1475F427" w14:textId="77777777" w:rsidTr="00642747">
        <w:trPr>
          <w:trHeight w:val="319"/>
        </w:trPr>
        <w:tc>
          <w:tcPr>
            <w:tcW w:w="4495" w:type="dxa"/>
            <w:hideMark/>
          </w:tcPr>
          <w:p w14:paraId="536CE261" w14:textId="77777777" w:rsidR="00642747" w:rsidRPr="00642747" w:rsidRDefault="00642747" w:rsidP="00642747">
            <w:pPr>
              <w:pStyle w:val="3Paragraph"/>
            </w:pPr>
            <w:r w:rsidRPr="00642747">
              <w:t>Timber Fence Trail - Phase II</w:t>
            </w:r>
          </w:p>
        </w:tc>
        <w:tc>
          <w:tcPr>
            <w:tcW w:w="2340" w:type="dxa"/>
            <w:hideMark/>
          </w:tcPr>
          <w:p w14:paraId="13357477" w14:textId="77777777" w:rsidR="00642747" w:rsidRPr="00642747" w:rsidRDefault="00642747" w:rsidP="00642747">
            <w:pPr>
              <w:pStyle w:val="3Paragraph"/>
            </w:pPr>
            <w:r w:rsidRPr="00642747">
              <w:t>Town of Warrenton</w:t>
            </w:r>
          </w:p>
        </w:tc>
        <w:tc>
          <w:tcPr>
            <w:tcW w:w="2250" w:type="dxa"/>
            <w:hideMark/>
          </w:tcPr>
          <w:p w14:paraId="04C1A8D0" w14:textId="77777777" w:rsidR="00642747" w:rsidRPr="00642747" w:rsidRDefault="00642747" w:rsidP="00642747">
            <w:pPr>
              <w:pStyle w:val="3Paragraph"/>
              <w:jc w:val="right"/>
            </w:pPr>
            <w:r w:rsidRPr="00642747">
              <w:t xml:space="preserve">$407,112 </w:t>
            </w:r>
          </w:p>
        </w:tc>
      </w:tr>
      <w:tr w:rsidR="00642747" w:rsidRPr="00642747" w14:paraId="22BE2D70" w14:textId="77777777" w:rsidTr="00642747">
        <w:trPr>
          <w:trHeight w:val="296"/>
        </w:trPr>
        <w:tc>
          <w:tcPr>
            <w:tcW w:w="4495" w:type="dxa"/>
            <w:noWrap/>
            <w:hideMark/>
          </w:tcPr>
          <w:p w14:paraId="0C2445AD" w14:textId="77777777" w:rsidR="00642747" w:rsidRPr="00642747" w:rsidRDefault="00642747" w:rsidP="00642747">
            <w:pPr>
              <w:pStyle w:val="3Paragraph"/>
            </w:pPr>
          </w:p>
        </w:tc>
        <w:tc>
          <w:tcPr>
            <w:tcW w:w="2340" w:type="dxa"/>
            <w:noWrap/>
            <w:hideMark/>
          </w:tcPr>
          <w:p w14:paraId="6691B897" w14:textId="77777777" w:rsidR="00642747" w:rsidRPr="00642747" w:rsidRDefault="00642747" w:rsidP="00642747">
            <w:pPr>
              <w:pStyle w:val="3Paragraph"/>
              <w:rPr>
                <w:b/>
                <w:bCs/>
              </w:rPr>
            </w:pPr>
            <w:r w:rsidRPr="00642747">
              <w:rPr>
                <w:b/>
                <w:bCs/>
              </w:rPr>
              <w:t>TOTAL</w:t>
            </w:r>
          </w:p>
        </w:tc>
        <w:tc>
          <w:tcPr>
            <w:tcW w:w="2250" w:type="dxa"/>
            <w:noWrap/>
            <w:hideMark/>
          </w:tcPr>
          <w:p w14:paraId="7F636247" w14:textId="77777777" w:rsidR="00642747" w:rsidRPr="00642747" w:rsidRDefault="00642747" w:rsidP="00642747">
            <w:pPr>
              <w:pStyle w:val="3Paragraph"/>
              <w:jc w:val="right"/>
              <w:rPr>
                <w:b/>
                <w:bCs/>
              </w:rPr>
            </w:pPr>
            <w:r w:rsidRPr="00642747">
              <w:rPr>
                <w:b/>
                <w:bCs/>
              </w:rPr>
              <w:t xml:space="preserve">$5,551,274 </w:t>
            </w:r>
          </w:p>
        </w:tc>
      </w:tr>
      <w:bookmarkEnd w:id="1"/>
    </w:tbl>
    <w:p w14:paraId="0DB9D7C1" w14:textId="77777777" w:rsidR="00226CE1" w:rsidRDefault="00226CE1" w:rsidP="00226CE1">
      <w:pPr>
        <w:pStyle w:val="3Paragraph"/>
      </w:pPr>
    </w:p>
    <w:p w14:paraId="0B2591F5" w14:textId="77777777" w:rsidR="00642747" w:rsidRDefault="00642747">
      <w:pPr>
        <w:widowControl/>
        <w:autoSpaceDE/>
        <w:autoSpaceDN/>
        <w:rPr>
          <w:rFonts w:ascii="Franklin Gothic Medium" w:eastAsiaTheme="minorEastAsia" w:hAnsi="Franklin Gothic Medium" w:cs="ITCFranklinGothicStd-Hvy"/>
          <w:caps/>
          <w:color w:val="000000" w:themeColor="text1"/>
          <w:sz w:val="24"/>
          <w:szCs w:val="24"/>
          <w:lang w:eastAsia="ja-JP"/>
        </w:rPr>
      </w:pPr>
      <w:r>
        <w:br w:type="page"/>
      </w:r>
    </w:p>
    <w:p w14:paraId="2D96BA4A" w14:textId="107C49BD" w:rsidR="00226CE1" w:rsidRPr="009D7BCE" w:rsidRDefault="00226CE1" w:rsidP="00226CE1">
      <w:pPr>
        <w:pStyle w:val="2Subhead"/>
      </w:pPr>
      <w:r>
        <w:lastRenderedPageBreak/>
        <w:t>BACKGROUND</w:t>
      </w:r>
    </w:p>
    <w:p w14:paraId="0A75850C" w14:textId="77777777" w:rsidR="00226CE1" w:rsidRDefault="00226CE1" w:rsidP="00226CE1">
      <w:pPr>
        <w:pStyle w:val="3Paragraph"/>
      </w:pPr>
    </w:p>
    <w:p w14:paraId="597DE0DE" w14:textId="5F780377" w:rsidR="00A67FE3" w:rsidRPr="00456FEB" w:rsidRDefault="00A67FE3" w:rsidP="00A67FE3">
      <w:pPr>
        <w:pStyle w:val="Default"/>
        <w:rPr>
          <w:rFonts w:cs="ITCFranklinGothicStd-Book"/>
          <w:color w:val="000000" w:themeColor="text1"/>
          <w:sz w:val="22"/>
          <w:szCs w:val="22"/>
        </w:rPr>
      </w:pPr>
      <w:r w:rsidRPr="00A67FE3">
        <w:rPr>
          <w:rFonts w:cs="ITCFranklinGothicStd-Book"/>
          <w:color w:val="000000" w:themeColor="text1"/>
          <w:sz w:val="22"/>
          <w:szCs w:val="22"/>
        </w:rPr>
        <w:t xml:space="preserve">The </w:t>
      </w:r>
      <w:r>
        <w:rPr>
          <w:rFonts w:cs="ITCFranklinGothicStd-Book"/>
          <w:color w:val="000000" w:themeColor="text1"/>
          <w:sz w:val="22"/>
          <w:szCs w:val="22"/>
        </w:rPr>
        <w:t xml:space="preserve">Transportation Alternatives </w:t>
      </w:r>
      <w:r w:rsidR="00F455B7">
        <w:rPr>
          <w:rFonts w:cs="ITCFranklinGothicStd-Book"/>
          <w:color w:val="000000" w:themeColor="text1"/>
          <w:sz w:val="22"/>
          <w:szCs w:val="22"/>
        </w:rPr>
        <w:t>Set-Aside</w:t>
      </w:r>
      <w:r w:rsidRPr="00456FEB">
        <w:rPr>
          <w:rFonts w:cs="ITCFranklinGothicStd-Book"/>
          <w:color w:val="000000" w:themeColor="text1"/>
          <w:sz w:val="22"/>
          <w:szCs w:val="22"/>
        </w:rPr>
        <w:t xml:space="preserve"> (</w:t>
      </w:r>
      <w:r>
        <w:rPr>
          <w:rFonts w:cs="ITCFranklinGothicStd-Book"/>
          <w:color w:val="000000" w:themeColor="text1"/>
          <w:sz w:val="22"/>
          <w:szCs w:val="22"/>
        </w:rPr>
        <w:t>TA</w:t>
      </w:r>
      <w:r w:rsidRPr="00456FEB">
        <w:rPr>
          <w:rFonts w:cs="ITCFranklinGothicStd-Book"/>
          <w:color w:val="000000" w:themeColor="text1"/>
          <w:sz w:val="22"/>
          <w:szCs w:val="22"/>
        </w:rPr>
        <w:t xml:space="preserve"> </w:t>
      </w:r>
      <w:r w:rsidR="00F455B7">
        <w:rPr>
          <w:rFonts w:cs="ITCFranklinGothicStd-Book"/>
          <w:color w:val="000000" w:themeColor="text1"/>
          <w:sz w:val="22"/>
          <w:szCs w:val="22"/>
        </w:rPr>
        <w:t>Set-Aside</w:t>
      </w:r>
      <w:r w:rsidRPr="00456FEB">
        <w:rPr>
          <w:rFonts w:cs="ITCFranklinGothicStd-Book"/>
          <w:color w:val="000000" w:themeColor="text1"/>
          <w:sz w:val="22"/>
          <w:szCs w:val="22"/>
        </w:rPr>
        <w:t xml:space="preserve">) </w:t>
      </w:r>
      <w:r>
        <w:rPr>
          <w:rFonts w:cs="ITCFranklinGothicStd-Book"/>
          <w:color w:val="000000" w:themeColor="text1"/>
          <w:sz w:val="22"/>
          <w:szCs w:val="22"/>
        </w:rPr>
        <w:t>P</w:t>
      </w:r>
      <w:r w:rsidRPr="00A67FE3">
        <w:rPr>
          <w:rFonts w:cs="ITCFranklinGothicStd-Book"/>
          <w:color w:val="000000" w:themeColor="text1"/>
          <w:sz w:val="22"/>
          <w:szCs w:val="22"/>
        </w:rPr>
        <w:t xml:space="preserve">rogram was established </w:t>
      </w:r>
      <w:r>
        <w:rPr>
          <w:rFonts w:cs="ITCFranklinGothicStd-Book"/>
          <w:color w:val="000000" w:themeColor="text1"/>
          <w:sz w:val="22"/>
          <w:szCs w:val="22"/>
        </w:rPr>
        <w:t xml:space="preserve">by federal law </w:t>
      </w:r>
      <w:r w:rsidRPr="00A67FE3">
        <w:rPr>
          <w:rFonts w:cs="ITCFranklinGothicStd-Book"/>
          <w:color w:val="000000" w:themeColor="text1"/>
          <w:sz w:val="22"/>
          <w:szCs w:val="22"/>
        </w:rPr>
        <w:t xml:space="preserve">to fund a variety of smaller-scale transportation projects such as pedestrian and bicycle facilities, trails, safe routes to school </w:t>
      </w:r>
      <w:r>
        <w:rPr>
          <w:rFonts w:cs="ITCFranklinGothicStd-Book"/>
          <w:color w:val="000000" w:themeColor="text1"/>
          <w:sz w:val="22"/>
          <w:szCs w:val="22"/>
        </w:rPr>
        <w:t xml:space="preserve">(SRTS) </w:t>
      </w:r>
      <w:r w:rsidRPr="00A67FE3">
        <w:rPr>
          <w:rFonts w:cs="ITCFranklinGothicStd-Book"/>
          <w:color w:val="000000" w:themeColor="text1"/>
          <w:sz w:val="22"/>
          <w:szCs w:val="22"/>
        </w:rPr>
        <w:t>projects, community improvements, and environmental mitigation.</w:t>
      </w:r>
      <w:r w:rsidR="00797353">
        <w:rPr>
          <w:rFonts w:cs="ITCFranklinGothicStd-Book"/>
          <w:color w:val="000000" w:themeColor="text1"/>
          <w:sz w:val="22"/>
          <w:szCs w:val="22"/>
        </w:rPr>
        <w:t xml:space="preserve"> MAP</w:t>
      </w:r>
      <w:r w:rsidR="00782E0D">
        <w:rPr>
          <w:rFonts w:cs="ITCFranklinGothicStd-Book"/>
          <w:color w:val="000000" w:themeColor="text1"/>
          <w:sz w:val="22"/>
          <w:szCs w:val="22"/>
        </w:rPr>
        <w:t> </w:t>
      </w:r>
      <w:r w:rsidR="00797353">
        <w:rPr>
          <w:rFonts w:cs="ITCFranklinGothicStd-Book"/>
          <w:color w:val="000000" w:themeColor="text1"/>
          <w:sz w:val="22"/>
          <w:szCs w:val="22"/>
        </w:rPr>
        <w:t xml:space="preserve">21, the surface transportation legislation enacted in 2012, established the program as the Transportation Alternatives Program (TAP). The FAST Act of 2015 renamed the program as the Transportation Alternatives </w:t>
      </w:r>
      <w:r w:rsidR="00F455B7">
        <w:rPr>
          <w:rFonts w:cs="ITCFranklinGothicStd-Book"/>
          <w:color w:val="000000" w:themeColor="text1"/>
          <w:sz w:val="22"/>
          <w:szCs w:val="22"/>
        </w:rPr>
        <w:t>Set-Aside</w:t>
      </w:r>
      <w:r w:rsidR="00797353" w:rsidRPr="00456FEB">
        <w:rPr>
          <w:rFonts w:cs="ITCFranklinGothicStd-Book"/>
          <w:color w:val="000000" w:themeColor="text1"/>
          <w:sz w:val="22"/>
          <w:szCs w:val="22"/>
        </w:rPr>
        <w:t xml:space="preserve"> (</w:t>
      </w:r>
      <w:r w:rsidR="00797353">
        <w:rPr>
          <w:rFonts w:cs="ITCFranklinGothicStd-Book"/>
          <w:color w:val="000000" w:themeColor="text1"/>
          <w:sz w:val="22"/>
          <w:szCs w:val="22"/>
        </w:rPr>
        <w:t>TA</w:t>
      </w:r>
      <w:r w:rsidR="00797353" w:rsidRPr="00456FEB">
        <w:rPr>
          <w:rFonts w:cs="ITCFranklinGothicStd-Book"/>
          <w:color w:val="000000" w:themeColor="text1"/>
          <w:sz w:val="22"/>
          <w:szCs w:val="22"/>
        </w:rPr>
        <w:t xml:space="preserve"> </w:t>
      </w:r>
      <w:r w:rsidR="00F455B7">
        <w:rPr>
          <w:rFonts w:cs="ITCFranklinGothicStd-Book"/>
          <w:color w:val="000000" w:themeColor="text1"/>
          <w:sz w:val="22"/>
          <w:szCs w:val="22"/>
        </w:rPr>
        <w:t>Set-Aside</w:t>
      </w:r>
      <w:r w:rsidR="00797353" w:rsidRPr="00456FEB">
        <w:rPr>
          <w:rFonts w:cs="ITCFranklinGothicStd-Book"/>
          <w:color w:val="000000" w:themeColor="text1"/>
          <w:sz w:val="22"/>
          <w:szCs w:val="22"/>
        </w:rPr>
        <w:t xml:space="preserve">) </w:t>
      </w:r>
      <w:r w:rsidR="00797353">
        <w:rPr>
          <w:rFonts w:cs="ITCFranklinGothicStd-Book"/>
          <w:color w:val="000000" w:themeColor="text1"/>
          <w:sz w:val="22"/>
          <w:szCs w:val="22"/>
        </w:rPr>
        <w:t>P</w:t>
      </w:r>
      <w:r w:rsidR="00797353" w:rsidRPr="00A67FE3">
        <w:rPr>
          <w:rFonts w:cs="ITCFranklinGothicStd-Book"/>
          <w:color w:val="000000" w:themeColor="text1"/>
          <w:sz w:val="22"/>
          <w:szCs w:val="22"/>
        </w:rPr>
        <w:t>rogram</w:t>
      </w:r>
      <w:r w:rsidR="00797353">
        <w:rPr>
          <w:rFonts w:cs="ITCFranklinGothicStd-Book"/>
          <w:color w:val="000000" w:themeColor="text1"/>
          <w:sz w:val="22"/>
          <w:szCs w:val="22"/>
        </w:rPr>
        <w:t xml:space="preserve">, </w:t>
      </w:r>
      <w:r w:rsidR="00782E0D">
        <w:rPr>
          <w:rFonts w:cs="ITCFranklinGothicStd-Book"/>
          <w:color w:val="000000" w:themeColor="text1"/>
          <w:sz w:val="22"/>
          <w:szCs w:val="22"/>
        </w:rPr>
        <w:t xml:space="preserve">and </w:t>
      </w:r>
      <w:r w:rsidR="00797353">
        <w:rPr>
          <w:rFonts w:cs="ITCFranklinGothicStd-Book"/>
          <w:color w:val="000000" w:themeColor="text1"/>
          <w:sz w:val="22"/>
          <w:szCs w:val="22"/>
        </w:rPr>
        <w:t xml:space="preserve">the key features of the program largely remain the same. </w:t>
      </w:r>
      <w:r>
        <w:rPr>
          <w:rFonts w:cs="ITCFranklinGothicStd-Book"/>
          <w:color w:val="000000" w:themeColor="text1"/>
          <w:sz w:val="22"/>
          <w:szCs w:val="22"/>
        </w:rPr>
        <w:t xml:space="preserve">Information on the TA </w:t>
      </w:r>
      <w:r w:rsidR="00F455B7">
        <w:rPr>
          <w:rFonts w:cs="ITCFranklinGothicStd-Book"/>
          <w:color w:val="000000" w:themeColor="text1"/>
          <w:sz w:val="22"/>
          <w:szCs w:val="22"/>
        </w:rPr>
        <w:t>Set-Aside</w:t>
      </w:r>
      <w:r>
        <w:rPr>
          <w:rFonts w:cs="ITCFranklinGothicStd-Book"/>
          <w:color w:val="000000" w:themeColor="text1"/>
          <w:sz w:val="22"/>
          <w:szCs w:val="22"/>
        </w:rPr>
        <w:t xml:space="preserve"> is available from FHWA at: </w:t>
      </w:r>
      <w:hyperlink r:id="rId8" w:history="1">
        <w:r w:rsidRPr="00EE56D4">
          <w:rPr>
            <w:rStyle w:val="Hyperlink"/>
            <w:rFonts w:cs="ITCFranklinGothicStd-Book"/>
            <w:sz w:val="22"/>
            <w:szCs w:val="22"/>
          </w:rPr>
          <w:t>https://www.fhwa.dot.gov/environment/transportation_alternatives/</w:t>
        </w:r>
      </w:hyperlink>
      <w:r>
        <w:rPr>
          <w:rFonts w:cs="ITCFranklinGothicStd-Book"/>
          <w:color w:val="000000" w:themeColor="text1"/>
          <w:sz w:val="22"/>
          <w:szCs w:val="22"/>
        </w:rPr>
        <w:t>.</w:t>
      </w:r>
    </w:p>
    <w:p w14:paraId="4D2897BD" w14:textId="77777777" w:rsidR="00A67FE3" w:rsidRPr="00456FEB" w:rsidRDefault="00A67FE3" w:rsidP="00A67FE3">
      <w:pPr>
        <w:adjustRightInd w:val="0"/>
        <w:rPr>
          <w:rFonts w:cs="ITCFranklinGothicStd-Book"/>
          <w:color w:val="000000" w:themeColor="text1"/>
        </w:rPr>
      </w:pPr>
    </w:p>
    <w:p w14:paraId="29520780" w14:textId="14A8FA62" w:rsidR="000C4275" w:rsidRDefault="00797353" w:rsidP="00226CE1">
      <w:pPr>
        <w:pStyle w:val="Default"/>
        <w:rPr>
          <w:rFonts w:cs="ITCFranklinGothicStd-Book"/>
          <w:color w:val="000000" w:themeColor="text1"/>
          <w:sz w:val="22"/>
          <w:szCs w:val="22"/>
        </w:rPr>
      </w:pPr>
      <w:r>
        <w:rPr>
          <w:rFonts w:cs="ITCFranklinGothicStd-Book"/>
          <w:color w:val="000000" w:themeColor="text1"/>
          <w:sz w:val="22"/>
          <w:szCs w:val="22"/>
        </w:rPr>
        <w:t>T</w:t>
      </w:r>
      <w:r w:rsidR="00226CE1" w:rsidRPr="00456FEB">
        <w:rPr>
          <w:rFonts w:cs="ITCFranklinGothicStd-Book"/>
          <w:color w:val="000000" w:themeColor="text1"/>
          <w:sz w:val="22"/>
          <w:szCs w:val="22"/>
        </w:rPr>
        <w:t xml:space="preserve">he </w:t>
      </w:r>
      <w:r w:rsidR="00A67FE3">
        <w:rPr>
          <w:rFonts w:cs="ITCFranklinGothicStd-Book"/>
          <w:color w:val="000000" w:themeColor="text1"/>
          <w:sz w:val="22"/>
          <w:szCs w:val="22"/>
        </w:rPr>
        <w:t>p</w:t>
      </w:r>
      <w:r w:rsidR="00226CE1" w:rsidRPr="00456FEB">
        <w:rPr>
          <w:rFonts w:cs="ITCFranklinGothicStd-Book"/>
          <w:color w:val="000000" w:themeColor="text1"/>
          <w:sz w:val="22"/>
          <w:szCs w:val="22"/>
        </w:rPr>
        <w:t>rogram</w:t>
      </w:r>
      <w:r w:rsidR="00226CE1">
        <w:rPr>
          <w:rFonts w:cs="ITCFranklinGothicStd-Book"/>
          <w:color w:val="000000" w:themeColor="text1"/>
          <w:sz w:val="22"/>
          <w:szCs w:val="22"/>
        </w:rPr>
        <w:t xml:space="preserve"> provides</w:t>
      </w:r>
      <w:r w:rsidR="00226CE1" w:rsidRPr="00456FEB">
        <w:rPr>
          <w:rFonts w:cs="ITCFranklinGothicStd-Book"/>
          <w:color w:val="000000" w:themeColor="text1"/>
          <w:sz w:val="22"/>
          <w:szCs w:val="22"/>
        </w:rPr>
        <w:t xml:space="preserve"> </w:t>
      </w:r>
      <w:r>
        <w:rPr>
          <w:rFonts w:cs="ITCFranklinGothicStd-Book"/>
          <w:color w:val="000000" w:themeColor="text1"/>
          <w:sz w:val="22"/>
          <w:szCs w:val="22"/>
        </w:rPr>
        <w:t xml:space="preserve">sub-allocated </w:t>
      </w:r>
      <w:r w:rsidR="00226CE1" w:rsidRPr="00456FEB">
        <w:rPr>
          <w:rFonts w:cs="ITCFranklinGothicStd-Book"/>
          <w:color w:val="000000" w:themeColor="text1"/>
          <w:sz w:val="22"/>
          <w:szCs w:val="22"/>
        </w:rPr>
        <w:t>funding</w:t>
      </w:r>
      <w:r w:rsidR="00226CE1">
        <w:rPr>
          <w:rFonts w:cs="ITCFranklinGothicStd-Book"/>
          <w:color w:val="000000" w:themeColor="text1"/>
          <w:sz w:val="22"/>
          <w:szCs w:val="22"/>
        </w:rPr>
        <w:t xml:space="preserve"> for</w:t>
      </w:r>
      <w:r w:rsidR="00226CE1" w:rsidRPr="00456FEB">
        <w:rPr>
          <w:rFonts w:cs="ITCFranklinGothicStd-Book"/>
          <w:color w:val="000000" w:themeColor="text1"/>
          <w:sz w:val="22"/>
          <w:szCs w:val="22"/>
        </w:rPr>
        <w:t xml:space="preserve"> </w:t>
      </w:r>
      <w:r w:rsidR="00226CE1">
        <w:rPr>
          <w:rFonts w:cs="ITCFranklinGothicStd-Book"/>
          <w:color w:val="000000" w:themeColor="text1"/>
          <w:sz w:val="22"/>
          <w:szCs w:val="22"/>
        </w:rPr>
        <w:t xml:space="preserve">large </w:t>
      </w:r>
      <w:r w:rsidR="00226CE1" w:rsidRPr="00456FEB">
        <w:rPr>
          <w:rFonts w:cs="ITCFranklinGothicStd-Book"/>
          <w:color w:val="000000" w:themeColor="text1"/>
          <w:sz w:val="22"/>
          <w:szCs w:val="22"/>
        </w:rPr>
        <w:t xml:space="preserve">metropolitan planning organizations </w:t>
      </w:r>
      <w:r w:rsidR="00226CE1">
        <w:rPr>
          <w:rFonts w:cs="ITCFranklinGothicStd-Book"/>
          <w:color w:val="000000" w:themeColor="text1"/>
          <w:sz w:val="22"/>
          <w:szCs w:val="22"/>
        </w:rPr>
        <w:t xml:space="preserve">(MPOs) </w:t>
      </w:r>
      <w:r w:rsidR="00226CE1" w:rsidRPr="00456FEB">
        <w:rPr>
          <w:rFonts w:cs="ITCFranklinGothicStd-Book"/>
          <w:color w:val="000000" w:themeColor="text1"/>
          <w:sz w:val="22"/>
          <w:szCs w:val="22"/>
        </w:rPr>
        <w:t>like the TPB</w:t>
      </w:r>
      <w:r>
        <w:rPr>
          <w:rFonts w:cs="ITCFranklinGothicStd-Book"/>
          <w:color w:val="000000" w:themeColor="text1"/>
          <w:sz w:val="22"/>
          <w:szCs w:val="22"/>
        </w:rPr>
        <w:t xml:space="preserve"> (</w:t>
      </w:r>
      <w:r w:rsidR="00E8145A">
        <w:rPr>
          <w:rFonts w:cs="ITCFranklinGothicStd-Book"/>
          <w:color w:val="000000" w:themeColor="text1"/>
          <w:sz w:val="22"/>
          <w:szCs w:val="22"/>
        </w:rPr>
        <w:t xml:space="preserve">those MPOs </w:t>
      </w:r>
      <w:r>
        <w:rPr>
          <w:rFonts w:cs="ITCFranklinGothicStd-Book"/>
          <w:color w:val="000000" w:themeColor="text1"/>
          <w:sz w:val="22"/>
          <w:szCs w:val="22"/>
        </w:rPr>
        <w:t>classified as “Transportation Management Areas”)</w:t>
      </w:r>
      <w:r w:rsidR="00226CE1" w:rsidRPr="00456FEB">
        <w:rPr>
          <w:rFonts w:cs="ITCFranklinGothicStd-Book"/>
          <w:color w:val="000000" w:themeColor="text1"/>
          <w:sz w:val="22"/>
          <w:szCs w:val="22"/>
        </w:rPr>
        <w:t xml:space="preserve"> to fund local projects.</w:t>
      </w:r>
      <w:r w:rsidR="00226CE1">
        <w:rPr>
          <w:rFonts w:cs="ITCFranklinGothicStd-Book"/>
          <w:color w:val="000000" w:themeColor="text1"/>
          <w:sz w:val="22"/>
          <w:szCs w:val="22"/>
        </w:rPr>
        <w:t xml:space="preserve"> In addition to the</w:t>
      </w:r>
      <w:r>
        <w:rPr>
          <w:rFonts w:cs="ITCFranklinGothicStd-Book"/>
          <w:color w:val="000000" w:themeColor="text1"/>
          <w:sz w:val="22"/>
          <w:szCs w:val="22"/>
        </w:rPr>
        <w:t>se</w:t>
      </w:r>
      <w:r w:rsidR="00226CE1">
        <w:rPr>
          <w:rFonts w:cs="ITCFranklinGothicStd-Book"/>
          <w:color w:val="000000" w:themeColor="text1"/>
          <w:sz w:val="22"/>
          <w:szCs w:val="22"/>
        </w:rPr>
        <w:t xml:space="preserve"> </w:t>
      </w:r>
      <w:r>
        <w:rPr>
          <w:rFonts w:cs="ITCFranklinGothicStd-Book"/>
          <w:color w:val="000000" w:themeColor="text1"/>
          <w:sz w:val="22"/>
          <w:szCs w:val="22"/>
        </w:rPr>
        <w:t xml:space="preserve">sub-allocated </w:t>
      </w:r>
      <w:r w:rsidR="00226CE1">
        <w:rPr>
          <w:rFonts w:cs="ITCFranklinGothicStd-Book"/>
          <w:color w:val="000000" w:themeColor="text1"/>
          <w:sz w:val="22"/>
          <w:szCs w:val="22"/>
        </w:rPr>
        <w:t xml:space="preserve">funds, a portion of the TA </w:t>
      </w:r>
      <w:r w:rsidR="00F455B7">
        <w:rPr>
          <w:rFonts w:cs="ITCFranklinGothicStd-Book"/>
          <w:color w:val="000000" w:themeColor="text1"/>
          <w:sz w:val="22"/>
          <w:szCs w:val="22"/>
        </w:rPr>
        <w:t>Set-Aside</w:t>
      </w:r>
      <w:r w:rsidR="00226CE1">
        <w:rPr>
          <w:rFonts w:cs="ITCFranklinGothicStd-Book"/>
          <w:color w:val="000000" w:themeColor="text1"/>
          <w:sz w:val="22"/>
          <w:szCs w:val="22"/>
        </w:rPr>
        <w:t xml:space="preserve"> funding is reserved for statewide project selection, which is conducted by the state departments of transportation. </w:t>
      </w:r>
    </w:p>
    <w:p w14:paraId="4AF68B2C" w14:textId="77777777" w:rsidR="000C4275" w:rsidRDefault="000C4275" w:rsidP="00226CE1">
      <w:pPr>
        <w:pStyle w:val="Default"/>
        <w:rPr>
          <w:rFonts w:cs="ITCFranklinGothicStd-Book"/>
          <w:color w:val="000000" w:themeColor="text1"/>
          <w:sz w:val="22"/>
          <w:szCs w:val="22"/>
        </w:rPr>
      </w:pPr>
    </w:p>
    <w:p w14:paraId="6F45F05F" w14:textId="6F7F4726" w:rsidR="00226CE1" w:rsidRPr="00456FEB" w:rsidRDefault="00226CE1" w:rsidP="00226CE1">
      <w:pPr>
        <w:pStyle w:val="Default"/>
        <w:rPr>
          <w:rFonts w:cs="ITCFranklinGothicStd-Book"/>
          <w:color w:val="000000" w:themeColor="text1"/>
          <w:sz w:val="22"/>
          <w:szCs w:val="22"/>
        </w:rPr>
      </w:pPr>
      <w:r w:rsidRPr="00456FEB">
        <w:rPr>
          <w:rFonts w:cs="ITCFranklinGothicStd-Book"/>
          <w:color w:val="000000" w:themeColor="text1"/>
          <w:sz w:val="22"/>
          <w:szCs w:val="22"/>
        </w:rPr>
        <w:t xml:space="preserve">For the National Capital Region, the program offers an opportunity to support and enhance regional planning activities. At the direction of the </w:t>
      </w:r>
      <w:r>
        <w:rPr>
          <w:rFonts w:cs="ITCFranklinGothicStd-Book"/>
          <w:color w:val="000000" w:themeColor="text1"/>
          <w:sz w:val="22"/>
          <w:szCs w:val="22"/>
        </w:rPr>
        <w:t>TPB</w:t>
      </w:r>
      <w:r w:rsidRPr="00456FEB">
        <w:rPr>
          <w:rFonts w:cs="ITCFranklinGothicStd-Book"/>
          <w:color w:val="000000" w:themeColor="text1"/>
          <w:sz w:val="22"/>
          <w:szCs w:val="22"/>
        </w:rPr>
        <w:t xml:space="preserve">, our region’s </w:t>
      </w:r>
      <w:r>
        <w:rPr>
          <w:rFonts w:cs="ITCFranklinGothicStd-Book"/>
          <w:color w:val="000000" w:themeColor="text1"/>
          <w:sz w:val="22"/>
          <w:szCs w:val="22"/>
        </w:rPr>
        <w:t>TA</w:t>
      </w:r>
      <w:r w:rsidRPr="00456FEB">
        <w:rPr>
          <w:rFonts w:cs="ITCFranklinGothicStd-Book"/>
          <w:color w:val="000000" w:themeColor="text1"/>
          <w:sz w:val="22"/>
          <w:szCs w:val="22"/>
        </w:rPr>
        <w:t xml:space="preserve"> </w:t>
      </w:r>
      <w:r w:rsidR="00F455B7">
        <w:rPr>
          <w:rFonts w:cs="ITCFranklinGothicStd-Book"/>
          <w:color w:val="000000" w:themeColor="text1"/>
          <w:sz w:val="22"/>
          <w:szCs w:val="22"/>
        </w:rPr>
        <w:t>Set-Aside</w:t>
      </w:r>
      <w:r w:rsidRPr="00456FEB">
        <w:rPr>
          <w:rFonts w:cs="ITCFranklinGothicStd-Book"/>
          <w:color w:val="000000" w:themeColor="text1"/>
          <w:sz w:val="22"/>
          <w:szCs w:val="22"/>
        </w:rPr>
        <w:t xml:space="preserve"> is framed as a complementary component of the TPB’s Transportation/Land-Use Connections (TLC) Program, which provides technical assistance for small planning studies to TPB member jurisdictions.</w:t>
      </w:r>
    </w:p>
    <w:p w14:paraId="69236119" w14:textId="77777777" w:rsidR="00226CE1" w:rsidRPr="00456FEB" w:rsidRDefault="00226CE1" w:rsidP="00226CE1">
      <w:pPr>
        <w:pStyle w:val="Default"/>
        <w:rPr>
          <w:rFonts w:cs="ITCFranklinGothicStd-Book"/>
          <w:color w:val="000000" w:themeColor="text1"/>
          <w:sz w:val="22"/>
          <w:szCs w:val="22"/>
        </w:rPr>
      </w:pPr>
    </w:p>
    <w:p w14:paraId="0D50EE34" w14:textId="608BD234" w:rsidR="00226CE1" w:rsidRPr="00456FEB" w:rsidRDefault="00226CE1" w:rsidP="00226CE1">
      <w:pPr>
        <w:pStyle w:val="Default"/>
        <w:rPr>
          <w:rFonts w:cs="ITCFranklinGothicStd-Book"/>
          <w:color w:val="000000" w:themeColor="text1"/>
          <w:sz w:val="22"/>
          <w:szCs w:val="22"/>
        </w:rPr>
      </w:pPr>
      <w:r>
        <w:rPr>
          <w:rFonts w:cs="ITCFranklinGothicStd-Book"/>
          <w:color w:val="000000" w:themeColor="text1"/>
          <w:sz w:val="22"/>
          <w:szCs w:val="22"/>
        </w:rPr>
        <w:t xml:space="preserve">The TA </w:t>
      </w:r>
      <w:r w:rsidR="00F455B7">
        <w:rPr>
          <w:rFonts w:cs="ITCFranklinGothicStd-Book"/>
          <w:color w:val="000000" w:themeColor="text1"/>
          <w:sz w:val="22"/>
          <w:szCs w:val="22"/>
        </w:rPr>
        <w:t>Set-Aside</w:t>
      </w:r>
      <w:r w:rsidRPr="00456FEB">
        <w:rPr>
          <w:rFonts w:cs="ITCFranklinGothicStd-Book"/>
          <w:color w:val="000000" w:themeColor="text1"/>
          <w:sz w:val="22"/>
          <w:szCs w:val="22"/>
        </w:rPr>
        <w:t xml:space="preserve"> offers the region the ability to fund projects that support regional priorities and goals based</w:t>
      </w:r>
      <w:r>
        <w:rPr>
          <w:rFonts w:cs="ITCFranklinGothicStd-Book"/>
          <w:color w:val="000000" w:themeColor="text1"/>
          <w:sz w:val="22"/>
          <w:szCs w:val="22"/>
        </w:rPr>
        <w:t xml:space="preserve"> on </w:t>
      </w:r>
      <w:r w:rsidR="00B519A4">
        <w:rPr>
          <w:rFonts w:cs="ITCFranklinGothicStd-Book"/>
          <w:color w:val="000000" w:themeColor="text1"/>
          <w:sz w:val="22"/>
          <w:szCs w:val="22"/>
        </w:rPr>
        <w:t xml:space="preserve">Visualize 2045 and the TPB’s other policy documents. </w:t>
      </w:r>
      <w:r>
        <w:rPr>
          <w:rFonts w:cs="ITCFranklinGothicStd-Book"/>
          <w:color w:val="000000" w:themeColor="text1"/>
          <w:sz w:val="22"/>
          <w:szCs w:val="22"/>
        </w:rPr>
        <w:t xml:space="preserve">Applicants from the National Capital Region are asked to show how their projects will serve these priorities when they seek TA </w:t>
      </w:r>
      <w:r w:rsidR="00F455B7">
        <w:rPr>
          <w:rFonts w:cs="ITCFranklinGothicStd-Book"/>
          <w:color w:val="000000" w:themeColor="text1"/>
          <w:sz w:val="22"/>
          <w:szCs w:val="22"/>
        </w:rPr>
        <w:t>Set-Aside</w:t>
      </w:r>
      <w:r>
        <w:rPr>
          <w:rFonts w:cs="ITCFranklinGothicStd-Book"/>
          <w:color w:val="000000" w:themeColor="text1"/>
          <w:sz w:val="22"/>
          <w:szCs w:val="22"/>
        </w:rPr>
        <w:t xml:space="preserve"> funds. The priorities also provide the basis for the </w:t>
      </w:r>
      <w:r w:rsidRPr="00456FEB">
        <w:rPr>
          <w:rFonts w:cs="ITCFranklinGothicStd-Book"/>
          <w:color w:val="000000" w:themeColor="text1"/>
          <w:sz w:val="22"/>
          <w:szCs w:val="22"/>
        </w:rPr>
        <w:t xml:space="preserve">selection criteria </w:t>
      </w:r>
      <w:r>
        <w:rPr>
          <w:rFonts w:cs="ITCFranklinGothicStd-Book"/>
          <w:color w:val="000000" w:themeColor="text1"/>
          <w:sz w:val="22"/>
          <w:szCs w:val="22"/>
        </w:rPr>
        <w:t xml:space="preserve">that the TPB’s selection panel uses when it reviews </w:t>
      </w:r>
      <w:r w:rsidR="00E8145A">
        <w:rPr>
          <w:rFonts w:cs="ITCFranklinGothicStd-Book"/>
          <w:color w:val="000000" w:themeColor="text1"/>
          <w:sz w:val="22"/>
          <w:szCs w:val="22"/>
        </w:rPr>
        <w:t xml:space="preserve">TA Set-Aside applications </w:t>
      </w:r>
      <w:r>
        <w:rPr>
          <w:rFonts w:cs="ITCFranklinGothicStd-Book"/>
          <w:color w:val="000000" w:themeColor="text1"/>
          <w:sz w:val="22"/>
          <w:szCs w:val="22"/>
        </w:rPr>
        <w:t xml:space="preserve">and recommends projects for funding. </w:t>
      </w:r>
    </w:p>
    <w:p w14:paraId="74CEE680" w14:textId="77777777" w:rsidR="00640760" w:rsidRDefault="00640760" w:rsidP="00226CE1">
      <w:pPr>
        <w:pStyle w:val="2Subhead"/>
      </w:pPr>
    </w:p>
    <w:p w14:paraId="406DC3BF" w14:textId="3CDEFEA6" w:rsidR="00226CE1" w:rsidRDefault="00226CE1" w:rsidP="00226CE1">
      <w:pPr>
        <w:pStyle w:val="2Subhead"/>
      </w:pPr>
      <w:r w:rsidRPr="00456FEB">
        <w:t>FY 20</w:t>
      </w:r>
      <w:r w:rsidR="00B519A4">
        <w:t>21-22</w:t>
      </w:r>
      <w:r w:rsidRPr="00456FEB">
        <w:t xml:space="preserve"> Solicitation for </w:t>
      </w:r>
      <w:r w:rsidR="00140558">
        <w:t>Virginia</w:t>
      </w:r>
    </w:p>
    <w:p w14:paraId="4DFB4AFB" w14:textId="77777777" w:rsidR="00226CE1" w:rsidRDefault="00226CE1" w:rsidP="00226CE1">
      <w:pPr>
        <w:pStyle w:val="3Paragraph"/>
      </w:pPr>
    </w:p>
    <w:p w14:paraId="3C785BCC" w14:textId="25E1158D" w:rsidR="00226CE1" w:rsidRPr="00456FEB" w:rsidRDefault="00226CE1" w:rsidP="00226CE1">
      <w:pPr>
        <w:pStyle w:val="Default"/>
        <w:rPr>
          <w:rFonts w:cs="ITCFranklinGothicStd-Book"/>
          <w:color w:val="000000" w:themeColor="text1"/>
          <w:sz w:val="22"/>
          <w:szCs w:val="22"/>
        </w:rPr>
      </w:pPr>
      <w:r w:rsidRPr="00456FEB">
        <w:rPr>
          <w:rFonts w:cs="ITCFranklinGothicStd-Book"/>
          <w:color w:val="000000" w:themeColor="text1"/>
          <w:sz w:val="22"/>
          <w:szCs w:val="22"/>
        </w:rPr>
        <w:t xml:space="preserve">Since the establishment of </w:t>
      </w:r>
      <w:r w:rsidR="00B519A4">
        <w:rPr>
          <w:rFonts w:cs="ITCFranklinGothicStd-Book"/>
          <w:color w:val="000000" w:themeColor="text1"/>
          <w:sz w:val="22"/>
          <w:szCs w:val="22"/>
        </w:rPr>
        <w:t>this program in 2012</w:t>
      </w:r>
      <w:r w:rsidRPr="00456FEB">
        <w:rPr>
          <w:rFonts w:cs="ITCFranklinGothicStd-Book"/>
          <w:color w:val="000000" w:themeColor="text1"/>
          <w:sz w:val="22"/>
          <w:szCs w:val="22"/>
        </w:rPr>
        <w:t xml:space="preserve">, the TPB </w:t>
      </w:r>
      <w:r w:rsidR="00B519A4">
        <w:rPr>
          <w:rFonts w:cs="ITCFranklinGothicStd-Book"/>
          <w:color w:val="000000" w:themeColor="text1"/>
          <w:sz w:val="22"/>
          <w:szCs w:val="22"/>
        </w:rPr>
        <w:t xml:space="preserve">has </w:t>
      </w:r>
      <w:r w:rsidRPr="00456FEB">
        <w:rPr>
          <w:rFonts w:cs="ITCFranklinGothicStd-Book"/>
          <w:color w:val="000000" w:themeColor="text1"/>
          <w:sz w:val="22"/>
          <w:szCs w:val="22"/>
        </w:rPr>
        <w:t>combine</w:t>
      </w:r>
      <w:r w:rsidR="00B519A4">
        <w:rPr>
          <w:rFonts w:cs="ITCFranklinGothicStd-Book"/>
          <w:color w:val="000000" w:themeColor="text1"/>
          <w:sz w:val="22"/>
          <w:szCs w:val="22"/>
        </w:rPr>
        <w:t>d</w:t>
      </w:r>
      <w:r w:rsidRPr="00456FEB">
        <w:rPr>
          <w:rFonts w:cs="ITCFranklinGothicStd-Book"/>
          <w:color w:val="000000" w:themeColor="text1"/>
          <w:sz w:val="22"/>
          <w:szCs w:val="22"/>
        </w:rPr>
        <w:t xml:space="preserve"> its solicitations with the state departments of transportation in the District of Columbia, Maryland</w:t>
      </w:r>
      <w:r>
        <w:rPr>
          <w:rFonts w:cs="ITCFranklinGothicStd-Book"/>
          <w:color w:val="000000" w:themeColor="text1"/>
          <w:sz w:val="22"/>
          <w:szCs w:val="22"/>
        </w:rPr>
        <w:t>,</w:t>
      </w:r>
      <w:r w:rsidRPr="00456FEB">
        <w:rPr>
          <w:rFonts w:cs="ITCFranklinGothicStd-Book"/>
          <w:color w:val="000000" w:themeColor="text1"/>
          <w:sz w:val="22"/>
          <w:szCs w:val="22"/>
        </w:rPr>
        <w:t xml:space="preserve"> and Virginia.</w:t>
      </w:r>
      <w:r>
        <w:rPr>
          <w:rFonts w:cs="ITCFranklinGothicStd-Book"/>
          <w:color w:val="000000" w:themeColor="text1"/>
          <w:sz w:val="22"/>
          <w:szCs w:val="22"/>
        </w:rPr>
        <w:t xml:space="preserve"> As part of th</w:t>
      </w:r>
      <w:r w:rsidR="00140558">
        <w:rPr>
          <w:rFonts w:cs="ITCFranklinGothicStd-Book"/>
          <w:color w:val="000000" w:themeColor="text1"/>
          <w:sz w:val="22"/>
          <w:szCs w:val="22"/>
        </w:rPr>
        <w:t>is</w:t>
      </w:r>
      <w:r>
        <w:rPr>
          <w:rFonts w:cs="ITCFranklinGothicStd-Book"/>
          <w:color w:val="000000" w:themeColor="text1"/>
          <w:sz w:val="22"/>
          <w:szCs w:val="22"/>
        </w:rPr>
        <w:t xml:space="preserve"> process, </w:t>
      </w:r>
      <w:r w:rsidR="00140558">
        <w:rPr>
          <w:rFonts w:cs="ITCFranklinGothicStd-Book"/>
          <w:color w:val="000000" w:themeColor="text1"/>
          <w:sz w:val="22"/>
          <w:szCs w:val="22"/>
        </w:rPr>
        <w:t>TPB staff works with the Virginia Department of</w:t>
      </w:r>
      <w:r>
        <w:rPr>
          <w:rFonts w:cs="ITCFranklinGothicStd-Book"/>
          <w:color w:val="000000" w:themeColor="text1"/>
          <w:sz w:val="22"/>
          <w:szCs w:val="22"/>
        </w:rPr>
        <w:t xml:space="preserve"> </w:t>
      </w:r>
      <w:r w:rsidR="00140558">
        <w:rPr>
          <w:rFonts w:cs="ITCFranklinGothicStd-Book"/>
          <w:color w:val="000000" w:themeColor="text1"/>
          <w:sz w:val="22"/>
          <w:szCs w:val="22"/>
        </w:rPr>
        <w:t xml:space="preserve">Transportation </w:t>
      </w:r>
      <w:r w:rsidR="00782E0D">
        <w:rPr>
          <w:rFonts w:cs="ITCFranklinGothicStd-Book"/>
          <w:color w:val="000000" w:themeColor="text1"/>
          <w:sz w:val="22"/>
          <w:szCs w:val="22"/>
        </w:rPr>
        <w:t xml:space="preserve">(VDOT) </w:t>
      </w:r>
      <w:r w:rsidRPr="00456FEB">
        <w:rPr>
          <w:rFonts w:cs="ITCFranklinGothicStd-Book"/>
          <w:color w:val="000000" w:themeColor="text1"/>
          <w:sz w:val="22"/>
          <w:szCs w:val="22"/>
        </w:rPr>
        <w:t xml:space="preserve">to </w:t>
      </w:r>
      <w:r>
        <w:rPr>
          <w:rFonts w:cs="ITCFranklinGothicStd-Book"/>
          <w:color w:val="000000" w:themeColor="text1"/>
          <w:sz w:val="22"/>
          <w:szCs w:val="22"/>
        </w:rPr>
        <w:t xml:space="preserve">administer the TA </w:t>
      </w:r>
      <w:r w:rsidR="00F455B7">
        <w:rPr>
          <w:rFonts w:cs="ITCFranklinGothicStd-Book"/>
          <w:color w:val="000000" w:themeColor="text1"/>
          <w:sz w:val="22"/>
          <w:szCs w:val="22"/>
        </w:rPr>
        <w:t>Set-Aside</w:t>
      </w:r>
      <w:r w:rsidRPr="00456FEB">
        <w:rPr>
          <w:rFonts w:cs="ITCFranklinGothicStd-Book"/>
          <w:color w:val="000000" w:themeColor="text1"/>
          <w:sz w:val="22"/>
          <w:szCs w:val="22"/>
        </w:rPr>
        <w:t xml:space="preserve"> for </w:t>
      </w:r>
      <w:r w:rsidR="00140558">
        <w:rPr>
          <w:rFonts w:cs="ITCFranklinGothicStd-Book"/>
          <w:color w:val="000000" w:themeColor="text1"/>
          <w:sz w:val="22"/>
          <w:szCs w:val="22"/>
        </w:rPr>
        <w:t>Northern Virginia</w:t>
      </w:r>
      <w:r w:rsidRPr="00456FEB">
        <w:rPr>
          <w:rFonts w:cs="ITCFranklinGothicStd-Book"/>
          <w:color w:val="000000" w:themeColor="text1"/>
          <w:sz w:val="22"/>
          <w:szCs w:val="22"/>
        </w:rPr>
        <w:t xml:space="preserve">. </w:t>
      </w:r>
    </w:p>
    <w:p w14:paraId="70666810" w14:textId="77777777" w:rsidR="00226CE1" w:rsidRDefault="00226CE1" w:rsidP="00226CE1">
      <w:pPr>
        <w:pStyle w:val="Default"/>
        <w:rPr>
          <w:sz w:val="23"/>
          <w:szCs w:val="23"/>
        </w:rPr>
      </w:pPr>
    </w:p>
    <w:p w14:paraId="4D9B69FC" w14:textId="7996334B" w:rsidR="00512993" w:rsidRPr="00512993" w:rsidRDefault="00B519A4" w:rsidP="00512993">
      <w:pPr>
        <w:rPr>
          <w:rFonts w:eastAsiaTheme="minorEastAsia" w:cstheme="minorBidi"/>
          <w:szCs w:val="20"/>
          <w:lang w:eastAsia="ja-JP"/>
        </w:rPr>
      </w:pPr>
      <w:bookmarkStart w:id="2" w:name="_Hlk492472632"/>
      <w:r>
        <w:rPr>
          <w:rFonts w:cs="ITCFranklinGothicStd-Book"/>
          <w:color w:val="000000" w:themeColor="text1"/>
        </w:rPr>
        <w:t xml:space="preserve">During the past two cycles, </w:t>
      </w:r>
      <w:r w:rsidR="000425FF">
        <w:rPr>
          <w:rFonts w:cs="ITCFranklinGothicStd-Book"/>
          <w:color w:val="000000" w:themeColor="text1"/>
        </w:rPr>
        <w:t xml:space="preserve">VDOT </w:t>
      </w:r>
      <w:r>
        <w:rPr>
          <w:rFonts w:cs="ITCFranklinGothicStd-Book"/>
          <w:color w:val="000000" w:themeColor="text1"/>
        </w:rPr>
        <w:t xml:space="preserve">has </w:t>
      </w:r>
      <w:r w:rsidR="000425FF">
        <w:rPr>
          <w:rFonts w:cs="ITCFranklinGothicStd-Book"/>
          <w:color w:val="000000" w:themeColor="text1"/>
        </w:rPr>
        <w:t>conducted two-year solicitation</w:t>
      </w:r>
      <w:r>
        <w:rPr>
          <w:rFonts w:cs="ITCFranklinGothicStd-Book"/>
          <w:color w:val="000000" w:themeColor="text1"/>
        </w:rPr>
        <w:t xml:space="preserve">s. This </w:t>
      </w:r>
      <w:r w:rsidR="00CF1F83">
        <w:rPr>
          <w:rFonts w:cs="ITCFranklinGothicStd-Book"/>
          <w:color w:val="000000" w:themeColor="text1"/>
        </w:rPr>
        <w:t>current</w:t>
      </w:r>
      <w:r>
        <w:rPr>
          <w:rFonts w:cs="ITCFranklinGothicStd-Book"/>
          <w:color w:val="000000" w:themeColor="text1"/>
        </w:rPr>
        <w:t xml:space="preserve"> solicitation</w:t>
      </w:r>
      <w:r w:rsidR="000425FF">
        <w:rPr>
          <w:rFonts w:cs="ITCFranklinGothicStd-Book"/>
          <w:color w:val="000000" w:themeColor="text1"/>
        </w:rPr>
        <w:t xml:space="preserve"> cover</w:t>
      </w:r>
      <w:r>
        <w:rPr>
          <w:rFonts w:cs="ITCFranklinGothicStd-Book"/>
          <w:color w:val="000000" w:themeColor="text1"/>
        </w:rPr>
        <w:t>s</w:t>
      </w:r>
      <w:r w:rsidR="000425FF">
        <w:rPr>
          <w:rFonts w:cs="ITCFranklinGothicStd-Book"/>
          <w:color w:val="000000" w:themeColor="text1"/>
        </w:rPr>
        <w:t xml:space="preserve"> FY 20</w:t>
      </w:r>
      <w:r>
        <w:rPr>
          <w:rFonts w:cs="ITCFranklinGothicStd-Book"/>
          <w:color w:val="000000" w:themeColor="text1"/>
        </w:rPr>
        <w:t>21</w:t>
      </w:r>
      <w:r w:rsidR="000425FF">
        <w:rPr>
          <w:rFonts w:cs="ITCFranklinGothicStd-Book"/>
          <w:color w:val="000000" w:themeColor="text1"/>
        </w:rPr>
        <w:t xml:space="preserve"> and FY 202</w:t>
      </w:r>
      <w:r>
        <w:rPr>
          <w:rFonts w:cs="ITCFranklinGothicStd-Book"/>
          <w:color w:val="000000" w:themeColor="text1"/>
        </w:rPr>
        <w:t>2</w:t>
      </w:r>
      <w:r w:rsidR="000425FF">
        <w:rPr>
          <w:rFonts w:cs="ITCFranklinGothicStd-Book"/>
          <w:color w:val="000000" w:themeColor="text1"/>
        </w:rPr>
        <w:t>.</w:t>
      </w:r>
      <w:r w:rsidR="00140558">
        <w:rPr>
          <w:rFonts w:cs="ITCFranklinGothicStd-Book"/>
          <w:color w:val="000000" w:themeColor="text1"/>
        </w:rPr>
        <w:t xml:space="preserve"> </w:t>
      </w:r>
      <w:r w:rsidR="00512993" w:rsidRPr="00512993">
        <w:rPr>
          <w:rFonts w:eastAsiaTheme="minorEastAsia" w:cs="ITCFranklinGothicStd-Book"/>
          <w:color w:val="000000" w:themeColor="text1"/>
          <w:lang w:eastAsia="ja-JP"/>
        </w:rPr>
        <w:t>For the first time, applicants were required to submit a pre-application, which had a deadline of July 1</w:t>
      </w:r>
      <w:r w:rsidR="00512993">
        <w:rPr>
          <w:rFonts w:eastAsiaTheme="minorEastAsia" w:cs="ITCFranklinGothicStd-Book"/>
          <w:color w:val="000000" w:themeColor="text1"/>
          <w:lang w:eastAsia="ja-JP"/>
        </w:rPr>
        <w:t>, 2019</w:t>
      </w:r>
      <w:r w:rsidR="00512993" w:rsidRPr="00512993">
        <w:rPr>
          <w:rFonts w:eastAsiaTheme="minorEastAsia" w:cs="ITCFranklinGothicStd-Book"/>
          <w:color w:val="000000" w:themeColor="text1"/>
          <w:lang w:eastAsia="ja-JP"/>
        </w:rPr>
        <w:t>.</w:t>
      </w:r>
      <w:r w:rsidR="00512993" w:rsidRPr="00512993">
        <w:rPr>
          <w:rFonts w:eastAsiaTheme="minorEastAsia" w:cstheme="minorBidi"/>
          <w:szCs w:val="20"/>
          <w:lang w:eastAsia="ja-JP"/>
        </w:rPr>
        <w:t> The applications were due on October 1</w:t>
      </w:r>
      <w:r w:rsidR="00512993">
        <w:rPr>
          <w:rFonts w:eastAsiaTheme="minorEastAsia" w:cstheme="minorBidi"/>
          <w:szCs w:val="20"/>
          <w:lang w:eastAsia="ja-JP"/>
        </w:rPr>
        <w:t>, 2019</w:t>
      </w:r>
      <w:r w:rsidR="00512993" w:rsidRPr="00512993">
        <w:rPr>
          <w:rFonts w:eastAsiaTheme="minorEastAsia" w:cstheme="minorBidi"/>
          <w:szCs w:val="20"/>
          <w:lang w:eastAsia="ja-JP"/>
        </w:rPr>
        <w:t xml:space="preserve">.  </w:t>
      </w:r>
    </w:p>
    <w:p w14:paraId="5A736D28" w14:textId="192F7B57" w:rsidR="00512993" w:rsidRDefault="00512993" w:rsidP="00140558">
      <w:pPr>
        <w:pStyle w:val="Default"/>
        <w:rPr>
          <w:rFonts w:cs="ITCFranklinGothicStd-Book"/>
          <w:color w:val="000000" w:themeColor="text1"/>
          <w:sz w:val="22"/>
          <w:szCs w:val="22"/>
        </w:rPr>
      </w:pPr>
    </w:p>
    <w:p w14:paraId="4839BAF9" w14:textId="352EAB6E" w:rsidR="00140558" w:rsidRPr="00456FEB" w:rsidRDefault="00140558" w:rsidP="00140558">
      <w:pPr>
        <w:pStyle w:val="Default"/>
        <w:rPr>
          <w:rFonts w:cs="ITCFranklinGothicStd-Book"/>
          <w:color w:val="000000" w:themeColor="text1"/>
          <w:sz w:val="22"/>
          <w:szCs w:val="22"/>
        </w:rPr>
      </w:pPr>
      <w:r w:rsidRPr="00456FEB">
        <w:rPr>
          <w:rFonts w:cs="ITCFranklinGothicStd-Book"/>
          <w:color w:val="000000" w:themeColor="text1"/>
          <w:sz w:val="22"/>
          <w:szCs w:val="22"/>
        </w:rPr>
        <w:t xml:space="preserve">For applicants from Northern Virginia, the VDOT application included a supplementary form requesting information about how projects responded to </w:t>
      </w:r>
      <w:r>
        <w:rPr>
          <w:rFonts w:cs="ITCFranklinGothicStd-Book"/>
          <w:color w:val="000000" w:themeColor="text1"/>
          <w:sz w:val="22"/>
          <w:szCs w:val="22"/>
        </w:rPr>
        <w:t xml:space="preserve">the TPB’s regional </w:t>
      </w:r>
      <w:r w:rsidRPr="00456FEB">
        <w:rPr>
          <w:rFonts w:cs="ITCFranklinGothicStd-Book"/>
          <w:color w:val="000000" w:themeColor="text1"/>
          <w:sz w:val="22"/>
          <w:szCs w:val="22"/>
        </w:rPr>
        <w:t>priorities</w:t>
      </w:r>
      <w:r>
        <w:rPr>
          <w:rFonts w:cs="ITCFranklinGothicStd-Book"/>
          <w:color w:val="000000" w:themeColor="text1"/>
          <w:sz w:val="22"/>
          <w:szCs w:val="22"/>
        </w:rPr>
        <w:t xml:space="preserve"> related to </w:t>
      </w:r>
      <w:r w:rsidR="000E0870">
        <w:rPr>
          <w:rFonts w:cs="ITCFranklinGothicStd-Book"/>
          <w:color w:val="000000" w:themeColor="text1"/>
          <w:sz w:val="22"/>
          <w:szCs w:val="22"/>
        </w:rPr>
        <w:t>Activity C</w:t>
      </w:r>
      <w:r>
        <w:rPr>
          <w:rFonts w:cs="ITCFranklinGothicStd-Book"/>
          <w:color w:val="000000" w:themeColor="text1"/>
          <w:sz w:val="22"/>
          <w:szCs w:val="22"/>
        </w:rPr>
        <w:t>enters, transit station access, and multimodal transportation options</w:t>
      </w:r>
      <w:r w:rsidRPr="00456FEB">
        <w:rPr>
          <w:rFonts w:cs="ITCFranklinGothicStd-Book"/>
          <w:color w:val="000000" w:themeColor="text1"/>
          <w:sz w:val="22"/>
          <w:szCs w:val="22"/>
        </w:rPr>
        <w:t xml:space="preserve">. </w:t>
      </w:r>
    </w:p>
    <w:p w14:paraId="69C6BA58" w14:textId="77777777" w:rsidR="00140558" w:rsidRDefault="00140558" w:rsidP="00140558">
      <w:pPr>
        <w:pStyle w:val="Default"/>
        <w:rPr>
          <w:rFonts w:cs="ITCFranklinGothicStd-Book"/>
          <w:color w:val="000000" w:themeColor="text1"/>
          <w:sz w:val="22"/>
          <w:szCs w:val="22"/>
        </w:rPr>
      </w:pPr>
    </w:p>
    <w:p w14:paraId="616FBF63" w14:textId="11A57FE2" w:rsidR="00140558" w:rsidRDefault="00B519A4" w:rsidP="00140558">
      <w:pPr>
        <w:pStyle w:val="Default"/>
        <w:rPr>
          <w:rFonts w:cs="ITCFranklinGothicStd-Book"/>
          <w:color w:val="000000" w:themeColor="text1"/>
          <w:sz w:val="22"/>
          <w:szCs w:val="22"/>
        </w:rPr>
      </w:pPr>
      <w:r>
        <w:rPr>
          <w:rFonts w:cs="ITCFranklinGothicStd-Book"/>
          <w:color w:val="000000" w:themeColor="text1"/>
          <w:sz w:val="22"/>
          <w:szCs w:val="22"/>
        </w:rPr>
        <w:t>For the portion of Virginia in the TPB’s planning area</w:t>
      </w:r>
      <w:r w:rsidR="00140558" w:rsidRPr="00456FEB">
        <w:rPr>
          <w:rFonts w:cs="ITCFranklinGothicStd-Book"/>
          <w:color w:val="000000" w:themeColor="text1"/>
          <w:sz w:val="22"/>
          <w:szCs w:val="22"/>
        </w:rPr>
        <w:t xml:space="preserve">, </w:t>
      </w:r>
      <w:r w:rsidR="00140558">
        <w:rPr>
          <w:rFonts w:cs="ITCFranklinGothicStd-Book"/>
          <w:color w:val="000000" w:themeColor="text1"/>
          <w:sz w:val="22"/>
          <w:szCs w:val="22"/>
        </w:rPr>
        <w:t xml:space="preserve">VDOT received </w:t>
      </w:r>
      <w:r w:rsidR="000425FF">
        <w:rPr>
          <w:rFonts w:cs="ITCFranklinGothicStd-Book"/>
          <w:color w:val="000000" w:themeColor="text1"/>
          <w:sz w:val="22"/>
          <w:szCs w:val="22"/>
        </w:rPr>
        <w:t>2</w:t>
      </w:r>
      <w:r>
        <w:rPr>
          <w:rFonts w:cs="ITCFranklinGothicStd-Book"/>
          <w:color w:val="000000" w:themeColor="text1"/>
          <w:sz w:val="22"/>
          <w:szCs w:val="22"/>
        </w:rPr>
        <w:t>4</w:t>
      </w:r>
      <w:r w:rsidR="00140558" w:rsidRPr="00456FEB">
        <w:rPr>
          <w:rFonts w:cs="ITCFranklinGothicStd-Book"/>
          <w:color w:val="000000" w:themeColor="text1"/>
          <w:sz w:val="22"/>
          <w:szCs w:val="22"/>
        </w:rPr>
        <w:t xml:space="preserve"> applications representing a total of </w:t>
      </w:r>
      <w:r w:rsidR="00140558" w:rsidRPr="00545E14">
        <w:rPr>
          <w:rFonts w:cs="ITCFranklinGothicStd-Book"/>
          <w:color w:val="000000" w:themeColor="text1"/>
          <w:sz w:val="22"/>
          <w:szCs w:val="22"/>
        </w:rPr>
        <w:t>$</w:t>
      </w:r>
      <w:r w:rsidRPr="00545E14">
        <w:rPr>
          <w:rFonts w:cs="ITCFranklinGothicStd-Book"/>
          <w:color w:val="000000" w:themeColor="text1"/>
          <w:sz w:val="22"/>
          <w:szCs w:val="22"/>
        </w:rPr>
        <w:t>2</w:t>
      </w:r>
      <w:r w:rsidR="00CF1F83" w:rsidRPr="00545E14">
        <w:rPr>
          <w:rFonts w:cs="ITCFranklinGothicStd-Book"/>
          <w:color w:val="000000" w:themeColor="text1"/>
          <w:sz w:val="22"/>
          <w:szCs w:val="22"/>
        </w:rPr>
        <w:t>4,</w:t>
      </w:r>
      <w:r w:rsidR="00545E14" w:rsidRPr="00545E14">
        <w:rPr>
          <w:rFonts w:cs="ITCFranklinGothicStd-Book"/>
          <w:color w:val="000000" w:themeColor="text1"/>
          <w:sz w:val="22"/>
          <w:szCs w:val="22"/>
        </w:rPr>
        <w:t>945</w:t>
      </w:r>
      <w:r w:rsidR="00545E14">
        <w:rPr>
          <w:rFonts w:cs="ITCFranklinGothicStd-Book"/>
          <w:color w:val="000000" w:themeColor="text1"/>
          <w:sz w:val="22"/>
          <w:szCs w:val="22"/>
        </w:rPr>
        <w:t>,009</w:t>
      </w:r>
      <w:r w:rsidR="00CF1F83">
        <w:rPr>
          <w:rFonts w:cs="ITCFranklinGothicStd-Book"/>
          <w:color w:val="000000" w:themeColor="text1"/>
          <w:sz w:val="22"/>
          <w:szCs w:val="22"/>
        </w:rPr>
        <w:t xml:space="preserve"> </w:t>
      </w:r>
      <w:r w:rsidR="00140558" w:rsidRPr="00456FEB">
        <w:rPr>
          <w:rFonts w:cs="ITCFranklinGothicStd-Book"/>
          <w:color w:val="000000" w:themeColor="text1"/>
          <w:sz w:val="22"/>
          <w:szCs w:val="22"/>
        </w:rPr>
        <w:t>in requested funding.</w:t>
      </w:r>
      <w:r w:rsidR="00140558">
        <w:rPr>
          <w:rFonts w:cs="ITCFranklinGothicStd-Book"/>
          <w:color w:val="000000" w:themeColor="text1"/>
          <w:sz w:val="22"/>
          <w:szCs w:val="22"/>
        </w:rPr>
        <w:t xml:space="preserve"> </w:t>
      </w:r>
      <w:r w:rsidR="00140558" w:rsidRPr="00456FEB">
        <w:rPr>
          <w:rFonts w:cs="ITCFranklinGothicStd-Book"/>
          <w:color w:val="000000" w:themeColor="text1"/>
          <w:sz w:val="22"/>
          <w:szCs w:val="22"/>
        </w:rPr>
        <w:t xml:space="preserve">These applications are eligible for statewide </w:t>
      </w:r>
      <w:r w:rsidR="00140558">
        <w:rPr>
          <w:rFonts w:cs="ITCFranklinGothicStd-Book"/>
          <w:color w:val="000000" w:themeColor="text1"/>
          <w:sz w:val="22"/>
          <w:szCs w:val="22"/>
        </w:rPr>
        <w:t>TA</w:t>
      </w:r>
      <w:r w:rsidR="00140558" w:rsidRPr="00456FEB">
        <w:rPr>
          <w:rFonts w:cs="ITCFranklinGothicStd-Book"/>
          <w:color w:val="000000" w:themeColor="text1"/>
          <w:sz w:val="22"/>
          <w:szCs w:val="22"/>
        </w:rPr>
        <w:t xml:space="preserve"> </w:t>
      </w:r>
      <w:r w:rsidR="00F455B7">
        <w:rPr>
          <w:rFonts w:cs="ITCFranklinGothicStd-Book"/>
          <w:color w:val="000000" w:themeColor="text1"/>
          <w:sz w:val="22"/>
          <w:szCs w:val="22"/>
        </w:rPr>
        <w:t>Set-Aside</w:t>
      </w:r>
      <w:r w:rsidR="00140558" w:rsidRPr="00456FEB">
        <w:rPr>
          <w:rFonts w:cs="ITCFranklinGothicStd-Book"/>
          <w:color w:val="000000" w:themeColor="text1"/>
          <w:sz w:val="22"/>
          <w:szCs w:val="22"/>
        </w:rPr>
        <w:t xml:space="preserve"> funding as well as the TPB’s sub-allocated funds. </w:t>
      </w:r>
      <w:r w:rsidR="000425FF">
        <w:rPr>
          <w:rFonts w:cs="ITCFranklinGothicStd-Book"/>
          <w:color w:val="000000" w:themeColor="text1"/>
          <w:sz w:val="22"/>
          <w:szCs w:val="22"/>
        </w:rPr>
        <w:t>The TPB was sub-allocated $</w:t>
      </w:r>
      <w:r w:rsidRPr="00B519A4">
        <w:rPr>
          <w:rFonts w:cs="ITCFranklinGothicStd-Book"/>
          <w:color w:val="000000" w:themeColor="text1"/>
          <w:sz w:val="22"/>
          <w:szCs w:val="22"/>
        </w:rPr>
        <w:t xml:space="preserve">5,579,514 </w:t>
      </w:r>
      <w:r w:rsidR="00140558" w:rsidRPr="00456FEB">
        <w:rPr>
          <w:rFonts w:cs="ITCFranklinGothicStd-Book"/>
          <w:color w:val="000000" w:themeColor="text1"/>
          <w:sz w:val="22"/>
          <w:szCs w:val="22"/>
        </w:rPr>
        <w:t xml:space="preserve">in </w:t>
      </w:r>
      <w:r w:rsidR="000425FF">
        <w:rPr>
          <w:rFonts w:cs="ITCFranklinGothicStd-Book"/>
          <w:color w:val="000000" w:themeColor="text1"/>
          <w:sz w:val="22"/>
          <w:szCs w:val="22"/>
        </w:rPr>
        <w:t xml:space="preserve">available </w:t>
      </w:r>
      <w:r w:rsidR="00140558" w:rsidRPr="00456FEB">
        <w:rPr>
          <w:rFonts w:cs="ITCFranklinGothicStd-Book"/>
          <w:color w:val="000000" w:themeColor="text1"/>
          <w:sz w:val="22"/>
          <w:szCs w:val="22"/>
        </w:rPr>
        <w:t xml:space="preserve">funding. </w:t>
      </w:r>
    </w:p>
    <w:p w14:paraId="2BAEE8C0" w14:textId="1265A8FA" w:rsidR="009D76EB" w:rsidRDefault="009D76EB" w:rsidP="00140558">
      <w:pPr>
        <w:pStyle w:val="Default"/>
        <w:rPr>
          <w:rFonts w:cs="ITCFranklinGothicStd-Book"/>
          <w:color w:val="000000" w:themeColor="text1"/>
          <w:sz w:val="22"/>
          <w:szCs w:val="22"/>
        </w:rPr>
      </w:pPr>
    </w:p>
    <w:p w14:paraId="170E23D1" w14:textId="0B735849" w:rsidR="00140558" w:rsidRDefault="000425FF" w:rsidP="00140558">
      <w:pPr>
        <w:pStyle w:val="Default"/>
        <w:rPr>
          <w:rFonts w:cs="ITCFranklinGothicStd-Book"/>
          <w:color w:val="000000" w:themeColor="text1"/>
          <w:sz w:val="22"/>
          <w:szCs w:val="22"/>
        </w:rPr>
      </w:pPr>
      <w:r>
        <w:rPr>
          <w:rFonts w:cs="ITCFranklinGothicStd-Book"/>
          <w:color w:val="000000" w:themeColor="text1"/>
          <w:sz w:val="22"/>
          <w:szCs w:val="22"/>
        </w:rPr>
        <w:lastRenderedPageBreak/>
        <w:t xml:space="preserve">As in the past, </w:t>
      </w:r>
      <w:r w:rsidR="00140558" w:rsidRPr="00456FEB">
        <w:rPr>
          <w:rFonts w:cs="ITCFranklinGothicStd-Book"/>
          <w:color w:val="000000" w:themeColor="text1"/>
          <w:sz w:val="22"/>
          <w:szCs w:val="22"/>
        </w:rPr>
        <w:t>Virginia conduct</w:t>
      </w:r>
      <w:r>
        <w:rPr>
          <w:rFonts w:cs="ITCFranklinGothicStd-Book"/>
          <w:color w:val="000000" w:themeColor="text1"/>
          <w:sz w:val="22"/>
          <w:szCs w:val="22"/>
        </w:rPr>
        <w:t>ed</w:t>
      </w:r>
      <w:r w:rsidR="00140558" w:rsidRPr="00456FEB">
        <w:rPr>
          <w:rFonts w:cs="ITCFranklinGothicStd-Book"/>
          <w:color w:val="000000" w:themeColor="text1"/>
          <w:sz w:val="22"/>
          <w:szCs w:val="22"/>
        </w:rPr>
        <w:t xml:space="preserve"> a three-part process for project selection</w:t>
      </w:r>
      <w:r w:rsidR="00CF1F83">
        <w:rPr>
          <w:rFonts w:cs="ITCFranklinGothicStd-Book"/>
          <w:color w:val="000000" w:themeColor="text1"/>
          <w:sz w:val="22"/>
          <w:szCs w:val="22"/>
        </w:rPr>
        <w:t xml:space="preserve"> for this two-year cycle</w:t>
      </w:r>
      <w:r w:rsidR="00140558" w:rsidRPr="00456FEB">
        <w:rPr>
          <w:rFonts w:cs="ITCFranklinGothicStd-Book"/>
          <w:color w:val="000000" w:themeColor="text1"/>
          <w:sz w:val="22"/>
          <w:szCs w:val="22"/>
        </w:rPr>
        <w:t xml:space="preserve">: </w:t>
      </w:r>
    </w:p>
    <w:p w14:paraId="2C8C7CA0" w14:textId="77777777" w:rsidR="009D76EB" w:rsidRPr="00456FEB" w:rsidRDefault="009D76EB" w:rsidP="00140558">
      <w:pPr>
        <w:pStyle w:val="Default"/>
        <w:rPr>
          <w:rFonts w:cs="ITCFranklinGothicStd-Book"/>
          <w:color w:val="000000" w:themeColor="text1"/>
          <w:sz w:val="22"/>
          <w:szCs w:val="22"/>
        </w:rPr>
      </w:pPr>
    </w:p>
    <w:p w14:paraId="1480BD27" w14:textId="027290D3" w:rsidR="00140558" w:rsidRPr="00456FEB" w:rsidRDefault="00140558" w:rsidP="00140558">
      <w:pPr>
        <w:pStyle w:val="Default"/>
        <w:numPr>
          <w:ilvl w:val="0"/>
          <w:numId w:val="5"/>
        </w:numPr>
        <w:rPr>
          <w:rFonts w:cs="ITCFranklinGothicStd-Book"/>
          <w:color w:val="000000" w:themeColor="text1"/>
          <w:sz w:val="22"/>
          <w:szCs w:val="22"/>
        </w:rPr>
      </w:pPr>
      <w:r w:rsidRPr="00456FEB">
        <w:rPr>
          <w:rFonts w:cs="ITCFranklinGothicStd-Book"/>
          <w:color w:val="000000" w:themeColor="text1"/>
          <w:sz w:val="22"/>
          <w:szCs w:val="22"/>
        </w:rPr>
        <w:t>The district members of Virginia’s Commonwealth Tran</w:t>
      </w:r>
      <w:r w:rsidR="000E0870">
        <w:rPr>
          <w:rFonts w:cs="ITCFranklinGothicStd-Book"/>
          <w:color w:val="000000" w:themeColor="text1"/>
          <w:sz w:val="22"/>
          <w:szCs w:val="22"/>
        </w:rPr>
        <w:t>sport</w:t>
      </w:r>
      <w:r w:rsidR="00EF5E09">
        <w:rPr>
          <w:rFonts w:cs="ITCFranklinGothicStd-Book"/>
          <w:color w:val="000000" w:themeColor="text1"/>
          <w:sz w:val="22"/>
          <w:szCs w:val="22"/>
        </w:rPr>
        <w:t>ation Board (CTB) each were all</w:t>
      </w:r>
      <w:r w:rsidR="000E0870">
        <w:rPr>
          <w:rFonts w:cs="ITCFranklinGothicStd-Book"/>
          <w:color w:val="000000" w:themeColor="text1"/>
          <w:sz w:val="22"/>
          <w:szCs w:val="22"/>
        </w:rPr>
        <w:t>o</w:t>
      </w:r>
      <w:r w:rsidR="00EF5E09">
        <w:rPr>
          <w:rFonts w:cs="ITCFranklinGothicStd-Book"/>
          <w:color w:val="000000" w:themeColor="text1"/>
          <w:sz w:val="22"/>
          <w:szCs w:val="22"/>
        </w:rPr>
        <w:t>c</w:t>
      </w:r>
      <w:r w:rsidR="000E0870">
        <w:rPr>
          <w:rFonts w:cs="ITCFranklinGothicStd-Book"/>
          <w:color w:val="000000" w:themeColor="text1"/>
          <w:sz w:val="22"/>
          <w:szCs w:val="22"/>
        </w:rPr>
        <w:t>ated</w:t>
      </w:r>
      <w:r w:rsidRPr="00456FEB">
        <w:rPr>
          <w:rFonts w:cs="ITCFranklinGothicStd-Book"/>
          <w:color w:val="000000" w:themeColor="text1"/>
          <w:sz w:val="22"/>
          <w:szCs w:val="22"/>
        </w:rPr>
        <w:t xml:space="preserve"> $</w:t>
      </w:r>
      <w:r w:rsidR="000425FF">
        <w:rPr>
          <w:rFonts w:cs="ITCFranklinGothicStd-Book"/>
          <w:color w:val="000000" w:themeColor="text1"/>
          <w:sz w:val="22"/>
          <w:szCs w:val="22"/>
        </w:rPr>
        <w:t>2</w:t>
      </w:r>
      <w:r w:rsidRPr="00456FEB">
        <w:rPr>
          <w:rFonts w:cs="ITCFranklinGothicStd-Book"/>
          <w:color w:val="000000" w:themeColor="text1"/>
          <w:sz w:val="22"/>
          <w:szCs w:val="22"/>
        </w:rPr>
        <w:t xml:space="preserve"> million for project selection </w:t>
      </w:r>
      <w:r w:rsidR="00B519A4">
        <w:rPr>
          <w:rFonts w:cs="ITCFranklinGothicStd-Book"/>
          <w:color w:val="000000" w:themeColor="text1"/>
          <w:sz w:val="22"/>
          <w:szCs w:val="22"/>
        </w:rPr>
        <w:t xml:space="preserve">(plus previously unallocated funding) </w:t>
      </w:r>
      <w:r w:rsidRPr="00456FEB">
        <w:rPr>
          <w:rFonts w:cs="ITCFranklinGothicStd-Book"/>
          <w:color w:val="000000" w:themeColor="text1"/>
          <w:sz w:val="22"/>
          <w:szCs w:val="22"/>
        </w:rPr>
        <w:t xml:space="preserve">from the statewide pot of funding; </w:t>
      </w:r>
    </w:p>
    <w:p w14:paraId="29E54BCC" w14:textId="77777777" w:rsidR="00140558" w:rsidRPr="00456FEB" w:rsidRDefault="00140558" w:rsidP="00140558">
      <w:pPr>
        <w:pStyle w:val="Default"/>
        <w:numPr>
          <w:ilvl w:val="0"/>
          <w:numId w:val="5"/>
        </w:numPr>
        <w:rPr>
          <w:rFonts w:cs="ITCFranklinGothicStd-Book"/>
          <w:color w:val="000000" w:themeColor="text1"/>
          <w:sz w:val="22"/>
          <w:szCs w:val="22"/>
        </w:rPr>
      </w:pPr>
      <w:r>
        <w:rPr>
          <w:rFonts w:cs="ITCFranklinGothicStd-Book"/>
          <w:color w:val="000000" w:themeColor="text1"/>
          <w:sz w:val="22"/>
          <w:szCs w:val="22"/>
        </w:rPr>
        <w:t xml:space="preserve">Large </w:t>
      </w:r>
      <w:r w:rsidRPr="00456FEB">
        <w:rPr>
          <w:rFonts w:cs="ITCFranklinGothicStd-Book"/>
          <w:color w:val="000000" w:themeColor="text1"/>
          <w:sz w:val="22"/>
          <w:szCs w:val="22"/>
        </w:rPr>
        <w:t xml:space="preserve">MPOs select projects for sub-allocated funds; </w:t>
      </w:r>
    </w:p>
    <w:p w14:paraId="5C99A7A6" w14:textId="77777777" w:rsidR="00140558" w:rsidRPr="00456FEB" w:rsidRDefault="00140558" w:rsidP="00140558">
      <w:pPr>
        <w:pStyle w:val="Default"/>
        <w:numPr>
          <w:ilvl w:val="0"/>
          <w:numId w:val="5"/>
        </w:numPr>
        <w:rPr>
          <w:rFonts w:cs="ITCFranklinGothicStd-Book"/>
          <w:color w:val="000000" w:themeColor="text1"/>
          <w:sz w:val="22"/>
          <w:szCs w:val="22"/>
        </w:rPr>
      </w:pPr>
      <w:r w:rsidRPr="00456FEB">
        <w:rPr>
          <w:rFonts w:cs="ITCFranklinGothicStd-Book"/>
          <w:color w:val="000000" w:themeColor="text1"/>
          <w:sz w:val="22"/>
          <w:szCs w:val="22"/>
        </w:rPr>
        <w:t xml:space="preserve">The at-large members of the CTB select projects for the remainder of the statewide money. </w:t>
      </w:r>
    </w:p>
    <w:p w14:paraId="0DC183A5" w14:textId="77777777" w:rsidR="00140558" w:rsidRPr="00456FEB" w:rsidRDefault="00140558" w:rsidP="00140558">
      <w:pPr>
        <w:pStyle w:val="Default"/>
        <w:rPr>
          <w:rFonts w:cs="ITCFranklinGothicStd-Book"/>
          <w:color w:val="000000" w:themeColor="text1"/>
          <w:sz w:val="22"/>
          <w:szCs w:val="22"/>
        </w:rPr>
      </w:pPr>
    </w:p>
    <w:p w14:paraId="51730D6F" w14:textId="251FA20F" w:rsidR="00512993" w:rsidRDefault="002C327F" w:rsidP="00140558">
      <w:pPr>
        <w:pStyle w:val="3Paragraph"/>
      </w:pPr>
      <w:r>
        <w:t>On February 5</w:t>
      </w:r>
      <w:r w:rsidR="00CF1F83">
        <w:t>, t</w:t>
      </w:r>
      <w:r w:rsidR="00140558" w:rsidRPr="00C3166B">
        <w:t>he CTB District Member for Northern Virginia</w:t>
      </w:r>
      <w:r w:rsidR="000425FF">
        <w:t xml:space="preserve">, </w:t>
      </w:r>
      <w:r w:rsidR="00140558" w:rsidRPr="00C3166B">
        <w:t>Mary Hynes</w:t>
      </w:r>
      <w:r w:rsidR="000425FF">
        <w:t xml:space="preserve">, </w:t>
      </w:r>
      <w:r w:rsidR="00E8145A">
        <w:t xml:space="preserve">let VDOT and TPB staff know </w:t>
      </w:r>
      <w:r w:rsidR="00140558" w:rsidRPr="00C3166B">
        <w:t xml:space="preserve">her project selections for the </w:t>
      </w:r>
      <w:r w:rsidR="00773D8B">
        <w:t>funding allocated to</w:t>
      </w:r>
      <w:r w:rsidR="00140558">
        <w:t xml:space="preserve"> her</w:t>
      </w:r>
      <w:r w:rsidR="00140558" w:rsidRPr="00C3166B">
        <w:t xml:space="preserve"> district</w:t>
      </w:r>
      <w:r w:rsidR="00773D8B">
        <w:t>, which was $2.1 million (Ms. Hynes’ sub</w:t>
      </w:r>
      <w:r w:rsidR="00512993">
        <w:t>-</w:t>
      </w:r>
      <w:r w:rsidR="00773D8B">
        <w:t>allocation included $100,000 from previously unallocated funding)</w:t>
      </w:r>
      <w:r w:rsidR="00140558" w:rsidRPr="00C3166B">
        <w:t xml:space="preserve">. </w:t>
      </w:r>
      <w:r w:rsidR="00512993">
        <w:t>Ms. Hynes’ project selections are listed below.</w:t>
      </w:r>
    </w:p>
    <w:p w14:paraId="18A15AD9" w14:textId="0126FEB1" w:rsidR="00512993" w:rsidRDefault="00512993" w:rsidP="00140558">
      <w:pPr>
        <w:pStyle w:val="3Paragraph"/>
      </w:pPr>
    </w:p>
    <w:tbl>
      <w:tblPr>
        <w:tblStyle w:val="TableGrid"/>
        <w:tblW w:w="0" w:type="auto"/>
        <w:tblLook w:val="04A0" w:firstRow="1" w:lastRow="0" w:firstColumn="1" w:lastColumn="0" w:noHBand="0" w:noVBand="1"/>
      </w:tblPr>
      <w:tblGrid>
        <w:gridCol w:w="3505"/>
        <w:gridCol w:w="1890"/>
        <w:gridCol w:w="2250"/>
      </w:tblGrid>
      <w:tr w:rsidR="00717FAE" w:rsidRPr="00CB2BCF" w14:paraId="0E059B6F" w14:textId="77777777" w:rsidTr="00717FAE">
        <w:trPr>
          <w:trHeight w:val="620"/>
        </w:trPr>
        <w:tc>
          <w:tcPr>
            <w:tcW w:w="7645" w:type="dxa"/>
            <w:gridSpan w:val="3"/>
          </w:tcPr>
          <w:p w14:paraId="0300D41A" w14:textId="77777777" w:rsidR="00717FAE" w:rsidRDefault="00717FAE" w:rsidP="00717FAE">
            <w:pPr>
              <w:pStyle w:val="3Paragraph"/>
              <w:rPr>
                <w:b/>
                <w:bCs/>
              </w:rPr>
            </w:pPr>
            <w:r>
              <w:rPr>
                <w:b/>
                <w:bCs/>
              </w:rPr>
              <w:t>Project Selections</w:t>
            </w:r>
          </w:p>
          <w:p w14:paraId="7271ACF8" w14:textId="4F83F61E" w:rsidR="00717FAE" w:rsidRPr="00CB2BCF" w:rsidRDefault="00717FAE" w:rsidP="00717FAE">
            <w:pPr>
              <w:pStyle w:val="3Paragraph"/>
              <w:rPr>
                <w:b/>
                <w:bCs/>
              </w:rPr>
            </w:pPr>
            <w:r>
              <w:rPr>
                <w:b/>
                <w:bCs/>
              </w:rPr>
              <w:t xml:space="preserve">Mary Hynes, CTB </w:t>
            </w:r>
            <w:r w:rsidR="00E8145A">
              <w:rPr>
                <w:b/>
                <w:bCs/>
              </w:rPr>
              <w:t xml:space="preserve">Northern Virginia </w:t>
            </w:r>
            <w:r>
              <w:rPr>
                <w:b/>
                <w:bCs/>
              </w:rPr>
              <w:t>District Member</w:t>
            </w:r>
          </w:p>
        </w:tc>
      </w:tr>
      <w:tr w:rsidR="00717FAE" w:rsidRPr="00CB2BCF" w14:paraId="2F6DD647" w14:textId="77777777" w:rsidTr="00717FAE">
        <w:trPr>
          <w:trHeight w:val="611"/>
        </w:trPr>
        <w:tc>
          <w:tcPr>
            <w:tcW w:w="3505" w:type="dxa"/>
            <w:hideMark/>
          </w:tcPr>
          <w:p w14:paraId="0F7A682C" w14:textId="77777777" w:rsidR="00717FAE" w:rsidRPr="00CB2BCF" w:rsidRDefault="00717FAE" w:rsidP="00CB2BCF">
            <w:pPr>
              <w:pStyle w:val="3Paragraph"/>
              <w:jc w:val="center"/>
              <w:rPr>
                <w:b/>
                <w:bCs/>
              </w:rPr>
            </w:pPr>
            <w:r w:rsidRPr="00CB2BCF">
              <w:rPr>
                <w:b/>
                <w:bCs/>
              </w:rPr>
              <w:t>Project Name</w:t>
            </w:r>
          </w:p>
        </w:tc>
        <w:tc>
          <w:tcPr>
            <w:tcW w:w="1890" w:type="dxa"/>
            <w:hideMark/>
          </w:tcPr>
          <w:p w14:paraId="65FB0DD7" w14:textId="77777777" w:rsidR="00717FAE" w:rsidRPr="00CB2BCF" w:rsidRDefault="00717FAE" w:rsidP="00CB2BCF">
            <w:pPr>
              <w:pStyle w:val="3Paragraph"/>
              <w:jc w:val="center"/>
              <w:rPr>
                <w:b/>
                <w:bCs/>
              </w:rPr>
            </w:pPr>
            <w:r w:rsidRPr="00CB2BCF">
              <w:rPr>
                <w:b/>
                <w:bCs/>
              </w:rPr>
              <w:t>Jurisdiction</w:t>
            </w:r>
          </w:p>
        </w:tc>
        <w:tc>
          <w:tcPr>
            <w:tcW w:w="2250" w:type="dxa"/>
            <w:hideMark/>
          </w:tcPr>
          <w:p w14:paraId="4BE51BF1" w14:textId="77777777" w:rsidR="00717FAE" w:rsidRPr="00CB2BCF" w:rsidRDefault="00717FAE" w:rsidP="00CB2BCF">
            <w:pPr>
              <w:pStyle w:val="3Paragraph"/>
              <w:jc w:val="center"/>
              <w:rPr>
                <w:b/>
                <w:bCs/>
              </w:rPr>
            </w:pPr>
            <w:r w:rsidRPr="00CB2BCF">
              <w:rPr>
                <w:b/>
                <w:bCs/>
              </w:rPr>
              <w:t>CTB District Member Selections</w:t>
            </w:r>
          </w:p>
        </w:tc>
      </w:tr>
      <w:tr w:rsidR="00545E14" w:rsidRPr="00CB2BCF" w14:paraId="3851095E" w14:textId="77777777" w:rsidTr="006F4D07">
        <w:trPr>
          <w:trHeight w:val="319"/>
        </w:trPr>
        <w:tc>
          <w:tcPr>
            <w:tcW w:w="3505" w:type="dxa"/>
            <w:hideMark/>
          </w:tcPr>
          <w:p w14:paraId="7F64AA52" w14:textId="77777777" w:rsidR="00545E14" w:rsidRPr="00CB2BCF" w:rsidRDefault="00545E14" w:rsidP="006F4D07">
            <w:pPr>
              <w:pStyle w:val="3Paragraph"/>
            </w:pPr>
            <w:r w:rsidRPr="00CB2BCF">
              <w:t>Streetscape Phase 2A</w:t>
            </w:r>
          </w:p>
        </w:tc>
        <w:tc>
          <w:tcPr>
            <w:tcW w:w="1890" w:type="dxa"/>
            <w:hideMark/>
          </w:tcPr>
          <w:p w14:paraId="53E71415" w14:textId="77777777" w:rsidR="00545E14" w:rsidRPr="00CB2BCF" w:rsidRDefault="00545E14" w:rsidP="006F4D07">
            <w:pPr>
              <w:pStyle w:val="3Paragraph"/>
            </w:pPr>
            <w:r w:rsidRPr="00CB2BCF">
              <w:t>Town of Clifton</w:t>
            </w:r>
          </w:p>
        </w:tc>
        <w:tc>
          <w:tcPr>
            <w:tcW w:w="2250" w:type="dxa"/>
            <w:hideMark/>
          </w:tcPr>
          <w:p w14:paraId="62FA530D" w14:textId="77777777" w:rsidR="00545E14" w:rsidRPr="00CB2BCF" w:rsidRDefault="00545E14" w:rsidP="006F4D07">
            <w:pPr>
              <w:pStyle w:val="3Paragraph"/>
              <w:jc w:val="right"/>
            </w:pPr>
            <w:r w:rsidRPr="00CB2BCF">
              <w:t>$453,259</w:t>
            </w:r>
          </w:p>
        </w:tc>
      </w:tr>
      <w:tr w:rsidR="00545E14" w:rsidRPr="00CB2BCF" w14:paraId="0B034948" w14:textId="77777777" w:rsidTr="00DA4B8A">
        <w:trPr>
          <w:trHeight w:val="359"/>
        </w:trPr>
        <w:tc>
          <w:tcPr>
            <w:tcW w:w="3505" w:type="dxa"/>
            <w:hideMark/>
          </w:tcPr>
          <w:p w14:paraId="5E19C87D" w14:textId="77777777" w:rsidR="00545E14" w:rsidRPr="00CB2BCF" w:rsidRDefault="00545E14" w:rsidP="00DA4B8A">
            <w:pPr>
              <w:pStyle w:val="3Paragraph"/>
            </w:pPr>
            <w:r w:rsidRPr="00CB2BCF">
              <w:t>Sager Avenue Sidewalk</w:t>
            </w:r>
          </w:p>
        </w:tc>
        <w:tc>
          <w:tcPr>
            <w:tcW w:w="1890" w:type="dxa"/>
            <w:hideMark/>
          </w:tcPr>
          <w:p w14:paraId="1E2D5681" w14:textId="77777777" w:rsidR="00545E14" w:rsidRPr="00CB2BCF" w:rsidRDefault="00545E14" w:rsidP="00DA4B8A">
            <w:pPr>
              <w:pStyle w:val="3Paragraph"/>
            </w:pPr>
            <w:r w:rsidRPr="00CB2BCF">
              <w:t>City of Fairfax</w:t>
            </w:r>
          </w:p>
        </w:tc>
        <w:tc>
          <w:tcPr>
            <w:tcW w:w="2250" w:type="dxa"/>
            <w:hideMark/>
          </w:tcPr>
          <w:p w14:paraId="4C5C4657" w14:textId="77777777" w:rsidR="00545E14" w:rsidRPr="00CB2BCF" w:rsidRDefault="00545E14" w:rsidP="00DA4B8A">
            <w:pPr>
              <w:pStyle w:val="3Paragraph"/>
              <w:jc w:val="right"/>
            </w:pPr>
            <w:r w:rsidRPr="00CB2BCF">
              <w:t>$424,000</w:t>
            </w:r>
          </w:p>
        </w:tc>
      </w:tr>
      <w:tr w:rsidR="00545E14" w:rsidRPr="00CB2BCF" w14:paraId="632C186A" w14:textId="77777777" w:rsidTr="00895B7C">
        <w:trPr>
          <w:trHeight w:val="350"/>
        </w:trPr>
        <w:tc>
          <w:tcPr>
            <w:tcW w:w="3505" w:type="dxa"/>
            <w:hideMark/>
          </w:tcPr>
          <w:p w14:paraId="30AA4C5B" w14:textId="77777777" w:rsidR="00545E14" w:rsidRPr="00CB2BCF" w:rsidRDefault="00545E14" w:rsidP="00895B7C">
            <w:pPr>
              <w:pStyle w:val="3Paragraph"/>
            </w:pPr>
            <w:r w:rsidRPr="00CB2BCF">
              <w:t>City of Fairfax Bike Share</w:t>
            </w:r>
          </w:p>
        </w:tc>
        <w:tc>
          <w:tcPr>
            <w:tcW w:w="1890" w:type="dxa"/>
            <w:hideMark/>
          </w:tcPr>
          <w:p w14:paraId="103FFF93" w14:textId="77777777" w:rsidR="00545E14" w:rsidRPr="00CB2BCF" w:rsidRDefault="00545E14" w:rsidP="00895B7C">
            <w:pPr>
              <w:pStyle w:val="3Paragraph"/>
            </w:pPr>
            <w:r w:rsidRPr="00CB2BCF">
              <w:t>City of Fairfax</w:t>
            </w:r>
          </w:p>
        </w:tc>
        <w:tc>
          <w:tcPr>
            <w:tcW w:w="2250" w:type="dxa"/>
            <w:hideMark/>
          </w:tcPr>
          <w:p w14:paraId="023C6CF1" w14:textId="77777777" w:rsidR="00545E14" w:rsidRPr="00CB2BCF" w:rsidRDefault="00545E14" w:rsidP="00895B7C">
            <w:pPr>
              <w:pStyle w:val="3Paragraph"/>
              <w:jc w:val="right"/>
            </w:pPr>
            <w:r w:rsidRPr="00CB2BCF">
              <w:t>$336,800</w:t>
            </w:r>
          </w:p>
        </w:tc>
      </w:tr>
      <w:tr w:rsidR="00717FAE" w:rsidRPr="00CB2BCF" w14:paraId="145577D3" w14:textId="77777777" w:rsidTr="00717FAE">
        <w:trPr>
          <w:trHeight w:val="620"/>
        </w:trPr>
        <w:tc>
          <w:tcPr>
            <w:tcW w:w="3505" w:type="dxa"/>
            <w:hideMark/>
          </w:tcPr>
          <w:p w14:paraId="23C22096" w14:textId="77777777" w:rsidR="00717FAE" w:rsidRPr="00CB2BCF" w:rsidRDefault="00717FAE" w:rsidP="00717FAE">
            <w:pPr>
              <w:pStyle w:val="3Paragraph"/>
            </w:pPr>
            <w:r w:rsidRPr="00CB2BCF">
              <w:t>Shrevewood Elementary School - Safe Routes to School</w:t>
            </w:r>
          </w:p>
        </w:tc>
        <w:tc>
          <w:tcPr>
            <w:tcW w:w="1890" w:type="dxa"/>
            <w:hideMark/>
          </w:tcPr>
          <w:p w14:paraId="6968D635" w14:textId="19B31084" w:rsidR="00717FAE" w:rsidRPr="00CB2BCF" w:rsidRDefault="00717FAE" w:rsidP="00717FAE">
            <w:pPr>
              <w:pStyle w:val="3Paragraph"/>
            </w:pPr>
            <w:r w:rsidRPr="00CB2BCF">
              <w:t>Fairfax Co</w:t>
            </w:r>
            <w:r w:rsidR="00545E14">
              <w:t>unty</w:t>
            </w:r>
          </w:p>
        </w:tc>
        <w:tc>
          <w:tcPr>
            <w:tcW w:w="2250" w:type="dxa"/>
            <w:noWrap/>
            <w:hideMark/>
          </w:tcPr>
          <w:p w14:paraId="5F77DC90" w14:textId="204AE3C6" w:rsidR="00717FAE" w:rsidRPr="00CB2BCF" w:rsidRDefault="00717FAE" w:rsidP="00717FAE">
            <w:pPr>
              <w:pStyle w:val="3Paragraph"/>
              <w:jc w:val="right"/>
            </w:pPr>
            <w:r w:rsidRPr="00CB2BCF">
              <w:t>$560,000</w:t>
            </w:r>
          </w:p>
        </w:tc>
      </w:tr>
      <w:tr w:rsidR="00717FAE" w:rsidRPr="00CB2BCF" w14:paraId="3ED32C89" w14:textId="77777777" w:rsidTr="00717FAE">
        <w:trPr>
          <w:trHeight w:val="319"/>
        </w:trPr>
        <w:tc>
          <w:tcPr>
            <w:tcW w:w="3505" w:type="dxa"/>
            <w:hideMark/>
          </w:tcPr>
          <w:p w14:paraId="3A8CAD0A" w14:textId="0EAD20D8" w:rsidR="00717FAE" w:rsidRPr="00CB2BCF" w:rsidRDefault="004D2BBF" w:rsidP="00717FAE">
            <w:pPr>
              <w:pStyle w:val="3Paragraph"/>
            </w:pPr>
            <w:r w:rsidRPr="00CB2BCF">
              <w:t>Bikeshare</w:t>
            </w:r>
            <w:r w:rsidR="00717FAE" w:rsidRPr="00CB2BCF">
              <w:t xml:space="preserve"> Stations</w:t>
            </w:r>
          </w:p>
        </w:tc>
        <w:tc>
          <w:tcPr>
            <w:tcW w:w="1890" w:type="dxa"/>
            <w:hideMark/>
          </w:tcPr>
          <w:p w14:paraId="41D71F71" w14:textId="77777777" w:rsidR="00717FAE" w:rsidRPr="00CB2BCF" w:rsidRDefault="00717FAE" w:rsidP="00717FAE">
            <w:pPr>
              <w:pStyle w:val="3Paragraph"/>
            </w:pPr>
            <w:r w:rsidRPr="00CB2BCF">
              <w:t>Town of Vienna</w:t>
            </w:r>
          </w:p>
        </w:tc>
        <w:tc>
          <w:tcPr>
            <w:tcW w:w="2250" w:type="dxa"/>
            <w:hideMark/>
          </w:tcPr>
          <w:p w14:paraId="037872A7" w14:textId="25F97226" w:rsidR="00717FAE" w:rsidRPr="00CB2BCF" w:rsidRDefault="00717FAE" w:rsidP="00717FAE">
            <w:pPr>
              <w:pStyle w:val="3Paragraph"/>
              <w:jc w:val="right"/>
            </w:pPr>
            <w:r w:rsidRPr="00CB2BCF">
              <w:t>$217,920</w:t>
            </w:r>
          </w:p>
        </w:tc>
      </w:tr>
      <w:tr w:rsidR="00717FAE" w:rsidRPr="00CB2BCF" w14:paraId="3842DCDB" w14:textId="77777777" w:rsidTr="00717FAE">
        <w:trPr>
          <w:trHeight w:val="404"/>
        </w:trPr>
        <w:tc>
          <w:tcPr>
            <w:tcW w:w="3505" w:type="dxa"/>
            <w:noWrap/>
            <w:hideMark/>
          </w:tcPr>
          <w:p w14:paraId="466062A1" w14:textId="77777777" w:rsidR="00717FAE" w:rsidRPr="00CB2BCF" w:rsidRDefault="00717FAE" w:rsidP="00717FAE">
            <w:pPr>
              <w:pStyle w:val="3Paragraph"/>
            </w:pPr>
            <w:r w:rsidRPr="00CB2BCF">
              <w:t> </w:t>
            </w:r>
          </w:p>
        </w:tc>
        <w:tc>
          <w:tcPr>
            <w:tcW w:w="1890" w:type="dxa"/>
            <w:noWrap/>
            <w:hideMark/>
          </w:tcPr>
          <w:p w14:paraId="7AB492AD" w14:textId="77777777" w:rsidR="00717FAE" w:rsidRPr="00CB2BCF" w:rsidRDefault="00717FAE" w:rsidP="00717FAE">
            <w:pPr>
              <w:pStyle w:val="3Paragraph"/>
              <w:rPr>
                <w:b/>
                <w:bCs/>
              </w:rPr>
            </w:pPr>
            <w:r w:rsidRPr="00CB2BCF">
              <w:rPr>
                <w:b/>
                <w:bCs/>
              </w:rPr>
              <w:t>TOTAL</w:t>
            </w:r>
          </w:p>
        </w:tc>
        <w:tc>
          <w:tcPr>
            <w:tcW w:w="2250" w:type="dxa"/>
            <w:noWrap/>
            <w:hideMark/>
          </w:tcPr>
          <w:p w14:paraId="53BDED3B" w14:textId="390FD20C" w:rsidR="00717FAE" w:rsidRPr="00CB2BCF" w:rsidRDefault="00717FAE" w:rsidP="00717FAE">
            <w:pPr>
              <w:pStyle w:val="3Paragraph"/>
              <w:jc w:val="right"/>
            </w:pPr>
            <w:r w:rsidRPr="00CB2BCF">
              <w:t>$1,991,979</w:t>
            </w:r>
          </w:p>
        </w:tc>
      </w:tr>
    </w:tbl>
    <w:p w14:paraId="6D0F9A72" w14:textId="77777777" w:rsidR="00CB2BCF" w:rsidRDefault="00CB2BCF" w:rsidP="00140558">
      <w:pPr>
        <w:pStyle w:val="3Paragraph"/>
      </w:pPr>
    </w:p>
    <w:p w14:paraId="68FEC69E" w14:textId="5B9BD8B5" w:rsidR="00773D8B" w:rsidRDefault="00773D8B" w:rsidP="006D41BB">
      <w:pPr>
        <w:pStyle w:val="3Paragraph"/>
        <w:rPr>
          <w:caps/>
        </w:rPr>
      </w:pPr>
      <w:r>
        <w:t xml:space="preserve">Because the TPB’s planning area includes </w:t>
      </w:r>
      <w:r w:rsidR="00E8145A">
        <w:t xml:space="preserve">a small </w:t>
      </w:r>
      <w:r>
        <w:t xml:space="preserve">portion of Fauquier County, the TPB was asked to consider </w:t>
      </w:r>
      <w:r w:rsidR="00CF1F83">
        <w:t xml:space="preserve">any </w:t>
      </w:r>
      <w:r>
        <w:t>TA Set-Aside applications in this area</w:t>
      </w:r>
      <w:r w:rsidR="00EC1B6A">
        <w:t xml:space="preserve">, which </w:t>
      </w:r>
      <w:r>
        <w:t>is not part of VDOT</w:t>
      </w:r>
      <w:r w:rsidR="00E8145A">
        <w:t>’s Northern Virginia</w:t>
      </w:r>
      <w:r>
        <w:t xml:space="preserve"> District but instead lies within VDOT’s Culpeper District</w:t>
      </w:r>
      <w:r w:rsidR="006D41BB">
        <w:t xml:space="preserve">. </w:t>
      </w:r>
      <w:r w:rsidR="00E56A76">
        <w:t>VDOT received o</w:t>
      </w:r>
      <w:r>
        <w:t xml:space="preserve">ne application </w:t>
      </w:r>
      <w:r w:rsidR="006D41BB">
        <w:t>for</w:t>
      </w:r>
      <w:r>
        <w:t xml:space="preserve"> this area</w:t>
      </w:r>
      <w:r w:rsidR="00E56A76">
        <w:t xml:space="preserve"> </w:t>
      </w:r>
      <w:r>
        <w:t xml:space="preserve">from the Town of </w:t>
      </w:r>
      <w:r w:rsidR="00512993">
        <w:t>Warrenton</w:t>
      </w:r>
      <w:r>
        <w:t>.</w:t>
      </w:r>
      <w:r w:rsidR="00EC1B6A">
        <w:t xml:space="preserve"> The </w:t>
      </w:r>
      <w:r>
        <w:t>TPB’s Selection Panel</w:t>
      </w:r>
      <w:r w:rsidR="006D41BB">
        <w:t xml:space="preserve"> </w:t>
      </w:r>
      <w:r w:rsidR="00E8145A">
        <w:t>recommende</w:t>
      </w:r>
      <w:r w:rsidR="002C327F">
        <w:t xml:space="preserve">d full funding for this application. </w:t>
      </w:r>
    </w:p>
    <w:p w14:paraId="2A7E45DE" w14:textId="77777777" w:rsidR="006D41BB" w:rsidRPr="006D41BB" w:rsidRDefault="006D41BB" w:rsidP="006D41BB">
      <w:pPr>
        <w:pStyle w:val="3Paragraph"/>
      </w:pPr>
    </w:p>
    <w:p w14:paraId="6BE6A16C" w14:textId="08F98F65" w:rsidR="00140558" w:rsidRPr="00FF0938" w:rsidRDefault="00140558" w:rsidP="00140558">
      <w:pPr>
        <w:pStyle w:val="2Subhead"/>
      </w:pPr>
      <w:r>
        <w:t xml:space="preserve">PRoject SElection </w:t>
      </w:r>
    </w:p>
    <w:p w14:paraId="09CB9FDA" w14:textId="77777777" w:rsidR="00140558" w:rsidRDefault="00140558" w:rsidP="00140558">
      <w:pPr>
        <w:pStyle w:val="3Paragraph"/>
      </w:pPr>
    </w:p>
    <w:p w14:paraId="63C02C29" w14:textId="376BC611" w:rsidR="00140558" w:rsidRPr="00C3166B" w:rsidRDefault="00140558" w:rsidP="00140558">
      <w:pPr>
        <w:pStyle w:val="3Paragraph"/>
      </w:pPr>
      <w:r w:rsidRPr="00C3166B">
        <w:t xml:space="preserve">The TPB </w:t>
      </w:r>
      <w:r>
        <w:t xml:space="preserve">is responsible for </w:t>
      </w:r>
      <w:r w:rsidRPr="00C3166B">
        <w:t>complet</w:t>
      </w:r>
      <w:r>
        <w:t>ing</w:t>
      </w:r>
      <w:r w:rsidRPr="00C3166B">
        <w:t xml:space="preserve"> the second </w:t>
      </w:r>
      <w:r w:rsidR="00773D8B">
        <w:t>part of</w:t>
      </w:r>
      <w:r w:rsidRPr="00C3166B">
        <w:t xml:space="preserve"> the</w:t>
      </w:r>
      <w:r>
        <w:t xml:space="preserve"> selection process </w:t>
      </w:r>
      <w:r w:rsidR="000425FF">
        <w:t>presented</w:t>
      </w:r>
      <w:r>
        <w:t xml:space="preserve"> above. To </w:t>
      </w:r>
      <w:r w:rsidR="004D2BBF">
        <w:t>determine funding</w:t>
      </w:r>
      <w:r>
        <w:t xml:space="preserve"> recommendations, </w:t>
      </w:r>
      <w:r w:rsidRPr="00C3166B">
        <w:t>TPB staff</w:t>
      </w:r>
      <w:r>
        <w:t xml:space="preserve"> invited</w:t>
      </w:r>
      <w:r w:rsidRPr="00C3166B">
        <w:t xml:space="preserve"> representatives from the District of Columbia and Maryland to participate on the TPB’s </w:t>
      </w:r>
      <w:r w:rsidR="00773D8B">
        <w:t xml:space="preserve">selection </w:t>
      </w:r>
      <w:r w:rsidRPr="00C3166B">
        <w:t xml:space="preserve">panel. The panel met on </w:t>
      </w:r>
      <w:r w:rsidR="00773D8B">
        <w:t>February 3, 2020</w:t>
      </w:r>
      <w:r w:rsidRPr="00C3166B">
        <w:t>. Panel participants included:</w:t>
      </w:r>
    </w:p>
    <w:p w14:paraId="4CE2197F" w14:textId="494B2140" w:rsidR="00CB2BCF" w:rsidRDefault="00CB2BCF">
      <w:pPr>
        <w:widowControl/>
        <w:autoSpaceDE/>
        <w:autoSpaceDN/>
        <w:rPr>
          <w:rFonts w:eastAsiaTheme="minorEastAsia" w:cs="ITCFranklinGothicStd-Book"/>
          <w:color w:val="000000" w:themeColor="text1"/>
          <w:lang w:eastAsia="ja-JP"/>
        </w:rPr>
      </w:pPr>
    </w:p>
    <w:p w14:paraId="7B898A39" w14:textId="17665BF2" w:rsidR="000425FF" w:rsidRDefault="000425FF" w:rsidP="00140558">
      <w:pPr>
        <w:pStyle w:val="3Paragraph"/>
        <w:numPr>
          <w:ilvl w:val="0"/>
          <w:numId w:val="2"/>
        </w:numPr>
      </w:pPr>
      <w:r>
        <w:t>Christy Bernal, Maryland State Highway Administration</w:t>
      </w:r>
    </w:p>
    <w:p w14:paraId="4A60E19D" w14:textId="5A6F720E" w:rsidR="00140558" w:rsidRPr="00C3166B" w:rsidRDefault="002F11C7" w:rsidP="00140558">
      <w:pPr>
        <w:pStyle w:val="3Paragraph"/>
        <w:numPr>
          <w:ilvl w:val="0"/>
          <w:numId w:val="2"/>
        </w:numPr>
      </w:pPr>
      <w:r>
        <w:t>Kelsey Bridges, District Department of Transportation</w:t>
      </w:r>
    </w:p>
    <w:p w14:paraId="1491EDF2" w14:textId="77777777" w:rsidR="000425FF" w:rsidRPr="00C3166B" w:rsidRDefault="000425FF" w:rsidP="000425FF">
      <w:pPr>
        <w:pStyle w:val="3Paragraph"/>
        <w:numPr>
          <w:ilvl w:val="0"/>
          <w:numId w:val="2"/>
        </w:numPr>
      </w:pPr>
      <w:r w:rsidRPr="00C3166B">
        <w:t>Michael Farrell, COG/TPB Staff</w:t>
      </w:r>
    </w:p>
    <w:p w14:paraId="75CA0824" w14:textId="738FD32F" w:rsidR="00140558" w:rsidRDefault="002F11C7" w:rsidP="00140558">
      <w:pPr>
        <w:pStyle w:val="3Paragraph"/>
        <w:numPr>
          <w:ilvl w:val="0"/>
          <w:numId w:val="2"/>
        </w:numPr>
      </w:pPr>
      <w:r>
        <w:t>Jaleel Reed</w:t>
      </w:r>
      <w:r w:rsidR="000425FF">
        <w:t>, COG Staff</w:t>
      </w:r>
    </w:p>
    <w:p w14:paraId="01145397" w14:textId="36DC4782" w:rsidR="000425FF" w:rsidRPr="00C3166B" w:rsidRDefault="000425FF" w:rsidP="00140558">
      <w:pPr>
        <w:pStyle w:val="3Paragraph"/>
        <w:numPr>
          <w:ilvl w:val="0"/>
          <w:numId w:val="2"/>
        </w:numPr>
      </w:pPr>
      <w:r>
        <w:t>John Swanson, COG/TPB Staff</w:t>
      </w:r>
    </w:p>
    <w:bookmarkEnd w:id="2"/>
    <w:p w14:paraId="1461541B" w14:textId="77777777" w:rsidR="00985FAE" w:rsidRDefault="00985FAE" w:rsidP="00226CE1">
      <w:pPr>
        <w:pStyle w:val="3Paragraph"/>
      </w:pPr>
    </w:p>
    <w:p w14:paraId="0BC52CE6" w14:textId="4F3540F9" w:rsidR="002C327F" w:rsidRDefault="002C327F" w:rsidP="00226CE1">
      <w:pPr>
        <w:pStyle w:val="3Paragraph"/>
      </w:pPr>
      <w:r>
        <w:lastRenderedPageBreak/>
        <w:t xml:space="preserve">VDOT staff members Carol Bondurant and Heidi Mitter participated in the panel meeting and served as technical resources for the discussion. </w:t>
      </w:r>
    </w:p>
    <w:p w14:paraId="215C5E5F" w14:textId="77777777" w:rsidR="002C327F" w:rsidRDefault="002C327F" w:rsidP="00226CE1">
      <w:pPr>
        <w:pStyle w:val="3Paragraph"/>
      </w:pPr>
    </w:p>
    <w:p w14:paraId="74E44096" w14:textId="265837AB" w:rsidR="00226CE1" w:rsidRPr="00C3166B" w:rsidRDefault="00226CE1" w:rsidP="00226CE1">
      <w:pPr>
        <w:pStyle w:val="3Paragraph"/>
      </w:pPr>
      <w:r w:rsidRPr="00C3166B">
        <w:t>Panel members individually review</w:t>
      </w:r>
      <w:r w:rsidR="00A92A47">
        <w:t>ed and scored applications for a maximum of</w:t>
      </w:r>
      <w:r w:rsidRPr="00C3166B">
        <w:t xml:space="preserve"> 100 points. The total score is a composite based on each reviewer’s professional assessment (50</w:t>
      </w:r>
      <w:r>
        <w:t xml:space="preserve"> </w:t>
      </w:r>
      <w:r w:rsidRPr="00C3166B">
        <w:t>p</w:t>
      </w:r>
      <w:r>
        <w:t>oin</w:t>
      </w:r>
      <w:r w:rsidRPr="00C3166B">
        <w:t>ts) and regional selection criteria (50</w:t>
      </w:r>
      <w:r>
        <w:t xml:space="preserve"> </w:t>
      </w:r>
      <w:r w:rsidRPr="00C3166B">
        <w:t>p</w:t>
      </w:r>
      <w:r>
        <w:t>oin</w:t>
      </w:r>
      <w:r w:rsidRPr="00C3166B">
        <w:t xml:space="preserve">ts). The professional assessment is based on </w:t>
      </w:r>
      <w:r>
        <w:t>each</w:t>
      </w:r>
      <w:r w:rsidRPr="00C3166B">
        <w:t xml:space="preserve"> panel member’s </w:t>
      </w:r>
      <w:r>
        <w:t xml:space="preserve">transportation planning expertise, </w:t>
      </w:r>
      <w:r w:rsidRPr="00C3166B">
        <w:t>knowledge of transportation planning in the region</w:t>
      </w:r>
      <w:r>
        <w:t>, evaluation of the project budget,</w:t>
      </w:r>
      <w:r w:rsidRPr="00C3166B">
        <w:t xml:space="preserve"> and project management experience. The regional criteria are rooted in TPB policies and programs, with the understanding that some projects would not meet all criteria. Regional selection criteria included the following: </w:t>
      </w:r>
    </w:p>
    <w:p w14:paraId="738E9DD8" w14:textId="77777777" w:rsidR="00226CE1" w:rsidRPr="00C3166B" w:rsidRDefault="00226CE1" w:rsidP="004D2BBF">
      <w:pPr>
        <w:pStyle w:val="3Paragraph"/>
      </w:pPr>
    </w:p>
    <w:p w14:paraId="78EB6FE5" w14:textId="5E09CD9C" w:rsidR="002F11C7" w:rsidRPr="002F11C7" w:rsidRDefault="002F11C7" w:rsidP="004D2BBF">
      <w:pPr>
        <w:pStyle w:val="ListParagraph"/>
        <w:numPr>
          <w:ilvl w:val="0"/>
          <w:numId w:val="11"/>
        </w:numPr>
        <w:spacing w:after="120" w:line="240" w:lineRule="auto"/>
        <w:contextualSpacing w:val="0"/>
        <w:rPr>
          <w:rFonts w:ascii="Franklin Gothic Book" w:eastAsiaTheme="minorEastAsia" w:hAnsi="Franklin Gothic Book" w:cs="ITCFranklinGothicStd-Book"/>
          <w:color w:val="000000" w:themeColor="text1"/>
          <w:lang w:eastAsia="ja-JP"/>
        </w:rPr>
      </w:pPr>
      <w:r w:rsidRPr="002F11C7">
        <w:rPr>
          <w:rFonts w:ascii="Franklin Gothic Book" w:eastAsiaTheme="minorEastAsia" w:hAnsi="Franklin Gothic Book" w:cs="ITCFranklinGothicStd-Book"/>
          <w:i/>
          <w:color w:val="000000" w:themeColor="text1"/>
          <w:lang w:eastAsia="ja-JP"/>
        </w:rPr>
        <w:t>Focus on expanding transportation options (10 points):</w:t>
      </w:r>
      <w:r w:rsidRPr="002F11C7">
        <w:rPr>
          <w:rFonts w:ascii="Franklin Gothic Book" w:eastAsiaTheme="minorEastAsia" w:hAnsi="Franklin Gothic Book" w:cs="ITCFranklinGothicStd-Book"/>
          <w:color w:val="000000" w:themeColor="text1"/>
          <w:lang w:eastAsia="ja-JP"/>
        </w:rPr>
        <w:t xml:space="preserve"> Will the project significantly increase transportation options for pedestrians, bicyclists and other non-drivers?  Will the transportation benefits of the project be more than just recreational?  </w:t>
      </w:r>
    </w:p>
    <w:p w14:paraId="0EE5255B" w14:textId="68B79894" w:rsidR="002F11C7" w:rsidRPr="002F11C7" w:rsidRDefault="002F11C7" w:rsidP="004D2BBF">
      <w:pPr>
        <w:pStyle w:val="ListParagraph"/>
        <w:numPr>
          <w:ilvl w:val="0"/>
          <w:numId w:val="11"/>
        </w:numPr>
        <w:spacing w:after="120" w:line="240" w:lineRule="auto"/>
        <w:contextualSpacing w:val="0"/>
        <w:rPr>
          <w:rFonts w:ascii="Franklin Gothic Book" w:eastAsiaTheme="minorEastAsia" w:hAnsi="Franklin Gothic Book" w:cs="ITCFranklinGothicStd-Book"/>
          <w:color w:val="000000" w:themeColor="text1"/>
          <w:lang w:eastAsia="ja-JP"/>
        </w:rPr>
      </w:pPr>
      <w:r w:rsidRPr="002F11C7">
        <w:rPr>
          <w:rFonts w:ascii="Franklin Gothic Book" w:eastAsiaTheme="minorEastAsia" w:hAnsi="Franklin Gothic Book" w:cs="ITCFranklinGothicStd-Book"/>
          <w:i/>
          <w:color w:val="000000" w:themeColor="text1"/>
          <w:lang w:eastAsia="ja-JP"/>
        </w:rPr>
        <w:t>Support for Regional Activity Centers (10 points):</w:t>
      </w:r>
      <w:r w:rsidRPr="002F11C7">
        <w:rPr>
          <w:rFonts w:ascii="Franklin Gothic Book" w:eastAsiaTheme="minorEastAsia" w:hAnsi="Franklin Gothic Book" w:cs="ITCFranklinGothicStd-Book"/>
          <w:color w:val="000000" w:themeColor="text1"/>
          <w:lang w:eastAsia="ja-JP"/>
        </w:rPr>
        <w:t xml:space="preserve"> Does the project enhance walkability and accessibility within or between the region’s 141 Activity Centers? </w:t>
      </w:r>
      <w:r w:rsidR="004D2BBF">
        <w:rPr>
          <w:rFonts w:ascii="Franklin Gothic Book" w:eastAsiaTheme="minorEastAsia" w:hAnsi="Franklin Gothic Book" w:cs="ITCFranklinGothicStd-Book"/>
          <w:color w:val="000000" w:themeColor="text1"/>
          <w:lang w:eastAsia="ja-JP"/>
        </w:rPr>
        <w:t>(</w:t>
      </w:r>
      <w:r w:rsidRPr="002F11C7">
        <w:rPr>
          <w:rFonts w:ascii="Franklin Gothic Book" w:eastAsiaTheme="minorEastAsia" w:hAnsi="Franklin Gothic Book" w:cs="ITCFranklinGothicStd-Book"/>
          <w:color w:val="000000" w:themeColor="text1"/>
          <w:lang w:eastAsia="ja-JP"/>
        </w:rPr>
        <w:t>Regional Activity Centers are places where jobs and housing are concentrated and it should be easy to walk, bike, or take transit.</w:t>
      </w:r>
      <w:r w:rsidR="004D2BBF">
        <w:rPr>
          <w:rFonts w:ascii="Franklin Gothic Book" w:eastAsiaTheme="minorEastAsia" w:hAnsi="Franklin Gothic Book" w:cs="ITCFranklinGothicStd-Book"/>
          <w:color w:val="000000" w:themeColor="text1"/>
          <w:lang w:eastAsia="ja-JP"/>
        </w:rPr>
        <w:t>)</w:t>
      </w:r>
      <w:r w:rsidRPr="002F11C7">
        <w:rPr>
          <w:rFonts w:ascii="Franklin Gothic Book" w:eastAsiaTheme="minorEastAsia" w:hAnsi="Franklin Gothic Book" w:cs="ITCFranklinGothicStd-Book"/>
          <w:color w:val="000000" w:themeColor="text1"/>
          <w:lang w:eastAsia="ja-JP"/>
        </w:rPr>
        <w:t xml:space="preserve">  </w:t>
      </w:r>
    </w:p>
    <w:p w14:paraId="549AD0FC" w14:textId="4965B627" w:rsidR="002F11C7" w:rsidRPr="002F11C7" w:rsidRDefault="002F11C7" w:rsidP="004D2BBF">
      <w:pPr>
        <w:pStyle w:val="ListParagraph"/>
        <w:numPr>
          <w:ilvl w:val="0"/>
          <w:numId w:val="11"/>
        </w:numPr>
        <w:spacing w:after="120" w:line="240" w:lineRule="auto"/>
        <w:contextualSpacing w:val="0"/>
        <w:rPr>
          <w:rFonts w:ascii="Franklin Gothic Book" w:eastAsiaTheme="minorEastAsia" w:hAnsi="Franklin Gothic Book" w:cs="ITCFranklinGothicStd-Book"/>
          <w:color w:val="000000" w:themeColor="text1"/>
          <w:lang w:eastAsia="ja-JP"/>
        </w:rPr>
      </w:pPr>
      <w:r w:rsidRPr="002F11C7">
        <w:rPr>
          <w:rFonts w:ascii="Franklin Gothic Book" w:eastAsiaTheme="minorEastAsia" w:hAnsi="Franklin Gothic Book" w:cs="ITCFranklinGothicStd-Book"/>
          <w:i/>
          <w:color w:val="000000" w:themeColor="text1"/>
          <w:lang w:eastAsia="ja-JP"/>
        </w:rPr>
        <w:t>Access to high-capacity transit (10 points):</w:t>
      </w:r>
      <w:r w:rsidRPr="002F11C7">
        <w:rPr>
          <w:rFonts w:ascii="Franklin Gothic Book" w:eastAsiaTheme="minorEastAsia" w:hAnsi="Franklin Gothic Book" w:cs="ITCFranklinGothicStd-Book"/>
          <w:color w:val="000000" w:themeColor="text1"/>
          <w:lang w:eastAsia="ja-JP"/>
        </w:rPr>
        <w:t xml:space="preserve"> Will the project improve ped/bike access to transit facilities, such as Metrorail, VRE, or bus rapid transit?  </w:t>
      </w:r>
    </w:p>
    <w:p w14:paraId="7BA3B9C0" w14:textId="27D07259" w:rsidR="002F11C7" w:rsidRPr="002F11C7" w:rsidRDefault="002F11C7" w:rsidP="004D2BBF">
      <w:pPr>
        <w:pStyle w:val="ListParagraph"/>
        <w:numPr>
          <w:ilvl w:val="0"/>
          <w:numId w:val="11"/>
        </w:numPr>
        <w:spacing w:after="120" w:line="240" w:lineRule="auto"/>
        <w:contextualSpacing w:val="0"/>
        <w:rPr>
          <w:rFonts w:ascii="Franklin Gothic Book" w:eastAsiaTheme="minorEastAsia" w:hAnsi="Franklin Gothic Book" w:cs="ITCFranklinGothicStd-Book"/>
          <w:color w:val="000000" w:themeColor="text1"/>
          <w:lang w:eastAsia="ja-JP"/>
        </w:rPr>
      </w:pPr>
      <w:r w:rsidRPr="002F11C7">
        <w:rPr>
          <w:rFonts w:ascii="Franklin Gothic Book" w:eastAsiaTheme="minorEastAsia" w:hAnsi="Franklin Gothic Book" w:cs="ITCFranklinGothicStd-Book"/>
          <w:i/>
          <w:color w:val="000000" w:themeColor="text1"/>
          <w:lang w:eastAsia="ja-JP"/>
        </w:rPr>
        <w:t>Access in Equity Emphasis Areas (10 points):</w:t>
      </w:r>
      <w:r w:rsidRPr="002F11C7">
        <w:rPr>
          <w:rFonts w:ascii="Franklin Gothic Book" w:eastAsiaTheme="minorEastAsia" w:hAnsi="Franklin Gothic Book" w:cs="ITCFranklinGothicStd-Book"/>
          <w:color w:val="000000" w:themeColor="text1"/>
          <w:lang w:eastAsia="ja-JP"/>
        </w:rPr>
        <w:t xml:space="preserve"> Does the project promote accessibility for communities in Equity Emphasis Areas (EEAs)? </w:t>
      </w:r>
      <w:r w:rsidR="004D2BBF">
        <w:rPr>
          <w:rFonts w:ascii="Franklin Gothic Book" w:eastAsiaTheme="minorEastAsia" w:hAnsi="Franklin Gothic Book" w:cs="ITCFranklinGothicStd-Book"/>
          <w:color w:val="000000" w:themeColor="text1"/>
          <w:lang w:eastAsia="ja-JP"/>
        </w:rPr>
        <w:t>(</w:t>
      </w:r>
      <w:r w:rsidRPr="002F11C7">
        <w:rPr>
          <w:rFonts w:ascii="Franklin Gothic Book" w:eastAsiaTheme="minorEastAsia" w:hAnsi="Franklin Gothic Book" w:cs="ITCFranklinGothicStd-Book"/>
          <w:color w:val="000000" w:themeColor="text1"/>
          <w:lang w:eastAsia="ja-JP"/>
        </w:rPr>
        <w:t>EEAs are locations that the TPB has identified as having high concentrations of low-income and/or minority populations.</w:t>
      </w:r>
      <w:r w:rsidR="004D2BBF">
        <w:rPr>
          <w:rFonts w:ascii="Franklin Gothic Book" w:eastAsiaTheme="minorEastAsia" w:hAnsi="Franklin Gothic Book" w:cs="ITCFranklinGothicStd-Book"/>
          <w:color w:val="000000" w:themeColor="text1"/>
          <w:lang w:eastAsia="ja-JP"/>
        </w:rPr>
        <w:t>)</w:t>
      </w:r>
      <w:r w:rsidRPr="002F11C7">
        <w:rPr>
          <w:rFonts w:ascii="Franklin Gothic Book" w:eastAsiaTheme="minorEastAsia" w:hAnsi="Franklin Gothic Book" w:cs="ITCFranklinGothicStd-Book"/>
          <w:color w:val="000000" w:themeColor="text1"/>
          <w:lang w:eastAsia="ja-JP"/>
        </w:rPr>
        <w:t xml:space="preserve"> </w:t>
      </w:r>
    </w:p>
    <w:p w14:paraId="2541C576" w14:textId="744F95DC" w:rsidR="002F11C7" w:rsidRPr="002F11C7" w:rsidRDefault="002F11C7" w:rsidP="004D2BBF">
      <w:pPr>
        <w:pStyle w:val="ListParagraph"/>
        <w:numPr>
          <w:ilvl w:val="0"/>
          <w:numId w:val="11"/>
        </w:numPr>
        <w:spacing w:after="120" w:line="240" w:lineRule="auto"/>
        <w:contextualSpacing w:val="0"/>
        <w:rPr>
          <w:rFonts w:ascii="Franklin Gothic Book" w:eastAsiaTheme="minorEastAsia" w:hAnsi="Franklin Gothic Book" w:cs="ITCFranklinGothicStd-Book"/>
          <w:color w:val="000000" w:themeColor="text1"/>
          <w:lang w:eastAsia="ja-JP"/>
        </w:rPr>
      </w:pPr>
      <w:r w:rsidRPr="002F11C7">
        <w:rPr>
          <w:rFonts w:ascii="Franklin Gothic Book" w:eastAsiaTheme="minorEastAsia" w:hAnsi="Franklin Gothic Book" w:cs="ITCFranklinGothicStd-Book"/>
          <w:i/>
          <w:color w:val="000000" w:themeColor="text1"/>
          <w:lang w:eastAsia="ja-JP"/>
        </w:rPr>
        <w:t>Safe access to schools (5 points):</w:t>
      </w:r>
      <w:r w:rsidRPr="002F11C7">
        <w:rPr>
          <w:rFonts w:ascii="Franklin Gothic Book" w:eastAsiaTheme="minorEastAsia" w:hAnsi="Franklin Gothic Book" w:cs="ITCFranklinGothicStd-Book"/>
          <w:color w:val="000000" w:themeColor="text1"/>
          <w:lang w:eastAsia="ja-JP"/>
        </w:rPr>
        <w:t xml:space="preserve"> Does the project enhance safe ped/bike access to schools? </w:t>
      </w:r>
    </w:p>
    <w:p w14:paraId="7B5F84D2" w14:textId="61254D41" w:rsidR="004301DD" w:rsidRDefault="002F11C7" w:rsidP="004D2BBF">
      <w:pPr>
        <w:pStyle w:val="ListParagraph"/>
        <w:numPr>
          <w:ilvl w:val="0"/>
          <w:numId w:val="11"/>
        </w:numPr>
        <w:spacing w:after="0" w:line="240" w:lineRule="auto"/>
        <w:rPr>
          <w:rFonts w:ascii="Franklin Gothic Book" w:eastAsiaTheme="minorEastAsia" w:hAnsi="Franklin Gothic Book" w:cs="ITCFranklinGothicStd-Book"/>
          <w:color w:val="000000" w:themeColor="text1"/>
          <w:lang w:eastAsia="ja-JP"/>
        </w:rPr>
      </w:pPr>
      <w:r w:rsidRPr="002F11C7">
        <w:rPr>
          <w:rFonts w:ascii="Franklin Gothic Book" w:eastAsiaTheme="minorEastAsia" w:hAnsi="Franklin Gothic Book" w:cs="ITCFranklinGothicStd-Book"/>
          <w:i/>
          <w:color w:val="000000" w:themeColor="text1"/>
          <w:lang w:eastAsia="ja-JP"/>
        </w:rPr>
        <w:t>Increased access for people with disabilities (5 points):</w:t>
      </w:r>
      <w:r w:rsidRPr="002F11C7">
        <w:rPr>
          <w:rFonts w:ascii="Franklin Gothic Book" w:eastAsiaTheme="minorEastAsia" w:hAnsi="Franklin Gothic Book" w:cs="ITCFranklinGothicStd-Book"/>
          <w:color w:val="000000" w:themeColor="text1"/>
          <w:lang w:eastAsia="ja-JP"/>
        </w:rPr>
        <w:t xml:space="preserve"> Does the project promote accessibility for people with disabilities? </w:t>
      </w:r>
    </w:p>
    <w:p w14:paraId="6F1198B1" w14:textId="6F121BEC" w:rsidR="004D2BBF" w:rsidRPr="002F11C7" w:rsidRDefault="004D2BBF" w:rsidP="004D2BBF">
      <w:pPr>
        <w:pStyle w:val="ListParagraph"/>
        <w:spacing w:after="0" w:line="240" w:lineRule="auto"/>
        <w:rPr>
          <w:rFonts w:ascii="Franklin Gothic Book" w:eastAsiaTheme="minorEastAsia" w:hAnsi="Franklin Gothic Book" w:cs="ITCFranklinGothicStd-Book"/>
          <w:color w:val="000000" w:themeColor="text1"/>
          <w:lang w:eastAsia="ja-JP"/>
        </w:rPr>
      </w:pPr>
    </w:p>
    <w:p w14:paraId="173F1FE8" w14:textId="47157FD1" w:rsidR="00153DBC" w:rsidRDefault="00985FAE" w:rsidP="004D2BBF">
      <w:pPr>
        <w:rPr>
          <w:rFonts w:ascii="Calibri" w:eastAsiaTheme="minorHAnsi" w:hAnsi="Calibri" w:cs="Calibri"/>
          <w:color w:val="000000"/>
        </w:rPr>
      </w:pPr>
      <w:r>
        <w:rPr>
          <w:color w:val="000000"/>
        </w:rPr>
        <w:t xml:space="preserve">The panel met via </w:t>
      </w:r>
      <w:r w:rsidR="009D5D96">
        <w:rPr>
          <w:color w:val="000000"/>
        </w:rPr>
        <w:t>WebEx</w:t>
      </w:r>
      <w:r>
        <w:rPr>
          <w:color w:val="000000"/>
        </w:rPr>
        <w:t xml:space="preserve"> on </w:t>
      </w:r>
      <w:r w:rsidR="002F11C7">
        <w:rPr>
          <w:color w:val="000000"/>
        </w:rPr>
        <w:t>February 3, 2020</w:t>
      </w:r>
      <w:r>
        <w:rPr>
          <w:color w:val="000000"/>
        </w:rPr>
        <w:t>. To provide a</w:t>
      </w:r>
      <w:r w:rsidR="00153DBC">
        <w:rPr>
          <w:color w:val="000000"/>
        </w:rPr>
        <w:t xml:space="preserve"> basis for discussion</w:t>
      </w:r>
      <w:r>
        <w:rPr>
          <w:color w:val="000000"/>
        </w:rPr>
        <w:t>,</w:t>
      </w:r>
      <w:r w:rsidR="00153DBC">
        <w:rPr>
          <w:color w:val="000000"/>
        </w:rPr>
        <w:t xml:space="preserve"> each member provided </w:t>
      </w:r>
      <w:r w:rsidR="002F11C7">
        <w:rPr>
          <w:color w:val="000000"/>
        </w:rPr>
        <w:t>their scores</w:t>
      </w:r>
      <w:r w:rsidR="00153DBC">
        <w:rPr>
          <w:color w:val="000000"/>
        </w:rPr>
        <w:t xml:space="preserve"> </w:t>
      </w:r>
      <w:r w:rsidR="004D2BBF">
        <w:rPr>
          <w:color w:val="000000"/>
        </w:rPr>
        <w:t>in advance of the meeting. S</w:t>
      </w:r>
      <w:r w:rsidR="002F11C7">
        <w:rPr>
          <w:color w:val="000000"/>
        </w:rPr>
        <w:t>taff developed average scores for each project</w:t>
      </w:r>
      <w:r w:rsidR="004D2BBF">
        <w:rPr>
          <w:color w:val="000000"/>
        </w:rPr>
        <w:t xml:space="preserve"> and ranked t</w:t>
      </w:r>
      <w:r w:rsidR="002F11C7">
        <w:rPr>
          <w:color w:val="000000"/>
        </w:rPr>
        <w:t>he</w:t>
      </w:r>
      <w:r w:rsidR="004D2BBF">
        <w:rPr>
          <w:color w:val="000000"/>
        </w:rPr>
        <w:t xml:space="preserve">m </w:t>
      </w:r>
      <w:r w:rsidR="002C327F">
        <w:rPr>
          <w:color w:val="000000"/>
        </w:rPr>
        <w:t xml:space="preserve">by </w:t>
      </w:r>
      <w:r w:rsidR="002F11C7">
        <w:rPr>
          <w:color w:val="000000"/>
        </w:rPr>
        <w:t xml:space="preserve">their average scores. </w:t>
      </w:r>
      <w:r w:rsidR="00153DBC">
        <w:rPr>
          <w:color w:val="000000"/>
        </w:rPr>
        <w:t>The group discussed</w:t>
      </w:r>
      <w:r w:rsidR="00512993">
        <w:rPr>
          <w:color w:val="000000"/>
        </w:rPr>
        <w:t xml:space="preserve"> the projects</w:t>
      </w:r>
      <w:r w:rsidR="00153DBC">
        <w:rPr>
          <w:color w:val="000000"/>
        </w:rPr>
        <w:t xml:space="preserve"> </w:t>
      </w:r>
      <w:r w:rsidR="002F11C7">
        <w:rPr>
          <w:color w:val="000000"/>
        </w:rPr>
        <w:t>in th</w:t>
      </w:r>
      <w:r w:rsidR="002C327F">
        <w:rPr>
          <w:color w:val="000000"/>
        </w:rPr>
        <w:t>e ranked</w:t>
      </w:r>
      <w:r w:rsidR="002F11C7">
        <w:rPr>
          <w:color w:val="000000"/>
        </w:rPr>
        <w:t xml:space="preserve"> order </w:t>
      </w:r>
      <w:r w:rsidR="004301DD">
        <w:rPr>
          <w:color w:val="000000"/>
        </w:rPr>
        <w:t xml:space="preserve">and jointly determined </w:t>
      </w:r>
      <w:r w:rsidR="00512993">
        <w:rPr>
          <w:color w:val="000000"/>
        </w:rPr>
        <w:t>whether</w:t>
      </w:r>
      <w:r w:rsidR="004301DD">
        <w:rPr>
          <w:color w:val="000000"/>
        </w:rPr>
        <w:t xml:space="preserve"> to fund them. </w:t>
      </w:r>
      <w:r w:rsidR="00512993">
        <w:rPr>
          <w:color w:val="000000"/>
        </w:rPr>
        <w:t>T</w:t>
      </w:r>
      <w:r w:rsidR="00153DBC">
        <w:rPr>
          <w:color w:val="000000"/>
        </w:rPr>
        <w:t>he final recommendations are the result of consensus</w:t>
      </w:r>
      <w:r w:rsidR="002C327F">
        <w:rPr>
          <w:color w:val="000000"/>
        </w:rPr>
        <w:t xml:space="preserve"> and</w:t>
      </w:r>
      <w:r w:rsidR="00512993">
        <w:rPr>
          <w:color w:val="000000"/>
        </w:rPr>
        <w:t xml:space="preserve"> </w:t>
      </w:r>
      <w:r w:rsidR="004D2BBF">
        <w:rPr>
          <w:color w:val="000000"/>
        </w:rPr>
        <w:t>are not simply based on</w:t>
      </w:r>
      <w:r w:rsidR="00CE5534">
        <w:rPr>
          <w:color w:val="000000"/>
        </w:rPr>
        <w:t xml:space="preserve"> </w:t>
      </w:r>
      <w:r w:rsidR="009D5D96">
        <w:rPr>
          <w:color w:val="000000"/>
        </w:rPr>
        <w:t>a sum</w:t>
      </w:r>
      <w:r w:rsidR="00153DBC">
        <w:rPr>
          <w:color w:val="000000"/>
        </w:rPr>
        <w:t xml:space="preserve"> of</w:t>
      </w:r>
      <w:r w:rsidR="004D2BBF">
        <w:rPr>
          <w:color w:val="000000"/>
        </w:rPr>
        <w:t xml:space="preserve"> the</w:t>
      </w:r>
      <w:r w:rsidR="00153DBC">
        <w:rPr>
          <w:color w:val="000000"/>
        </w:rPr>
        <w:t xml:space="preserve"> panelists</w:t>
      </w:r>
      <w:r w:rsidR="004D2BBF">
        <w:rPr>
          <w:color w:val="000000"/>
        </w:rPr>
        <w:t>’</w:t>
      </w:r>
      <w:r w:rsidR="00153DBC">
        <w:rPr>
          <w:color w:val="000000"/>
        </w:rPr>
        <w:t xml:space="preserve"> individual scores. </w:t>
      </w:r>
    </w:p>
    <w:p w14:paraId="6BB7C013" w14:textId="77777777" w:rsidR="00153DBC" w:rsidRDefault="00153DBC" w:rsidP="00640760">
      <w:pPr>
        <w:pStyle w:val="3Paragraph"/>
      </w:pPr>
    </w:p>
    <w:p w14:paraId="03508CF8" w14:textId="47388831" w:rsidR="00226CE1" w:rsidRPr="00C3166B" w:rsidRDefault="00226CE1" w:rsidP="00640760">
      <w:pPr>
        <w:pStyle w:val="3Paragraph"/>
      </w:pPr>
      <w:r w:rsidRPr="00EF5E09">
        <w:t>At the end of the meeting</w:t>
      </w:r>
      <w:r w:rsidR="0087339D" w:rsidRPr="00EF5E09">
        <w:t xml:space="preserve"> </w:t>
      </w:r>
      <w:r w:rsidR="004301DD" w:rsidRPr="00EF5E09">
        <w:t xml:space="preserve">on </w:t>
      </w:r>
      <w:r w:rsidR="00512993">
        <w:t>February 3</w:t>
      </w:r>
      <w:r w:rsidRPr="00EF5E09">
        <w:t xml:space="preserve">, the </w:t>
      </w:r>
      <w:r w:rsidR="007072F7">
        <w:t>selection</w:t>
      </w:r>
      <w:r w:rsidRPr="00EF5E09">
        <w:t xml:space="preserve"> panel recommended </w:t>
      </w:r>
      <w:r w:rsidR="00512993">
        <w:t>seven</w:t>
      </w:r>
      <w:r w:rsidR="00EF5E09" w:rsidRPr="00EF5E09">
        <w:t xml:space="preserve"> </w:t>
      </w:r>
      <w:r w:rsidRPr="00EF5E09">
        <w:t>projects</w:t>
      </w:r>
      <w:r w:rsidRPr="00C3166B">
        <w:t xml:space="preserve"> for funding. </w:t>
      </w:r>
      <w:r w:rsidR="00153DBC">
        <w:t>A</w:t>
      </w:r>
      <w:r>
        <w:t xml:space="preserve"> </w:t>
      </w:r>
      <w:r w:rsidR="00A92A47">
        <w:t>table listing</w:t>
      </w:r>
      <w:r>
        <w:t xml:space="preserve"> all the submitted applications</w:t>
      </w:r>
      <w:r w:rsidR="00153DBC">
        <w:t xml:space="preserve"> and funding recommendations is attached to this memorandum</w:t>
      </w:r>
      <w:r>
        <w:t xml:space="preserve">.  </w:t>
      </w:r>
    </w:p>
    <w:p w14:paraId="443CC782" w14:textId="71C9338F" w:rsidR="00226CE1" w:rsidRDefault="00226CE1" w:rsidP="00226CE1">
      <w:pPr>
        <w:tabs>
          <w:tab w:val="left" w:pos="90"/>
          <w:tab w:val="left" w:pos="10080"/>
        </w:tabs>
        <w:rPr>
          <w:sz w:val="23"/>
          <w:szCs w:val="23"/>
        </w:rPr>
      </w:pPr>
    </w:p>
    <w:p w14:paraId="07EE006C" w14:textId="122D9591" w:rsidR="002C327F" w:rsidRDefault="002C327F" w:rsidP="00917551">
      <w:pPr>
        <w:tabs>
          <w:tab w:val="left" w:pos="90"/>
          <w:tab w:val="left" w:pos="10080"/>
        </w:tabs>
        <w:rPr>
          <w:sz w:val="23"/>
          <w:szCs w:val="23"/>
        </w:rPr>
      </w:pPr>
      <w:r>
        <w:rPr>
          <w:sz w:val="23"/>
          <w:szCs w:val="23"/>
        </w:rPr>
        <w:t xml:space="preserve">The recommended projects will serve many of the TPB’s regional key policies. Five projects are within or close to Regional Activity Centers and five are within or close to Equity Emphasis Areas. Three are in proximity to high-capacity transit. Two projects were previously the subject of planning studies funded through the TPB’s Transportation Land-Use Connections (TLC) Program. </w:t>
      </w:r>
    </w:p>
    <w:p w14:paraId="2DE513BB" w14:textId="77777777" w:rsidR="002C327F" w:rsidRDefault="002C327F" w:rsidP="00917551">
      <w:pPr>
        <w:tabs>
          <w:tab w:val="left" w:pos="90"/>
          <w:tab w:val="left" w:pos="10080"/>
        </w:tabs>
        <w:rPr>
          <w:sz w:val="23"/>
          <w:szCs w:val="23"/>
        </w:rPr>
      </w:pPr>
    </w:p>
    <w:p w14:paraId="75DD8BA1" w14:textId="5092E196" w:rsidR="00917551" w:rsidRPr="004D2BBF" w:rsidRDefault="00917551" w:rsidP="00917551">
      <w:pPr>
        <w:tabs>
          <w:tab w:val="left" w:pos="90"/>
          <w:tab w:val="left" w:pos="10080"/>
        </w:tabs>
      </w:pPr>
      <w:r>
        <w:rPr>
          <w:sz w:val="23"/>
          <w:szCs w:val="23"/>
        </w:rPr>
        <w:t xml:space="preserve">The panel </w:t>
      </w:r>
      <w:r w:rsidR="00EC1B6A">
        <w:rPr>
          <w:sz w:val="23"/>
          <w:szCs w:val="23"/>
        </w:rPr>
        <w:t>determined</w:t>
      </w:r>
      <w:r>
        <w:rPr>
          <w:sz w:val="23"/>
          <w:szCs w:val="23"/>
        </w:rPr>
        <w:t xml:space="preserve"> that s</w:t>
      </w:r>
      <w:r w:rsidR="00E56A76">
        <w:rPr>
          <w:sz w:val="23"/>
          <w:szCs w:val="23"/>
        </w:rPr>
        <w:t xml:space="preserve">ix of the seven </w:t>
      </w:r>
      <w:r w:rsidR="00EC1B6A">
        <w:rPr>
          <w:sz w:val="23"/>
          <w:szCs w:val="23"/>
        </w:rPr>
        <w:t xml:space="preserve">recommended </w:t>
      </w:r>
      <w:r w:rsidR="00E56A76">
        <w:rPr>
          <w:sz w:val="23"/>
          <w:szCs w:val="23"/>
        </w:rPr>
        <w:t>projects</w:t>
      </w:r>
      <w:r w:rsidR="00EC1B6A">
        <w:rPr>
          <w:sz w:val="23"/>
          <w:szCs w:val="23"/>
        </w:rPr>
        <w:t xml:space="preserve"> </w:t>
      </w:r>
      <w:r>
        <w:rPr>
          <w:sz w:val="23"/>
          <w:szCs w:val="23"/>
        </w:rPr>
        <w:t>should</w:t>
      </w:r>
      <w:r w:rsidR="00E56A76">
        <w:rPr>
          <w:sz w:val="23"/>
          <w:szCs w:val="23"/>
        </w:rPr>
        <w:t xml:space="preserve"> receive 100% of the federal funding that was requested. One project, for crossing improvements on the W&amp;OD Trail </w:t>
      </w:r>
      <w:r w:rsidR="00E56A76">
        <w:rPr>
          <w:sz w:val="23"/>
          <w:szCs w:val="23"/>
        </w:rPr>
        <w:lastRenderedPageBreak/>
        <w:t>in Loudoun County</w:t>
      </w:r>
      <w:r>
        <w:rPr>
          <w:sz w:val="23"/>
          <w:szCs w:val="23"/>
        </w:rPr>
        <w:t>,</w:t>
      </w:r>
      <w:r w:rsidR="00E56A76">
        <w:rPr>
          <w:sz w:val="23"/>
          <w:szCs w:val="23"/>
        </w:rPr>
        <w:t xml:space="preserve"> was selected to receive </w:t>
      </w:r>
      <w:r w:rsidR="00E56A76" w:rsidRPr="00642747">
        <w:t>$1,157,162</w:t>
      </w:r>
      <w:r w:rsidR="00E56A76">
        <w:t xml:space="preserve"> out of a total funding request of $2,204,118. </w:t>
      </w:r>
      <w:r>
        <w:t>The</w:t>
      </w:r>
      <w:r w:rsidR="00EC1B6A">
        <w:t xml:space="preserve"> panel determined that it would be appropriate to fund this project on a partial basis because the application essentially </w:t>
      </w:r>
      <w:r>
        <w:t xml:space="preserve">comprised a package </w:t>
      </w:r>
      <w:r w:rsidR="007D0C30">
        <w:t xml:space="preserve">of </w:t>
      </w:r>
      <w:r>
        <w:t xml:space="preserve">eight </w:t>
      </w:r>
      <w:r w:rsidR="00EC1B6A">
        <w:t xml:space="preserve">geographically distinct </w:t>
      </w:r>
      <w:r>
        <w:t xml:space="preserve">crossing projects along the trail. </w:t>
      </w:r>
      <w:r w:rsidR="00EC1B6A">
        <w:t xml:space="preserve">VDOT staff concurred with the panel’s decision to fund this application partially. </w:t>
      </w:r>
    </w:p>
    <w:p w14:paraId="22C2DF83" w14:textId="441B1D5C" w:rsidR="00CB2BCF" w:rsidRPr="004D2BBF" w:rsidRDefault="00CB2BCF">
      <w:pPr>
        <w:widowControl/>
        <w:autoSpaceDE/>
        <w:autoSpaceDN/>
      </w:pPr>
    </w:p>
    <w:p w14:paraId="4D498B2F" w14:textId="77777777" w:rsidR="002C327F" w:rsidRDefault="002C327F" w:rsidP="002C327F">
      <w:pPr>
        <w:pStyle w:val="2Subhead"/>
      </w:pPr>
      <w:r>
        <w:t>Project descriptions</w:t>
      </w:r>
    </w:p>
    <w:p w14:paraId="160BE942" w14:textId="77777777" w:rsidR="002C327F" w:rsidRDefault="002C327F" w:rsidP="002C327F">
      <w:pPr>
        <w:pStyle w:val="BodyText"/>
      </w:pPr>
    </w:p>
    <w:p w14:paraId="7FE05768" w14:textId="77777777" w:rsidR="002C327F" w:rsidRPr="002C327F" w:rsidRDefault="002C327F" w:rsidP="002C327F">
      <w:pPr>
        <w:pStyle w:val="BodyText"/>
        <w:rPr>
          <w:b/>
          <w:bCs/>
          <w:sz w:val="23"/>
          <w:szCs w:val="23"/>
        </w:rPr>
      </w:pPr>
      <w:r w:rsidRPr="002C327F">
        <w:rPr>
          <w:b/>
          <w:bCs/>
          <w:sz w:val="23"/>
          <w:szCs w:val="23"/>
        </w:rPr>
        <w:t>Columbia Pike Complete Streets Improvements - Phase I, Fairfax County</w:t>
      </w:r>
    </w:p>
    <w:p w14:paraId="14BCC88F" w14:textId="5C8628F7" w:rsidR="002C327F" w:rsidRPr="002C327F" w:rsidRDefault="002C327F" w:rsidP="002C327F">
      <w:pPr>
        <w:pStyle w:val="BodyText"/>
        <w:rPr>
          <w:i/>
          <w:iCs/>
          <w:sz w:val="23"/>
          <w:szCs w:val="23"/>
        </w:rPr>
      </w:pPr>
      <w:r w:rsidRPr="002C327F">
        <w:rPr>
          <w:i/>
          <w:iCs/>
          <w:sz w:val="23"/>
          <w:szCs w:val="23"/>
        </w:rPr>
        <w:t xml:space="preserve">$780,000 </w:t>
      </w:r>
    </w:p>
    <w:p w14:paraId="02F3FE46" w14:textId="31A8CE61" w:rsidR="002C327F" w:rsidRDefault="002C327F" w:rsidP="002C327F">
      <w:pPr>
        <w:pStyle w:val="BodyText"/>
        <w:rPr>
          <w:sz w:val="23"/>
          <w:szCs w:val="23"/>
        </w:rPr>
      </w:pPr>
      <w:r w:rsidRPr="002C327F">
        <w:rPr>
          <w:sz w:val="23"/>
          <w:szCs w:val="23"/>
        </w:rPr>
        <w:t xml:space="preserve">This project adds a sidewalk along the south side of Columbia Pike from Backlick Road to Tom Davis Drive and a crosswalk across Columbia Pike at Tom Davis Drive as the first phase in redesigning Columbia Pike </w:t>
      </w:r>
      <w:r>
        <w:rPr>
          <w:sz w:val="23"/>
          <w:szCs w:val="23"/>
        </w:rPr>
        <w:t>along</w:t>
      </w:r>
      <w:r w:rsidRPr="002C327F">
        <w:rPr>
          <w:sz w:val="23"/>
          <w:szCs w:val="23"/>
        </w:rPr>
        <w:t xml:space="preserve"> Complete Streets principles. </w:t>
      </w:r>
      <w:r>
        <w:rPr>
          <w:sz w:val="23"/>
          <w:szCs w:val="23"/>
        </w:rPr>
        <w:t>The area is within the Annandale Regional Activity Center and is adjacent to multiple Equity Emphasis Areas. Prior planning for this project was funded through the TPB’s Transportation Land-Use Connections (TLC) Program.</w:t>
      </w:r>
    </w:p>
    <w:p w14:paraId="34021D21" w14:textId="77777777" w:rsidR="002C327F" w:rsidRPr="002C327F" w:rsidRDefault="002C327F" w:rsidP="002C327F">
      <w:pPr>
        <w:pStyle w:val="BodyText"/>
        <w:rPr>
          <w:sz w:val="23"/>
          <w:szCs w:val="23"/>
        </w:rPr>
      </w:pPr>
    </w:p>
    <w:p w14:paraId="481B6B80" w14:textId="77777777" w:rsidR="002C327F" w:rsidRPr="002C327F" w:rsidRDefault="002C327F" w:rsidP="002C327F">
      <w:pPr>
        <w:pStyle w:val="BodyText"/>
        <w:rPr>
          <w:b/>
          <w:bCs/>
          <w:sz w:val="23"/>
          <w:szCs w:val="23"/>
        </w:rPr>
      </w:pPr>
      <w:r w:rsidRPr="002C327F">
        <w:rPr>
          <w:b/>
          <w:bCs/>
          <w:sz w:val="23"/>
          <w:szCs w:val="23"/>
        </w:rPr>
        <w:t>Orange Hunt Elementary School SRTS, Fairfax County</w:t>
      </w:r>
    </w:p>
    <w:p w14:paraId="69B76C27" w14:textId="77777777" w:rsidR="002C327F" w:rsidRPr="002C327F" w:rsidRDefault="002C327F" w:rsidP="002C327F">
      <w:pPr>
        <w:pStyle w:val="BodyText"/>
        <w:rPr>
          <w:i/>
          <w:iCs/>
          <w:sz w:val="23"/>
          <w:szCs w:val="23"/>
        </w:rPr>
      </w:pPr>
      <w:r w:rsidRPr="002C327F">
        <w:rPr>
          <w:i/>
          <w:iCs/>
          <w:sz w:val="23"/>
          <w:szCs w:val="23"/>
        </w:rPr>
        <w:t>$160,000</w:t>
      </w:r>
    </w:p>
    <w:p w14:paraId="5D2C4A9E" w14:textId="5304C66B" w:rsidR="002C327F" w:rsidRPr="002C327F" w:rsidRDefault="002C327F" w:rsidP="002C327F">
      <w:pPr>
        <w:widowControl/>
        <w:adjustRightInd w:val="0"/>
        <w:rPr>
          <w:sz w:val="23"/>
          <w:szCs w:val="23"/>
        </w:rPr>
      </w:pPr>
      <w:r w:rsidRPr="002C327F">
        <w:rPr>
          <w:sz w:val="23"/>
          <w:szCs w:val="23"/>
        </w:rPr>
        <w:t xml:space="preserve">The proposed project would improve the existing crosswalk at Huntsman Blvd between the path to Orange Hunt Elementary School and Spelman Drive by adding a pedestrian refuge island and curb extensions. The school serve approximately 800 children. </w:t>
      </w:r>
    </w:p>
    <w:p w14:paraId="2966CF59" w14:textId="7A7DFA22" w:rsidR="002C327F" w:rsidRPr="002C327F" w:rsidRDefault="002C327F" w:rsidP="002C327F">
      <w:pPr>
        <w:pStyle w:val="BodyText"/>
        <w:rPr>
          <w:sz w:val="23"/>
          <w:szCs w:val="23"/>
        </w:rPr>
      </w:pPr>
      <w:r w:rsidRPr="002C327F">
        <w:rPr>
          <w:sz w:val="23"/>
          <w:szCs w:val="23"/>
        </w:rPr>
        <w:t xml:space="preserve"> </w:t>
      </w:r>
    </w:p>
    <w:p w14:paraId="02B0FD4E" w14:textId="30FA2612" w:rsidR="002C327F" w:rsidRPr="002C327F" w:rsidRDefault="002C327F" w:rsidP="002C327F">
      <w:pPr>
        <w:pStyle w:val="BodyText"/>
        <w:rPr>
          <w:b/>
          <w:bCs/>
          <w:sz w:val="23"/>
          <w:szCs w:val="23"/>
        </w:rPr>
      </w:pPr>
      <w:r w:rsidRPr="002C327F">
        <w:rPr>
          <w:b/>
          <w:bCs/>
          <w:sz w:val="23"/>
          <w:szCs w:val="23"/>
        </w:rPr>
        <w:t>Central Elden Walkability Improvements, Town of Herndon</w:t>
      </w:r>
    </w:p>
    <w:p w14:paraId="682D420D" w14:textId="07934C4C" w:rsidR="002C327F" w:rsidRPr="002C327F" w:rsidRDefault="002C327F" w:rsidP="002C327F">
      <w:pPr>
        <w:pStyle w:val="BodyText"/>
        <w:rPr>
          <w:i/>
          <w:iCs/>
          <w:sz w:val="23"/>
          <w:szCs w:val="23"/>
        </w:rPr>
      </w:pPr>
      <w:r w:rsidRPr="002C327F">
        <w:rPr>
          <w:i/>
          <w:iCs/>
          <w:sz w:val="23"/>
          <w:szCs w:val="23"/>
        </w:rPr>
        <w:t xml:space="preserve">$1,011,908 </w:t>
      </w:r>
    </w:p>
    <w:p w14:paraId="34C0C9D3" w14:textId="22E08F7B" w:rsidR="002C327F" w:rsidRPr="002C327F" w:rsidRDefault="002C327F" w:rsidP="002C327F">
      <w:pPr>
        <w:pStyle w:val="Default"/>
        <w:rPr>
          <w:rFonts w:eastAsia="Franklin Gothic Book"/>
          <w:color w:val="auto"/>
          <w:sz w:val="23"/>
          <w:szCs w:val="23"/>
          <w:lang w:eastAsia="en-US"/>
        </w:rPr>
      </w:pPr>
      <w:r w:rsidRPr="002C327F">
        <w:rPr>
          <w:rFonts w:eastAsia="Franklin Gothic Book"/>
          <w:color w:val="auto"/>
          <w:sz w:val="23"/>
          <w:szCs w:val="23"/>
          <w:lang w:eastAsia="en-US"/>
        </w:rPr>
        <w:t xml:space="preserve">This project seeks to improve pedestrian safety, accessibility and overall walkability of Central Elden Street between Center Street to the east, and just past School Street to the West, by reducing the existing width of travel lanes and utilizing roadway right of way to increase sidewalk width. The improvements will include reconstruction of the existing sidewalk to a continuous 5’ wide sidewalk with brick pavers, construction of a grass strip between the sidewalk and curb, and the addition of ADA-compliant curb ramps. </w:t>
      </w:r>
      <w:r>
        <w:rPr>
          <w:rFonts w:eastAsia="Franklin Gothic Book"/>
          <w:color w:val="auto"/>
          <w:sz w:val="23"/>
          <w:szCs w:val="23"/>
          <w:lang w:eastAsia="en-US"/>
        </w:rPr>
        <w:t xml:space="preserve">The project is adjacent to the Herndon Activity Center, is within an Equity Emphasis Area, and lies along a Fairfax Connector Bus Service Expansion. </w:t>
      </w:r>
    </w:p>
    <w:p w14:paraId="2EFD4563" w14:textId="77777777" w:rsidR="002C327F" w:rsidRPr="002C327F" w:rsidRDefault="002C327F" w:rsidP="002C327F">
      <w:pPr>
        <w:pStyle w:val="BodyText"/>
        <w:rPr>
          <w:sz w:val="23"/>
          <w:szCs w:val="23"/>
        </w:rPr>
      </w:pPr>
    </w:p>
    <w:p w14:paraId="4C7B9162" w14:textId="3B852E6D" w:rsidR="002C327F" w:rsidRPr="002C327F" w:rsidRDefault="002C327F" w:rsidP="002C327F">
      <w:pPr>
        <w:pStyle w:val="BodyText"/>
        <w:rPr>
          <w:b/>
          <w:bCs/>
          <w:sz w:val="23"/>
          <w:szCs w:val="23"/>
        </w:rPr>
      </w:pPr>
      <w:r w:rsidRPr="002C327F">
        <w:rPr>
          <w:b/>
          <w:bCs/>
          <w:sz w:val="23"/>
          <w:szCs w:val="23"/>
        </w:rPr>
        <w:t>W&amp;OD Trail At-Grade Improvements, Loudoun County</w:t>
      </w:r>
    </w:p>
    <w:p w14:paraId="2B4BD9D2" w14:textId="7F52CC8F" w:rsidR="002C327F" w:rsidRPr="002C327F" w:rsidRDefault="002C327F" w:rsidP="002C327F">
      <w:pPr>
        <w:pStyle w:val="BodyText"/>
        <w:rPr>
          <w:i/>
          <w:iCs/>
          <w:sz w:val="23"/>
          <w:szCs w:val="23"/>
        </w:rPr>
      </w:pPr>
      <w:r w:rsidRPr="002C327F">
        <w:rPr>
          <w:i/>
          <w:iCs/>
          <w:sz w:val="23"/>
          <w:szCs w:val="23"/>
        </w:rPr>
        <w:t xml:space="preserve">$1,157,162 </w:t>
      </w:r>
    </w:p>
    <w:p w14:paraId="6CC7E022" w14:textId="1C84020F" w:rsidR="002C327F" w:rsidRPr="002C327F" w:rsidRDefault="002C327F" w:rsidP="002C327F">
      <w:pPr>
        <w:pStyle w:val="3Paragraph"/>
        <w:rPr>
          <w:rFonts w:eastAsia="Franklin Gothic Book" w:cs="Franklin Gothic Book"/>
          <w:color w:val="auto"/>
          <w:sz w:val="23"/>
          <w:szCs w:val="23"/>
          <w:lang w:eastAsia="en-US"/>
        </w:rPr>
      </w:pPr>
      <w:r w:rsidRPr="002C327F">
        <w:rPr>
          <w:rFonts w:eastAsia="Franklin Gothic Book" w:cs="Franklin Gothic Book"/>
          <w:color w:val="auto"/>
          <w:sz w:val="23"/>
          <w:szCs w:val="23"/>
          <w:lang w:eastAsia="en-US"/>
        </w:rPr>
        <w:t xml:space="preserve">Loudoun County </w:t>
      </w:r>
      <w:r>
        <w:rPr>
          <w:rFonts w:eastAsia="Franklin Gothic Book" w:cs="Franklin Gothic Book"/>
          <w:color w:val="auto"/>
          <w:sz w:val="23"/>
          <w:szCs w:val="23"/>
          <w:lang w:eastAsia="en-US"/>
        </w:rPr>
        <w:t xml:space="preserve">in 2017 </w:t>
      </w:r>
      <w:r w:rsidRPr="002C327F">
        <w:rPr>
          <w:rFonts w:eastAsia="Franklin Gothic Book" w:cs="Franklin Gothic Book"/>
          <w:color w:val="auto"/>
          <w:sz w:val="23"/>
          <w:szCs w:val="23"/>
          <w:lang w:eastAsia="en-US"/>
        </w:rPr>
        <w:t>evaluated 23 miles of the W&amp;OD Trail. Safety improvements are recommended at crossings with a history</w:t>
      </w:r>
      <w:r>
        <w:rPr>
          <w:rFonts w:eastAsia="Franklin Gothic Book" w:cs="Franklin Gothic Book"/>
          <w:color w:val="auto"/>
          <w:sz w:val="23"/>
          <w:szCs w:val="23"/>
          <w:lang w:eastAsia="en-US"/>
        </w:rPr>
        <w:t xml:space="preserve"> of</w:t>
      </w:r>
      <w:r w:rsidRPr="002C327F">
        <w:rPr>
          <w:rFonts w:eastAsia="Franklin Gothic Book" w:cs="Franklin Gothic Book"/>
          <w:color w:val="auto"/>
          <w:sz w:val="23"/>
          <w:szCs w:val="23"/>
          <w:lang w:eastAsia="en-US"/>
        </w:rPr>
        <w:t xml:space="preserve"> crash</w:t>
      </w:r>
      <w:r>
        <w:rPr>
          <w:rFonts w:eastAsia="Franklin Gothic Book" w:cs="Franklin Gothic Book"/>
          <w:color w:val="auto"/>
          <w:sz w:val="23"/>
          <w:szCs w:val="23"/>
          <w:lang w:eastAsia="en-US"/>
        </w:rPr>
        <w:t>es</w:t>
      </w:r>
      <w:r w:rsidRPr="002C327F">
        <w:rPr>
          <w:rFonts w:eastAsia="Franklin Gothic Book" w:cs="Franklin Gothic Book"/>
          <w:color w:val="auto"/>
          <w:sz w:val="23"/>
          <w:szCs w:val="23"/>
          <w:lang w:eastAsia="en-US"/>
        </w:rPr>
        <w:t xml:space="preserve"> or locations that </w:t>
      </w:r>
      <w:r>
        <w:rPr>
          <w:rFonts w:eastAsia="Franklin Gothic Book" w:cs="Franklin Gothic Book"/>
          <w:color w:val="auto"/>
          <w:sz w:val="23"/>
          <w:szCs w:val="23"/>
          <w:lang w:eastAsia="en-US"/>
        </w:rPr>
        <w:t>intersect with</w:t>
      </w:r>
      <w:r w:rsidRPr="002C327F">
        <w:rPr>
          <w:rFonts w:eastAsia="Franklin Gothic Book" w:cs="Franklin Gothic Book"/>
          <w:color w:val="auto"/>
          <w:sz w:val="23"/>
          <w:szCs w:val="23"/>
          <w:lang w:eastAsia="en-US"/>
        </w:rPr>
        <w:t xml:space="preserve"> roads with posted speeds of 35 mph or greater. </w:t>
      </w:r>
      <w:r>
        <w:rPr>
          <w:rFonts w:eastAsia="Franklin Gothic Book" w:cs="Franklin Gothic Book"/>
          <w:color w:val="auto"/>
          <w:sz w:val="23"/>
          <w:szCs w:val="23"/>
          <w:lang w:eastAsia="en-US"/>
        </w:rPr>
        <w:t xml:space="preserve">The study </w:t>
      </w:r>
      <w:r w:rsidRPr="002C327F">
        <w:rPr>
          <w:rFonts w:eastAsia="Franklin Gothic Book" w:cs="Franklin Gothic Book"/>
          <w:color w:val="auto"/>
          <w:sz w:val="23"/>
          <w:szCs w:val="23"/>
          <w:lang w:eastAsia="en-US"/>
        </w:rPr>
        <w:t xml:space="preserve">designated </w:t>
      </w:r>
      <w:r>
        <w:rPr>
          <w:rFonts w:eastAsia="Franklin Gothic Book" w:cs="Franklin Gothic Book"/>
          <w:color w:val="auto"/>
          <w:sz w:val="23"/>
          <w:szCs w:val="23"/>
          <w:lang w:eastAsia="en-US"/>
        </w:rPr>
        <w:t>e</w:t>
      </w:r>
      <w:r w:rsidRPr="002C327F">
        <w:rPr>
          <w:rFonts w:eastAsia="Franklin Gothic Book" w:cs="Franklin Gothic Book"/>
          <w:color w:val="auto"/>
          <w:sz w:val="23"/>
          <w:szCs w:val="23"/>
          <w:lang w:eastAsia="en-US"/>
        </w:rPr>
        <w:t>ight crossing as highest priority, and the TPB selection panel has recommended funding for the top four of these crossings: Ashburn Road ($34,034), Hirst Road ($544.547), Smith Switch Road ($544.547), and North Hatcher Avenue ($34,034).</w:t>
      </w:r>
      <w:r>
        <w:rPr>
          <w:rFonts w:eastAsia="Franklin Gothic Book" w:cs="Franklin Gothic Book"/>
          <w:color w:val="auto"/>
          <w:sz w:val="23"/>
          <w:szCs w:val="23"/>
          <w:lang w:eastAsia="en-US"/>
        </w:rPr>
        <w:t xml:space="preserve"> Some of the crossings lie in proximity to Activity Centers, Equity Emphasis Areas, and future Silver Line stations. </w:t>
      </w:r>
    </w:p>
    <w:p w14:paraId="63338485" w14:textId="77777777" w:rsidR="002C327F" w:rsidRPr="002C327F" w:rsidRDefault="002C327F" w:rsidP="002C327F">
      <w:pPr>
        <w:pStyle w:val="BodyText"/>
        <w:rPr>
          <w:sz w:val="23"/>
          <w:szCs w:val="23"/>
        </w:rPr>
      </w:pPr>
    </w:p>
    <w:p w14:paraId="31A6AE3D" w14:textId="77777777" w:rsidR="007F343E" w:rsidRDefault="007F343E" w:rsidP="002C327F">
      <w:pPr>
        <w:pStyle w:val="BodyText"/>
        <w:rPr>
          <w:b/>
          <w:bCs/>
          <w:sz w:val="23"/>
          <w:szCs w:val="23"/>
        </w:rPr>
      </w:pPr>
    </w:p>
    <w:p w14:paraId="0DE845A8" w14:textId="77777777" w:rsidR="007F343E" w:rsidRDefault="007F343E" w:rsidP="002C327F">
      <w:pPr>
        <w:pStyle w:val="BodyText"/>
        <w:rPr>
          <w:b/>
          <w:bCs/>
          <w:sz w:val="23"/>
          <w:szCs w:val="23"/>
        </w:rPr>
      </w:pPr>
    </w:p>
    <w:p w14:paraId="7789045F" w14:textId="77777777" w:rsidR="007F343E" w:rsidRDefault="007F343E" w:rsidP="002C327F">
      <w:pPr>
        <w:pStyle w:val="BodyText"/>
        <w:rPr>
          <w:b/>
          <w:bCs/>
          <w:sz w:val="23"/>
          <w:szCs w:val="23"/>
        </w:rPr>
      </w:pPr>
    </w:p>
    <w:p w14:paraId="06B50861" w14:textId="22C4EB71" w:rsidR="002C327F" w:rsidRPr="002C327F" w:rsidRDefault="002C327F" w:rsidP="002C327F">
      <w:pPr>
        <w:pStyle w:val="BodyText"/>
        <w:rPr>
          <w:b/>
          <w:bCs/>
          <w:sz w:val="23"/>
          <w:szCs w:val="23"/>
        </w:rPr>
      </w:pPr>
      <w:r w:rsidRPr="002C327F">
        <w:rPr>
          <w:b/>
          <w:bCs/>
          <w:sz w:val="23"/>
          <w:szCs w:val="23"/>
        </w:rPr>
        <w:lastRenderedPageBreak/>
        <w:t>Wellington Road Shared-Use Path Gap, City of Manassas</w:t>
      </w:r>
    </w:p>
    <w:p w14:paraId="17F012C0" w14:textId="6A0F1354" w:rsidR="002C327F" w:rsidRPr="002C327F" w:rsidRDefault="002C327F" w:rsidP="002C327F">
      <w:pPr>
        <w:pStyle w:val="BodyText"/>
        <w:rPr>
          <w:i/>
          <w:iCs/>
          <w:sz w:val="23"/>
          <w:szCs w:val="23"/>
        </w:rPr>
      </w:pPr>
      <w:r w:rsidRPr="002C327F">
        <w:rPr>
          <w:i/>
          <w:iCs/>
          <w:sz w:val="23"/>
          <w:szCs w:val="23"/>
        </w:rPr>
        <w:t xml:space="preserve">$675,092 </w:t>
      </w:r>
    </w:p>
    <w:p w14:paraId="59F7D7AA" w14:textId="11DA1B95" w:rsidR="002C327F" w:rsidRPr="002C327F" w:rsidRDefault="002C327F" w:rsidP="002C327F">
      <w:pPr>
        <w:widowControl/>
        <w:adjustRightInd w:val="0"/>
        <w:rPr>
          <w:sz w:val="23"/>
          <w:szCs w:val="23"/>
        </w:rPr>
      </w:pPr>
      <w:r w:rsidRPr="002C327F">
        <w:rPr>
          <w:sz w:val="23"/>
          <w:szCs w:val="23"/>
        </w:rPr>
        <w:t>Design and construction of 0.35-mile section of the Wellington shared-used path between Nokesville Road and Prince William Street will provide a safe connection over railroad tracks and complete the Wellington Road Shared Use path with an overall length of 3.6 miles. Completion of the trail will provide ped/bike access to schools and parks, the VRE station</w:t>
      </w:r>
      <w:r>
        <w:rPr>
          <w:sz w:val="23"/>
          <w:szCs w:val="23"/>
        </w:rPr>
        <w:t xml:space="preserve">, and downtown </w:t>
      </w:r>
      <w:r w:rsidRPr="002C327F">
        <w:rPr>
          <w:sz w:val="23"/>
          <w:szCs w:val="23"/>
        </w:rPr>
        <w:t>Manassas</w:t>
      </w:r>
      <w:r>
        <w:rPr>
          <w:sz w:val="23"/>
          <w:szCs w:val="23"/>
        </w:rPr>
        <w:t xml:space="preserve"> (a regional Activity Center)</w:t>
      </w:r>
      <w:r w:rsidRPr="002C327F">
        <w:rPr>
          <w:sz w:val="23"/>
          <w:szCs w:val="23"/>
        </w:rPr>
        <w:t xml:space="preserve">. It will also improve access for low income and minority communities by serving two Equity Emphasis Areas located along Wellington Road. The trail is a component of the draft National Capital Trails Network, which is tentatively scheduled to come before the TPB for approval this spring. </w:t>
      </w:r>
      <w:r>
        <w:rPr>
          <w:sz w:val="23"/>
          <w:szCs w:val="23"/>
        </w:rPr>
        <w:t>Prior planning for this project was funded through the TPB’s Transportation Land-Use Connections (TLC) Program.</w:t>
      </w:r>
    </w:p>
    <w:p w14:paraId="16D43C23" w14:textId="77777777" w:rsidR="002C327F" w:rsidRPr="002C327F" w:rsidRDefault="002C327F" w:rsidP="002C327F">
      <w:pPr>
        <w:pStyle w:val="BodyText"/>
        <w:rPr>
          <w:sz w:val="23"/>
          <w:szCs w:val="23"/>
        </w:rPr>
      </w:pPr>
    </w:p>
    <w:p w14:paraId="788D3DB6" w14:textId="77777777" w:rsidR="002C327F" w:rsidRPr="002C327F" w:rsidRDefault="002C327F" w:rsidP="002C327F">
      <w:pPr>
        <w:pStyle w:val="BodyText"/>
        <w:rPr>
          <w:sz w:val="23"/>
          <w:szCs w:val="23"/>
        </w:rPr>
      </w:pPr>
      <w:r w:rsidRPr="002C327F">
        <w:rPr>
          <w:b/>
          <w:bCs/>
          <w:sz w:val="23"/>
          <w:szCs w:val="23"/>
        </w:rPr>
        <w:t>Old Bridge Rd SW-Oakwood to Forest Hills Sidewalk &amp; Pedestrian Improvements, Prince William County</w:t>
      </w:r>
      <w:r w:rsidRPr="002C327F">
        <w:rPr>
          <w:sz w:val="23"/>
          <w:szCs w:val="23"/>
        </w:rPr>
        <w:tab/>
      </w:r>
    </w:p>
    <w:p w14:paraId="700C11D6" w14:textId="6713BB7E" w:rsidR="002C327F" w:rsidRPr="002C327F" w:rsidRDefault="002C327F" w:rsidP="002C327F">
      <w:pPr>
        <w:pStyle w:val="BodyText"/>
        <w:rPr>
          <w:i/>
          <w:iCs/>
          <w:sz w:val="23"/>
          <w:szCs w:val="23"/>
        </w:rPr>
      </w:pPr>
      <w:r w:rsidRPr="002C327F">
        <w:rPr>
          <w:i/>
          <w:iCs/>
          <w:sz w:val="23"/>
          <w:szCs w:val="23"/>
        </w:rPr>
        <w:t xml:space="preserve">$1,360,000 </w:t>
      </w:r>
    </w:p>
    <w:p w14:paraId="39AC3F55" w14:textId="67A2F74C" w:rsidR="002C327F" w:rsidRPr="002C327F" w:rsidRDefault="002C327F" w:rsidP="002C327F">
      <w:pPr>
        <w:widowControl/>
        <w:adjustRightInd w:val="0"/>
        <w:rPr>
          <w:sz w:val="23"/>
          <w:szCs w:val="23"/>
        </w:rPr>
      </w:pPr>
      <w:r w:rsidRPr="002C327F">
        <w:rPr>
          <w:sz w:val="23"/>
          <w:szCs w:val="23"/>
        </w:rPr>
        <w:t xml:space="preserve">The proposed project will include the design and construction of a sidewalk along the north side of Old Bridge Road (Route 641) from Oakwood Drive (Route 2150) to Forest Hill Road (Route 2183). The proposed project involves the construction of approximately 700 feet of sidewalk along the north side of Old Bridge Road. </w:t>
      </w:r>
      <w:r>
        <w:rPr>
          <w:sz w:val="23"/>
          <w:szCs w:val="23"/>
        </w:rPr>
        <w:t xml:space="preserve">The project is in proximity to two Equity Emphasis Areas and is a half mile from the Woodbridge Regional Activity Center. </w:t>
      </w:r>
    </w:p>
    <w:p w14:paraId="7B0CB420" w14:textId="77777777" w:rsidR="002C327F" w:rsidRPr="002C327F" w:rsidRDefault="002C327F" w:rsidP="002C327F">
      <w:pPr>
        <w:pStyle w:val="BodyText"/>
        <w:rPr>
          <w:sz w:val="23"/>
          <w:szCs w:val="23"/>
        </w:rPr>
      </w:pPr>
    </w:p>
    <w:p w14:paraId="3E6169AB" w14:textId="3A1F93DF" w:rsidR="002C327F" w:rsidRPr="002C327F" w:rsidRDefault="002C327F" w:rsidP="002C327F">
      <w:pPr>
        <w:pStyle w:val="BodyText"/>
        <w:rPr>
          <w:b/>
          <w:bCs/>
          <w:sz w:val="23"/>
          <w:szCs w:val="23"/>
        </w:rPr>
      </w:pPr>
      <w:r w:rsidRPr="002C327F">
        <w:rPr>
          <w:b/>
          <w:bCs/>
          <w:sz w:val="23"/>
          <w:szCs w:val="23"/>
        </w:rPr>
        <w:t>Timber Fence Trail - Phase II, Town of Warrenton</w:t>
      </w:r>
    </w:p>
    <w:p w14:paraId="1A152087" w14:textId="1A07F57D" w:rsidR="002C327F" w:rsidRPr="002C327F" w:rsidRDefault="002C327F" w:rsidP="002C327F">
      <w:pPr>
        <w:pStyle w:val="BodyText"/>
        <w:rPr>
          <w:i/>
          <w:iCs/>
          <w:sz w:val="23"/>
          <w:szCs w:val="23"/>
        </w:rPr>
      </w:pPr>
      <w:r w:rsidRPr="002C327F">
        <w:rPr>
          <w:i/>
          <w:iCs/>
          <w:sz w:val="23"/>
          <w:szCs w:val="23"/>
        </w:rPr>
        <w:t xml:space="preserve">$407,112 </w:t>
      </w:r>
    </w:p>
    <w:p w14:paraId="5800E5FE" w14:textId="7AE2D5DF" w:rsidR="002C327F" w:rsidRPr="002C327F" w:rsidRDefault="002C327F" w:rsidP="002C327F">
      <w:pPr>
        <w:widowControl/>
        <w:adjustRightInd w:val="0"/>
        <w:rPr>
          <w:sz w:val="23"/>
          <w:szCs w:val="23"/>
        </w:rPr>
      </w:pPr>
      <w:r w:rsidRPr="002C327F">
        <w:rPr>
          <w:sz w:val="23"/>
          <w:szCs w:val="23"/>
        </w:rPr>
        <w:t>Managed by the Town of Warrenton, the proposed multi-use trail is a cooperative venture between the Town of Warrenton and Fauquier County Government. The Timber Fence Trail will provide at walkable, bikeable, alternative for citizens. Timber Fence Multi</w:t>
      </w:r>
      <w:r>
        <w:rPr>
          <w:sz w:val="23"/>
          <w:szCs w:val="23"/>
        </w:rPr>
        <w:t>-</w:t>
      </w:r>
      <w:r w:rsidRPr="002C327F">
        <w:rPr>
          <w:sz w:val="23"/>
          <w:szCs w:val="23"/>
        </w:rPr>
        <w:t>Use Trail connection falls within eligible Transportation Alternatives by providing at 10' off-road trail with 2' shoulders. When completed, the multi-use trail will provide a crucial link in an existing larger trail system. Segment 2 will connect a local park, through adjacent neighborhoods, to the regional aquatic and recreation</w:t>
      </w:r>
      <w:r>
        <w:rPr>
          <w:sz w:val="23"/>
          <w:szCs w:val="23"/>
        </w:rPr>
        <w:t xml:space="preserve"> </w:t>
      </w:r>
      <w:r w:rsidRPr="002C327F">
        <w:rPr>
          <w:sz w:val="23"/>
          <w:szCs w:val="23"/>
        </w:rPr>
        <w:t>facility.</w:t>
      </w:r>
    </w:p>
    <w:p w14:paraId="0C2FAE67" w14:textId="1C425227" w:rsidR="002C327F" w:rsidRPr="002C327F" w:rsidRDefault="002C327F" w:rsidP="002C327F">
      <w:pPr>
        <w:pStyle w:val="3Paragraph"/>
        <w:rPr>
          <w:rFonts w:eastAsia="Franklin Gothic Book" w:cs="Franklin Gothic Book"/>
          <w:color w:val="auto"/>
          <w:sz w:val="23"/>
          <w:szCs w:val="23"/>
          <w:lang w:eastAsia="en-US"/>
        </w:rPr>
      </w:pPr>
    </w:p>
    <w:p w14:paraId="6ABE8FA8" w14:textId="0987CCE6" w:rsidR="00226CE1" w:rsidRPr="00C3166B" w:rsidRDefault="00226CE1" w:rsidP="00226CE1">
      <w:pPr>
        <w:pStyle w:val="2Subhead"/>
      </w:pPr>
      <w:r w:rsidRPr="00C3166B">
        <w:t xml:space="preserve">Next Steps </w:t>
      </w:r>
    </w:p>
    <w:p w14:paraId="2B9A112D" w14:textId="77777777" w:rsidR="00226CE1" w:rsidRPr="009E64C2" w:rsidRDefault="00226CE1" w:rsidP="00226CE1">
      <w:pPr>
        <w:tabs>
          <w:tab w:val="left" w:pos="90"/>
          <w:tab w:val="left" w:pos="10080"/>
        </w:tabs>
        <w:rPr>
          <w:bCs/>
          <w:sz w:val="23"/>
          <w:szCs w:val="23"/>
        </w:rPr>
      </w:pPr>
    </w:p>
    <w:p w14:paraId="73A2FBED" w14:textId="77777777" w:rsidR="004D2BBF" w:rsidRDefault="004D2BBF" w:rsidP="004301DD">
      <w:pPr>
        <w:pStyle w:val="3Paragraph"/>
      </w:pPr>
      <w:r>
        <w:t xml:space="preserve">The TPB will be asked to approve the selection panel’s recommendations </w:t>
      </w:r>
      <w:r w:rsidRPr="00C3166B">
        <w:t xml:space="preserve">on </w:t>
      </w:r>
      <w:r>
        <w:t>February 19</w:t>
      </w:r>
      <w:r w:rsidRPr="00C3166B">
        <w:t xml:space="preserve">, </w:t>
      </w:r>
      <w:r>
        <w:t xml:space="preserve">2020. Following the board’s action, </w:t>
      </w:r>
      <w:r w:rsidR="004301DD" w:rsidRPr="00C3166B">
        <w:t xml:space="preserve">TPB staff will forward information regarding the </w:t>
      </w:r>
      <w:r w:rsidR="004301DD">
        <w:t xml:space="preserve">approved </w:t>
      </w:r>
      <w:r w:rsidR="004301DD" w:rsidRPr="00C3166B">
        <w:t>projects to VDOT for inclusion in the Commonwealth’s Six Year Improvement P</w:t>
      </w:r>
      <w:r w:rsidR="009D76EB">
        <w:t>rogram (SYIP)</w:t>
      </w:r>
      <w:r w:rsidR="004301DD" w:rsidRPr="00C3166B">
        <w:t xml:space="preserve"> for Transportation. </w:t>
      </w:r>
    </w:p>
    <w:p w14:paraId="11854EEF" w14:textId="77777777" w:rsidR="004D2BBF" w:rsidRDefault="004D2BBF" w:rsidP="004301DD">
      <w:pPr>
        <w:pStyle w:val="3Paragraph"/>
      </w:pPr>
    </w:p>
    <w:p w14:paraId="1746BB0E" w14:textId="4EA7AC2E" w:rsidR="00E56A76" w:rsidRDefault="00E56A76" w:rsidP="004301DD">
      <w:pPr>
        <w:pStyle w:val="3Paragraph"/>
      </w:pPr>
      <w:r>
        <w:t>At its meeting on February 20, t</w:t>
      </w:r>
      <w:r w:rsidR="004301DD" w:rsidRPr="00C3166B">
        <w:t xml:space="preserve">he CTB will consider </w:t>
      </w:r>
      <w:r w:rsidR="004301DD">
        <w:t xml:space="preserve">whether to award </w:t>
      </w:r>
      <w:r w:rsidR="004301DD" w:rsidRPr="00C3166B">
        <w:t>funding</w:t>
      </w:r>
      <w:r w:rsidR="004301DD">
        <w:t>,</w:t>
      </w:r>
      <w:r w:rsidR="004301DD" w:rsidRPr="00C3166B">
        <w:t xml:space="preserve"> </w:t>
      </w:r>
      <w:r w:rsidR="004301DD">
        <w:t xml:space="preserve">using </w:t>
      </w:r>
      <w:r w:rsidR="004301DD" w:rsidRPr="00C3166B">
        <w:t xml:space="preserve">the statewide </w:t>
      </w:r>
      <w:r w:rsidR="004301DD">
        <w:t>TA</w:t>
      </w:r>
      <w:r w:rsidR="004301DD" w:rsidRPr="00C3166B">
        <w:t xml:space="preserve"> </w:t>
      </w:r>
      <w:r w:rsidR="00F455B7">
        <w:t>Set-Aside</w:t>
      </w:r>
      <w:r w:rsidR="004301DD">
        <w:t xml:space="preserve"> funds, to </w:t>
      </w:r>
      <w:r w:rsidR="004301DD" w:rsidRPr="00C3166B">
        <w:t xml:space="preserve">the remaining Northern Virginia </w:t>
      </w:r>
      <w:r w:rsidR="004301DD">
        <w:t xml:space="preserve">applications. </w:t>
      </w:r>
    </w:p>
    <w:p w14:paraId="251D5817" w14:textId="77777777" w:rsidR="00E56A76" w:rsidRDefault="00E56A76" w:rsidP="004301DD">
      <w:pPr>
        <w:pStyle w:val="3Paragraph"/>
      </w:pPr>
    </w:p>
    <w:p w14:paraId="293EF360" w14:textId="0F82B9C4" w:rsidR="004301DD" w:rsidRPr="00C3166B" w:rsidRDefault="004301DD" w:rsidP="004301DD">
      <w:pPr>
        <w:pStyle w:val="3Paragraph"/>
      </w:pPr>
      <w:r w:rsidRPr="00C3166B">
        <w:t>Once all selections are finalized, VDOT staff will work with applicants to administer funding.</w:t>
      </w:r>
      <w:r>
        <w:t xml:space="preserve"> </w:t>
      </w:r>
    </w:p>
    <w:p w14:paraId="6F0B6DD5" w14:textId="77777777" w:rsidR="004301DD" w:rsidRPr="00C3166B" w:rsidRDefault="004301DD" w:rsidP="004301DD">
      <w:pPr>
        <w:pStyle w:val="3Paragraph"/>
      </w:pPr>
    </w:p>
    <w:p w14:paraId="3738343A" w14:textId="12455612" w:rsidR="00CF1F83" w:rsidRDefault="00CF1F83">
      <w:pPr>
        <w:widowControl/>
        <w:autoSpaceDE/>
        <w:autoSpaceDN/>
        <w:rPr>
          <w:rFonts w:eastAsiaTheme="minorEastAsia" w:cstheme="minorBidi"/>
          <w:lang w:eastAsia="ja-JP"/>
        </w:rPr>
      </w:pPr>
      <w:r>
        <w:rPr>
          <w:rFonts w:cstheme="minorBidi"/>
        </w:rPr>
        <w:br w:type="page"/>
      </w:r>
    </w:p>
    <w:p w14:paraId="3B42DB43" w14:textId="4DCB5135" w:rsidR="00CF1F83" w:rsidRPr="00CF1F83" w:rsidRDefault="00CF1F83" w:rsidP="00CF1F83">
      <w:pPr>
        <w:pStyle w:val="3Paragraph"/>
        <w:jc w:val="center"/>
        <w:rPr>
          <w:b/>
          <w:bCs/>
          <w:sz w:val="20"/>
          <w:szCs w:val="20"/>
        </w:rPr>
      </w:pPr>
      <w:r w:rsidRPr="00CF1F83">
        <w:rPr>
          <w:b/>
          <w:bCs/>
          <w:sz w:val="20"/>
          <w:szCs w:val="20"/>
        </w:rPr>
        <w:lastRenderedPageBreak/>
        <w:t xml:space="preserve">FY 2021-2022 Applications </w:t>
      </w:r>
      <w:r w:rsidR="00545E14">
        <w:rPr>
          <w:b/>
          <w:bCs/>
          <w:sz w:val="20"/>
          <w:szCs w:val="20"/>
        </w:rPr>
        <w:t xml:space="preserve">and Funding Recommendations </w:t>
      </w:r>
      <w:r w:rsidRPr="00CF1F83">
        <w:rPr>
          <w:b/>
          <w:bCs/>
          <w:sz w:val="20"/>
          <w:szCs w:val="20"/>
        </w:rPr>
        <w:t xml:space="preserve">for the </w:t>
      </w:r>
    </w:p>
    <w:p w14:paraId="5A41A5F9" w14:textId="0EE25C41" w:rsidR="00CF1F83" w:rsidRPr="00CF1F83" w:rsidRDefault="00CF1F83" w:rsidP="00CF1F83">
      <w:pPr>
        <w:pStyle w:val="3Paragraph"/>
        <w:jc w:val="center"/>
        <w:rPr>
          <w:b/>
          <w:bCs/>
          <w:sz w:val="20"/>
          <w:szCs w:val="20"/>
        </w:rPr>
      </w:pPr>
      <w:r w:rsidRPr="00CF1F83">
        <w:rPr>
          <w:b/>
          <w:bCs/>
          <w:sz w:val="20"/>
          <w:szCs w:val="20"/>
        </w:rPr>
        <w:t>Transportation Alternatives Set-Aside Program in Northern Virginia</w:t>
      </w:r>
    </w:p>
    <w:p w14:paraId="1CF9E4F5" w14:textId="77777777" w:rsidR="00CF1F83" w:rsidRDefault="00CF1F83" w:rsidP="00CF1F83">
      <w:pPr>
        <w:pStyle w:val="3Paragraph"/>
        <w:jc w:val="center"/>
      </w:pPr>
    </w:p>
    <w:p w14:paraId="6BC03BEE" w14:textId="2229816D" w:rsidR="00CF1F83" w:rsidRDefault="00545E14" w:rsidP="00D035D2">
      <w:pPr>
        <w:pStyle w:val="3Paragraph"/>
        <w:ind w:left="540"/>
        <w:rPr>
          <w:rFonts w:cstheme="minorBidi"/>
          <w:color w:val="auto"/>
        </w:rPr>
      </w:pPr>
      <w:r w:rsidRPr="00545E14">
        <w:rPr>
          <w:noProof/>
        </w:rPr>
        <w:drawing>
          <wp:inline distT="0" distB="0" distL="0" distR="0" wp14:anchorId="5FD5670D" wp14:editId="1B1F07BE">
            <wp:extent cx="5547360" cy="727130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48517" cy="7272825"/>
                    </a:xfrm>
                    <a:prstGeom prst="rect">
                      <a:avLst/>
                    </a:prstGeom>
                    <a:noFill/>
                    <a:ln>
                      <a:noFill/>
                    </a:ln>
                  </pic:spPr>
                </pic:pic>
              </a:graphicData>
            </a:graphic>
          </wp:inline>
        </w:drawing>
      </w:r>
    </w:p>
    <w:sectPr w:rsidR="00CF1F83" w:rsidSect="001435E4">
      <w:headerReference w:type="even" r:id="rId10"/>
      <w:headerReference w:type="default" r:id="rId11"/>
      <w:footerReference w:type="even" r:id="rId12"/>
      <w:footerReference w:type="default" r:id="rId13"/>
      <w:headerReference w:type="first" r:id="rId14"/>
      <w:footerReference w:type="first" r:id="rId15"/>
      <w:type w:val="continuous"/>
      <w:pgSz w:w="12240" w:h="15840"/>
      <w:pgMar w:top="2160" w:right="1440" w:bottom="1440"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FF2BF3" w14:textId="77777777" w:rsidR="00061D88" w:rsidRDefault="00061D88" w:rsidP="00143CE3">
      <w:r>
        <w:separator/>
      </w:r>
    </w:p>
    <w:p w14:paraId="134608E2" w14:textId="77777777" w:rsidR="00061D88" w:rsidRDefault="00061D88"/>
    <w:p w14:paraId="00CF8678" w14:textId="77777777" w:rsidR="00061D88" w:rsidRDefault="00061D88"/>
    <w:p w14:paraId="34665E32" w14:textId="77777777" w:rsidR="00061D88" w:rsidRDefault="00061D88"/>
  </w:endnote>
  <w:endnote w:type="continuationSeparator" w:id="0">
    <w:p w14:paraId="4D7829DE" w14:textId="77777777" w:rsidR="00061D88" w:rsidRDefault="00061D88" w:rsidP="00143CE3">
      <w:r>
        <w:continuationSeparator/>
      </w:r>
    </w:p>
    <w:p w14:paraId="15EB0C1B" w14:textId="77777777" w:rsidR="00061D88" w:rsidRDefault="00061D88"/>
    <w:p w14:paraId="753C3535" w14:textId="77777777" w:rsidR="00061D88" w:rsidRDefault="00061D88"/>
    <w:p w14:paraId="21D22472" w14:textId="77777777" w:rsidR="00061D88" w:rsidRDefault="00061D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TCFranklinGothicStd-Book">
    <w:altName w:val="Calibri"/>
    <w:panose1 w:val="00000000000000000000"/>
    <w:charset w:val="4D"/>
    <w:family w:val="auto"/>
    <w:notTrueType/>
    <w:pitch w:val="default"/>
    <w:sig w:usb0="00000003" w:usb1="00000000" w:usb2="00000000" w:usb3="00000000" w:csb0="00000001" w:csb1="00000000"/>
  </w:font>
  <w:font w:name="Franklin Gothic Medium">
    <w:altName w:val="Franklin Gothic Medium"/>
    <w:panose1 w:val="020B0603020102020204"/>
    <w:charset w:val="00"/>
    <w:family w:val="swiss"/>
    <w:pitch w:val="variable"/>
    <w:sig w:usb0="00000287" w:usb1="00000000" w:usb2="00000000" w:usb3="00000000" w:csb0="0000009F" w:csb1="00000000"/>
  </w:font>
  <w:font w:name="ITCFranklinGothicStd-Hvy">
    <w:altName w:val="Calibri"/>
    <w:panose1 w:val="00000000000000000000"/>
    <w:charset w:val="4D"/>
    <w:family w:val="auto"/>
    <w:notTrueType/>
    <w:pitch w:val="default"/>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Franklin Gothic Demi">
    <w:panose1 w:val="020B0703020102020204"/>
    <w:charset w:val="00"/>
    <w:family w:val="swiss"/>
    <w:pitch w:val="variable"/>
    <w:sig w:usb0="00000287" w:usb1="00000000" w:usb2="00000000" w:usb3="00000000" w:csb0="0000009F" w:csb1="00000000"/>
  </w:font>
  <w:font w:name="ITC Franklin Gothic Std Book">
    <w:altName w:val="Segoe Script"/>
    <w:charset w:val="00"/>
    <w:family w:val="auto"/>
    <w:pitch w:val="variable"/>
    <w:sig w:usb0="00000003"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E6361" w14:textId="77777777" w:rsidR="008827BA" w:rsidRDefault="008827BA" w:rsidP="00CB1397">
    <w:pP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BB74B2A" w14:textId="77777777" w:rsidR="008827BA" w:rsidRDefault="001450B6" w:rsidP="00CB1397">
    <w:sdt>
      <w:sdtPr>
        <w:id w:val="692428212"/>
        <w:temporary/>
        <w:showingPlcHdr/>
      </w:sdtPr>
      <w:sdtEndPr/>
      <w:sdtContent>
        <w:r w:rsidR="008827BA">
          <w:t>[Type text]</w:t>
        </w:r>
      </w:sdtContent>
    </w:sdt>
    <w:r w:rsidR="008827BA">
      <w:ptab w:relativeTo="margin" w:alignment="center" w:leader="none"/>
    </w:r>
    <w:sdt>
      <w:sdtPr>
        <w:id w:val="1691183484"/>
        <w:temporary/>
        <w:showingPlcHdr/>
      </w:sdtPr>
      <w:sdtEndPr/>
      <w:sdtContent>
        <w:r w:rsidR="008827BA">
          <w:t>[Type text]</w:t>
        </w:r>
      </w:sdtContent>
    </w:sdt>
    <w:r w:rsidR="008827BA">
      <w:ptab w:relativeTo="margin" w:alignment="right" w:leader="none"/>
    </w:r>
    <w:sdt>
      <w:sdtPr>
        <w:id w:val="223339393"/>
        <w:temporary/>
        <w:showingPlcHdr/>
      </w:sdtPr>
      <w:sdtEndPr/>
      <w:sdtContent>
        <w:r w:rsidR="008827BA">
          <w:t>[Type text]</w:t>
        </w:r>
      </w:sdtContent>
    </w:sdt>
  </w:p>
  <w:p w14:paraId="21CB7CAD" w14:textId="77777777" w:rsidR="008827BA" w:rsidRDefault="008827BA"/>
  <w:p w14:paraId="167ABA56" w14:textId="77777777" w:rsidR="008827BA" w:rsidRDefault="008827BA"/>
  <w:p w14:paraId="7D4B45A3" w14:textId="77777777" w:rsidR="008827BA" w:rsidRDefault="008827BA"/>
  <w:p w14:paraId="4BBB7A98" w14:textId="77777777" w:rsidR="00EA16CC" w:rsidRDefault="00EA16C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DB577" w14:textId="15F1C2AA" w:rsidR="0042389A" w:rsidRPr="00C12156" w:rsidRDefault="0042389A" w:rsidP="00990013">
    <w:pPr>
      <w:framePr w:w="432" w:wrap="around" w:vAnchor="text" w:hAnchor="page" w:x="10715" w:y="1"/>
      <w:spacing w:before="100" w:beforeAutospacing="1"/>
      <w:rPr>
        <w:rStyle w:val="TPB-PAGENUMBER"/>
      </w:rPr>
    </w:pPr>
    <w:r w:rsidRPr="00C12156">
      <w:rPr>
        <w:rStyle w:val="TPB-PAGENUMBER"/>
      </w:rPr>
      <w:fldChar w:fldCharType="begin"/>
    </w:r>
    <w:r w:rsidRPr="00C12156">
      <w:rPr>
        <w:rStyle w:val="TPB-PAGENUMBER"/>
      </w:rPr>
      <w:instrText xml:space="preserve">PAGE  </w:instrText>
    </w:r>
    <w:r w:rsidRPr="00C12156">
      <w:rPr>
        <w:rStyle w:val="TPB-PAGENUMBER"/>
      </w:rPr>
      <w:fldChar w:fldCharType="separate"/>
    </w:r>
    <w:r w:rsidR="00CE5534">
      <w:rPr>
        <w:rStyle w:val="TPB-PAGENUMBER"/>
        <w:noProof/>
      </w:rPr>
      <w:t>4</w:t>
    </w:r>
    <w:r w:rsidRPr="00C12156">
      <w:rPr>
        <w:rStyle w:val="TPB-PAGENUMBER"/>
      </w:rPr>
      <w:fldChar w:fldCharType="end"/>
    </w:r>
  </w:p>
  <w:p w14:paraId="5997517F" w14:textId="77777777" w:rsidR="008827BA" w:rsidRPr="0042389A" w:rsidRDefault="0042389A" w:rsidP="0042389A">
    <w:pPr>
      <w:tabs>
        <w:tab w:val="left" w:pos="6915"/>
        <w:tab w:val="right" w:pos="9000"/>
      </w:tabs>
      <w:spacing w:line="240" w:lineRule="exact"/>
      <w:ind w:right="360"/>
      <w:rPr>
        <w:rFonts w:ascii="ITC Franklin Gothic Std Book" w:hAnsi="ITC Franklin Gothic Std Book"/>
        <w:color w:val="004F7C"/>
        <w:sz w:val="14"/>
        <w:szCs w:val="14"/>
      </w:rPr>
    </w:pPr>
    <w:r>
      <w:rPr>
        <w:rFonts w:ascii="ITC Franklin Gothic Std Book" w:hAnsi="ITC Franklin Gothic Std Book"/>
        <w:color w:val="004F7C"/>
        <w:sz w:val="14"/>
        <w:szCs w:val="14"/>
      </w:rPr>
      <w:tab/>
    </w:r>
    <w:r>
      <w:rPr>
        <w:rFonts w:ascii="ITC Franklin Gothic Std Book" w:hAnsi="ITC Franklin Gothic Std Book"/>
        <w:color w:val="004F7C"/>
        <w:sz w:val="14"/>
        <w:szCs w:val="14"/>
      </w:rPr>
      <w:tab/>
    </w:r>
    <w:r w:rsidRPr="008075C6">
      <w:rPr>
        <w:rFonts w:ascii="ITC Franklin Gothic Std Book" w:hAnsi="ITC Franklin Gothic Std Book"/>
        <w:noProof/>
        <w:color w:val="004F7C"/>
        <w:sz w:val="14"/>
        <w:szCs w:val="14"/>
      </w:rPr>
      <w:drawing>
        <wp:anchor distT="0" distB="0" distL="114300" distR="114300" simplePos="0" relativeHeight="251659264" behindDoc="0" locked="1" layoutInCell="1" allowOverlap="1" wp14:anchorId="49FB7DB7" wp14:editId="5012A282">
          <wp:simplePos x="0" y="0"/>
          <wp:positionH relativeFrom="column">
            <wp:posOffset>5502910</wp:posOffset>
          </wp:positionH>
          <wp:positionV relativeFrom="paragraph">
            <wp:posOffset>-90805</wp:posOffset>
          </wp:positionV>
          <wp:extent cx="335280" cy="2863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COG-logo mark-line-RGB-01.png"/>
                  <pic:cNvPicPr/>
                </pic:nvPicPr>
                <pic:blipFill>
                  <a:blip r:embed="rId1">
                    <a:extLst>
                      <a:ext uri="{28A0092B-C50C-407E-A947-70E740481C1C}">
                        <a14:useLocalDpi xmlns:a14="http://schemas.microsoft.com/office/drawing/2010/main" val="0"/>
                      </a:ext>
                    </a:extLst>
                  </a:blip>
                  <a:stretch>
                    <a:fillRect/>
                  </a:stretch>
                </pic:blipFill>
                <pic:spPr>
                  <a:xfrm>
                    <a:off x="0" y="0"/>
                    <a:ext cx="335280" cy="286385"/>
                  </a:xfrm>
                  <a:prstGeom prst="rect">
                    <a:avLst/>
                  </a:prstGeom>
                </pic:spPr>
              </pic:pic>
            </a:graphicData>
          </a:graphic>
          <wp14:sizeRelH relativeFrom="page">
            <wp14:pctWidth>0</wp14:pctWidth>
          </wp14:sizeRelH>
          <wp14:sizeRelV relativeFrom="page">
            <wp14:pctHeight>0</wp14:pctHeight>
          </wp14:sizeRelV>
        </wp:anchor>
      </w:drawing>
    </w:r>
  </w:p>
  <w:p w14:paraId="1D1E68FA" w14:textId="77777777" w:rsidR="00EA16CC" w:rsidRDefault="00EA16C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35AFC" w14:textId="77777777" w:rsidR="00CC6C32" w:rsidRDefault="00CC6C32" w:rsidP="00CC6C32">
    <w:pPr>
      <w:spacing w:line="240" w:lineRule="exact"/>
      <w:jc w:val="center"/>
      <w:rPr>
        <w:rFonts w:ascii="Franklin Gothic Medium" w:hAnsi="Franklin Gothic Medium"/>
        <w:color w:val="004F7C"/>
        <w:sz w:val="16"/>
        <w:szCs w:val="16"/>
      </w:rPr>
    </w:pPr>
    <w:r>
      <w:rPr>
        <w:rFonts w:ascii="Franklin Gothic Medium" w:hAnsi="Franklin Gothic Medium"/>
        <w:color w:val="004F7C"/>
        <w:sz w:val="16"/>
        <w:szCs w:val="16"/>
      </w:rPr>
      <w:t>METROPOLITAN WASHINGTON COUNCIL OF GOVERNMENTS</w:t>
    </w:r>
  </w:p>
  <w:p w14:paraId="38F65442" w14:textId="74248413" w:rsidR="008827BA" w:rsidRPr="00CC6C32" w:rsidRDefault="00CC6C32" w:rsidP="00CC6C32">
    <w:pPr>
      <w:spacing w:line="240" w:lineRule="exact"/>
      <w:jc w:val="center"/>
    </w:pPr>
    <w:r w:rsidRPr="00071026">
      <w:rPr>
        <w:rFonts w:ascii="Franklin Gothic Medium" w:hAnsi="Franklin Gothic Medium"/>
        <w:color w:val="004F7C"/>
        <w:sz w:val="16"/>
        <w:szCs w:val="16"/>
      </w:rPr>
      <w:t>777 NORTH CAPITOL STREET NE, SUITE 300, WASHINGTON, DC 20002</w:t>
    </w:r>
    <w:r>
      <w:rPr>
        <w:rFonts w:ascii="Franklin Gothic Medium" w:hAnsi="Franklin Gothic Medium"/>
        <w:color w:val="004F7C"/>
        <w:sz w:val="16"/>
        <w:szCs w:val="16"/>
      </w:rPr>
      <w:t xml:space="preserve">    </w:t>
    </w:r>
    <w:r w:rsidRPr="00071026">
      <w:rPr>
        <w:rFonts w:ascii="Franklin Gothic Medium" w:hAnsi="Franklin Gothic Medium"/>
        <w:color w:val="004F7C"/>
        <w:sz w:val="16"/>
        <w:szCs w:val="16"/>
      </w:rPr>
      <w:t xml:space="preserve">MWCOG.ORG/TPB </w:t>
    </w:r>
    <w:r w:rsidR="00474FBE" w:rsidRPr="00071026">
      <w:rPr>
        <w:rFonts w:ascii="Franklin Gothic Medium" w:hAnsi="Franklin Gothic Medium"/>
        <w:color w:val="004F7C"/>
        <w:sz w:val="16"/>
        <w:szCs w:val="16"/>
      </w:rPr>
      <w:t xml:space="preserve">  (</w:t>
    </w:r>
    <w:r w:rsidRPr="00071026">
      <w:rPr>
        <w:rFonts w:ascii="Franklin Gothic Medium" w:hAnsi="Franklin Gothic Medium"/>
        <w:color w:val="004F7C"/>
        <w:sz w:val="16"/>
        <w:szCs w:val="16"/>
      </w:rPr>
      <w:t>202) 962-3200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B34422" w14:textId="77777777" w:rsidR="00061D88" w:rsidRDefault="00061D88" w:rsidP="00143CE3">
      <w:r>
        <w:separator/>
      </w:r>
    </w:p>
  </w:footnote>
  <w:footnote w:type="continuationSeparator" w:id="0">
    <w:p w14:paraId="47A23831" w14:textId="77777777" w:rsidR="00061D88" w:rsidRDefault="00061D88" w:rsidP="00143CE3">
      <w:r>
        <w:continuationSeparator/>
      </w:r>
    </w:p>
    <w:p w14:paraId="35529002" w14:textId="77777777" w:rsidR="00061D88" w:rsidRDefault="00061D88"/>
    <w:p w14:paraId="3B6B7F42" w14:textId="77777777" w:rsidR="00061D88" w:rsidRDefault="00061D88"/>
    <w:p w14:paraId="25FDDB59" w14:textId="77777777" w:rsidR="00061D88" w:rsidRDefault="00061D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781BE" w14:textId="77777777" w:rsidR="00990013" w:rsidRDefault="00990013">
    <w:pPr>
      <w:pStyle w:val="Header"/>
    </w:pPr>
  </w:p>
  <w:p w14:paraId="49791809" w14:textId="77777777" w:rsidR="00EA16CC" w:rsidRDefault="00EA16C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CCCA1" w14:textId="77777777" w:rsidR="00990013" w:rsidRDefault="00990013">
    <w:pPr>
      <w:pStyle w:val="Header"/>
    </w:pPr>
  </w:p>
  <w:p w14:paraId="2B02FEA7" w14:textId="77777777" w:rsidR="00EA16CC" w:rsidRDefault="00EA16C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6A939" w14:textId="03620A0A" w:rsidR="00934BF6" w:rsidRDefault="00934BF6" w:rsidP="00934BF6">
    <w:r w:rsidRPr="00B97C71">
      <w:rPr>
        <w:noProof/>
      </w:rPr>
      <w:drawing>
        <wp:inline distT="0" distB="0" distL="0" distR="0" wp14:anchorId="75F12493" wp14:editId="6327D302">
          <wp:extent cx="3179064" cy="66781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COG-horiz_2Lines_RGB-v12.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3179064" cy="667816"/>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5DF6CCD7" w14:textId="6C10C041" w:rsidR="008827BA" w:rsidRPr="00934BF6" w:rsidRDefault="008827BA" w:rsidP="00934B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D655B5"/>
    <w:multiLevelType w:val="hybridMultilevel"/>
    <w:tmpl w:val="2BFA91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D910CF0"/>
    <w:multiLevelType w:val="hybridMultilevel"/>
    <w:tmpl w:val="227666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95B29A8"/>
    <w:multiLevelType w:val="hybridMultilevel"/>
    <w:tmpl w:val="B76E7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11150B"/>
    <w:multiLevelType w:val="hybridMultilevel"/>
    <w:tmpl w:val="29C0F700"/>
    <w:lvl w:ilvl="0" w:tplc="5664B484">
      <w:start w:val="1"/>
      <w:numFmt w:val="bullet"/>
      <w:pStyle w:val="7BulletedParagraph-Memo"/>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5A6C9D"/>
    <w:multiLevelType w:val="hybridMultilevel"/>
    <w:tmpl w:val="03BED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841ACF"/>
    <w:multiLevelType w:val="hybridMultilevel"/>
    <w:tmpl w:val="6FCC8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CA76FA"/>
    <w:multiLevelType w:val="hybridMultilevel"/>
    <w:tmpl w:val="6C5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EE546C"/>
    <w:multiLevelType w:val="hybridMultilevel"/>
    <w:tmpl w:val="0DE8F3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77406B"/>
    <w:multiLevelType w:val="hybridMultilevel"/>
    <w:tmpl w:val="0C2A1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D14E3B"/>
    <w:multiLevelType w:val="hybridMultilevel"/>
    <w:tmpl w:val="03C27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830898"/>
    <w:multiLevelType w:val="hybridMultilevel"/>
    <w:tmpl w:val="9A261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0"/>
  </w:num>
  <w:num w:numId="5">
    <w:abstractNumId w:val="9"/>
  </w:num>
  <w:num w:numId="6">
    <w:abstractNumId w:val="1"/>
  </w:num>
  <w:num w:numId="7">
    <w:abstractNumId w:val="2"/>
  </w:num>
  <w:num w:numId="8">
    <w:abstractNumId w:val="10"/>
  </w:num>
  <w:num w:numId="9">
    <w:abstractNumId w:val="8"/>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CE1"/>
    <w:rsid w:val="00013B0B"/>
    <w:rsid w:val="00042314"/>
    <w:rsid w:val="000425FF"/>
    <w:rsid w:val="00061D88"/>
    <w:rsid w:val="000645B3"/>
    <w:rsid w:val="0006643C"/>
    <w:rsid w:val="00091F9F"/>
    <w:rsid w:val="00096445"/>
    <w:rsid w:val="00097F42"/>
    <w:rsid w:val="000C4275"/>
    <w:rsid w:val="000C5927"/>
    <w:rsid w:val="000E0870"/>
    <w:rsid w:val="00105210"/>
    <w:rsid w:val="00113680"/>
    <w:rsid w:val="00115B5A"/>
    <w:rsid w:val="0012441E"/>
    <w:rsid w:val="00131C64"/>
    <w:rsid w:val="00140558"/>
    <w:rsid w:val="001435E4"/>
    <w:rsid w:val="00143CE3"/>
    <w:rsid w:val="001450B6"/>
    <w:rsid w:val="00153DBC"/>
    <w:rsid w:val="0015432D"/>
    <w:rsid w:val="0017631C"/>
    <w:rsid w:val="00176783"/>
    <w:rsid w:val="00182882"/>
    <w:rsid w:val="001848C0"/>
    <w:rsid w:val="001B15BC"/>
    <w:rsid w:val="0022636A"/>
    <w:rsid w:val="00226CE1"/>
    <w:rsid w:val="00251ED6"/>
    <w:rsid w:val="002A2888"/>
    <w:rsid w:val="002B3BD9"/>
    <w:rsid w:val="002C327F"/>
    <w:rsid w:val="002D197A"/>
    <w:rsid w:val="002D77B3"/>
    <w:rsid w:val="002F11C7"/>
    <w:rsid w:val="003253C4"/>
    <w:rsid w:val="00392471"/>
    <w:rsid w:val="003A096D"/>
    <w:rsid w:val="003C12EF"/>
    <w:rsid w:val="003C210F"/>
    <w:rsid w:val="003E62C5"/>
    <w:rsid w:val="003F11BF"/>
    <w:rsid w:val="003F60B7"/>
    <w:rsid w:val="00411922"/>
    <w:rsid w:val="0042389A"/>
    <w:rsid w:val="004301DD"/>
    <w:rsid w:val="004304A5"/>
    <w:rsid w:val="004422AB"/>
    <w:rsid w:val="004505A6"/>
    <w:rsid w:val="00474FBE"/>
    <w:rsid w:val="004777F1"/>
    <w:rsid w:val="0049051B"/>
    <w:rsid w:val="004A73F9"/>
    <w:rsid w:val="004C5BA0"/>
    <w:rsid w:val="004D2BBF"/>
    <w:rsid w:val="004F1BC0"/>
    <w:rsid w:val="004F3A61"/>
    <w:rsid w:val="004F65B2"/>
    <w:rsid w:val="00512993"/>
    <w:rsid w:val="00515502"/>
    <w:rsid w:val="0053440A"/>
    <w:rsid w:val="00545E14"/>
    <w:rsid w:val="00550DB0"/>
    <w:rsid w:val="00573F15"/>
    <w:rsid w:val="00576306"/>
    <w:rsid w:val="00583C0A"/>
    <w:rsid w:val="005953E3"/>
    <w:rsid w:val="005A03A5"/>
    <w:rsid w:val="005A11F5"/>
    <w:rsid w:val="005D7644"/>
    <w:rsid w:val="005E6CC6"/>
    <w:rsid w:val="00601CF5"/>
    <w:rsid w:val="006111E8"/>
    <w:rsid w:val="00612970"/>
    <w:rsid w:val="00617C43"/>
    <w:rsid w:val="00630242"/>
    <w:rsid w:val="00631A75"/>
    <w:rsid w:val="00640760"/>
    <w:rsid w:val="00642747"/>
    <w:rsid w:val="006466B5"/>
    <w:rsid w:val="00652152"/>
    <w:rsid w:val="00671205"/>
    <w:rsid w:val="00680784"/>
    <w:rsid w:val="00681879"/>
    <w:rsid w:val="00693D7C"/>
    <w:rsid w:val="006A02AB"/>
    <w:rsid w:val="006B04DD"/>
    <w:rsid w:val="006D41BB"/>
    <w:rsid w:val="006D7D39"/>
    <w:rsid w:val="006D7EC9"/>
    <w:rsid w:val="006E1D85"/>
    <w:rsid w:val="006E3D82"/>
    <w:rsid w:val="006F6D43"/>
    <w:rsid w:val="007072F7"/>
    <w:rsid w:val="00707DD3"/>
    <w:rsid w:val="00717FAE"/>
    <w:rsid w:val="00741026"/>
    <w:rsid w:val="0074735E"/>
    <w:rsid w:val="00761FC1"/>
    <w:rsid w:val="00765B50"/>
    <w:rsid w:val="00773D8B"/>
    <w:rsid w:val="00782399"/>
    <w:rsid w:val="00782E0D"/>
    <w:rsid w:val="00784267"/>
    <w:rsid w:val="00797353"/>
    <w:rsid w:val="007C5D5B"/>
    <w:rsid w:val="007C65B9"/>
    <w:rsid w:val="007D0C30"/>
    <w:rsid w:val="007F343E"/>
    <w:rsid w:val="0081435B"/>
    <w:rsid w:val="008323AD"/>
    <w:rsid w:val="008327F8"/>
    <w:rsid w:val="00844812"/>
    <w:rsid w:val="0087339D"/>
    <w:rsid w:val="008739DE"/>
    <w:rsid w:val="008827BA"/>
    <w:rsid w:val="00883A4A"/>
    <w:rsid w:val="008B1D48"/>
    <w:rsid w:val="008C0812"/>
    <w:rsid w:val="008C5E18"/>
    <w:rsid w:val="008E034E"/>
    <w:rsid w:val="008F251C"/>
    <w:rsid w:val="008F35E6"/>
    <w:rsid w:val="00914F44"/>
    <w:rsid w:val="00915B8B"/>
    <w:rsid w:val="00917551"/>
    <w:rsid w:val="00934BF6"/>
    <w:rsid w:val="00940284"/>
    <w:rsid w:val="009404FA"/>
    <w:rsid w:val="009428C8"/>
    <w:rsid w:val="00972741"/>
    <w:rsid w:val="00985FAE"/>
    <w:rsid w:val="00990013"/>
    <w:rsid w:val="009909E5"/>
    <w:rsid w:val="009A3F3A"/>
    <w:rsid w:val="009C1E04"/>
    <w:rsid w:val="009D5D96"/>
    <w:rsid w:val="009D76EB"/>
    <w:rsid w:val="009D7BCE"/>
    <w:rsid w:val="009D7ECC"/>
    <w:rsid w:val="009F5EA7"/>
    <w:rsid w:val="00A05C84"/>
    <w:rsid w:val="00A17D3D"/>
    <w:rsid w:val="00A67FE3"/>
    <w:rsid w:val="00A92A47"/>
    <w:rsid w:val="00AF2028"/>
    <w:rsid w:val="00B12264"/>
    <w:rsid w:val="00B16715"/>
    <w:rsid w:val="00B2326D"/>
    <w:rsid w:val="00B35255"/>
    <w:rsid w:val="00B519A4"/>
    <w:rsid w:val="00B55093"/>
    <w:rsid w:val="00B96B3B"/>
    <w:rsid w:val="00C03511"/>
    <w:rsid w:val="00C12C73"/>
    <w:rsid w:val="00C150CF"/>
    <w:rsid w:val="00C72B75"/>
    <w:rsid w:val="00C751F1"/>
    <w:rsid w:val="00C82126"/>
    <w:rsid w:val="00CB1397"/>
    <w:rsid w:val="00CB293F"/>
    <w:rsid w:val="00CB2BCF"/>
    <w:rsid w:val="00CC6C32"/>
    <w:rsid w:val="00CE402D"/>
    <w:rsid w:val="00CE5534"/>
    <w:rsid w:val="00CF1F83"/>
    <w:rsid w:val="00D035D2"/>
    <w:rsid w:val="00D04922"/>
    <w:rsid w:val="00D219A4"/>
    <w:rsid w:val="00D30935"/>
    <w:rsid w:val="00D34639"/>
    <w:rsid w:val="00D35372"/>
    <w:rsid w:val="00D363A8"/>
    <w:rsid w:val="00D60158"/>
    <w:rsid w:val="00D64DC2"/>
    <w:rsid w:val="00D668FD"/>
    <w:rsid w:val="00D72813"/>
    <w:rsid w:val="00D904D9"/>
    <w:rsid w:val="00DA1338"/>
    <w:rsid w:val="00DA60D6"/>
    <w:rsid w:val="00DC6A0A"/>
    <w:rsid w:val="00DD6E61"/>
    <w:rsid w:val="00DE21ED"/>
    <w:rsid w:val="00DE2361"/>
    <w:rsid w:val="00DF1845"/>
    <w:rsid w:val="00E01DDE"/>
    <w:rsid w:val="00E06C90"/>
    <w:rsid w:val="00E06F49"/>
    <w:rsid w:val="00E27518"/>
    <w:rsid w:val="00E346D7"/>
    <w:rsid w:val="00E351D1"/>
    <w:rsid w:val="00E40CDC"/>
    <w:rsid w:val="00E50427"/>
    <w:rsid w:val="00E559D4"/>
    <w:rsid w:val="00E56A76"/>
    <w:rsid w:val="00E72A8C"/>
    <w:rsid w:val="00E8145A"/>
    <w:rsid w:val="00E90281"/>
    <w:rsid w:val="00E9071B"/>
    <w:rsid w:val="00EA16CC"/>
    <w:rsid w:val="00EB2B9B"/>
    <w:rsid w:val="00EB3D82"/>
    <w:rsid w:val="00EC1B6A"/>
    <w:rsid w:val="00EF5E09"/>
    <w:rsid w:val="00F02320"/>
    <w:rsid w:val="00F16E24"/>
    <w:rsid w:val="00F17840"/>
    <w:rsid w:val="00F21BC5"/>
    <w:rsid w:val="00F451E1"/>
    <w:rsid w:val="00F45356"/>
    <w:rsid w:val="00F455B7"/>
    <w:rsid w:val="00F46E36"/>
    <w:rsid w:val="00F61A2B"/>
    <w:rsid w:val="00F63461"/>
    <w:rsid w:val="00F63D8D"/>
    <w:rsid w:val="00F77D03"/>
    <w:rsid w:val="00F92D6E"/>
    <w:rsid w:val="00FF093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oNotEmbedSmartTags/>
  <w:decimalSymbol w:val="."/>
  <w:listSeparator w:val=","/>
  <w14:docId w14:val="59F55249"/>
  <w15:docId w15:val="{051F8773-5740-446F-8612-5B6A40D05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7">
    <w:lsdException w:name="Normal" w:uiPriority="1" w:qFormat="1"/>
    <w:lsdException w:name="heading 1" w:uiPriority="9"/>
    <w:lsdException w:name="heading 2"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sid w:val="00226CE1"/>
    <w:pPr>
      <w:widowControl w:val="0"/>
      <w:autoSpaceDE w:val="0"/>
      <w:autoSpaceDN w:val="0"/>
    </w:pPr>
    <w:rPr>
      <w:rFonts w:ascii="Franklin Gothic Book" w:eastAsia="Franklin Gothic Book" w:hAnsi="Franklin Gothic Book" w:cs="Franklin Gothic Book"/>
      <w:sz w:val="22"/>
      <w:szCs w:val="22"/>
      <w:lang w:eastAsia="en-US"/>
    </w:rPr>
  </w:style>
  <w:style w:type="paragraph" w:styleId="Heading1">
    <w:name w:val="heading 1"/>
    <w:basedOn w:val="Normal"/>
    <w:next w:val="Normal"/>
    <w:link w:val="Heading1Char"/>
    <w:uiPriority w:val="9"/>
    <w:rsid w:val="00CB139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rsid w:val="00DA60D6"/>
    <w:pPr>
      <w:keepNext/>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1397"/>
    <w:rPr>
      <w:rFonts w:asciiTheme="majorHAnsi" w:eastAsiaTheme="majorEastAsia" w:hAnsiTheme="majorHAnsi" w:cstheme="majorBidi"/>
      <w:b/>
      <w:bCs/>
      <w:color w:val="345A8A" w:themeColor="accent1" w:themeShade="B5"/>
      <w:sz w:val="32"/>
      <w:szCs w:val="32"/>
    </w:rPr>
  </w:style>
  <w:style w:type="paragraph" w:customStyle="1" w:styleId="ToFromInfo">
    <w:name w:val="To/From Info"/>
    <w:qFormat/>
    <w:rsid w:val="008827BA"/>
    <w:pPr>
      <w:widowControl w:val="0"/>
      <w:suppressAutoHyphens/>
      <w:autoSpaceDE w:val="0"/>
      <w:autoSpaceDN w:val="0"/>
      <w:adjustRightInd w:val="0"/>
      <w:spacing w:after="90"/>
      <w:ind w:left="1037" w:hanging="1037"/>
      <w:textAlignment w:val="center"/>
    </w:pPr>
    <w:rPr>
      <w:rFonts w:ascii="Franklin Gothic Book" w:hAnsi="Franklin Gothic Book" w:cs="ITCFranklinGothicStd-Book"/>
      <w:color w:val="000000" w:themeColor="text1"/>
      <w:sz w:val="22"/>
      <w:szCs w:val="22"/>
    </w:rPr>
  </w:style>
  <w:style w:type="character" w:customStyle="1" w:styleId="TOFROM-HEAVYFONT">
    <w:name w:val="TO/FROM - HEAVY FONT"/>
    <w:basedOn w:val="DefaultParagraphFont"/>
    <w:uiPriority w:val="1"/>
    <w:qFormat/>
    <w:rsid w:val="008827BA"/>
    <w:rPr>
      <w:rFonts w:ascii="Franklin Gothic Medium" w:hAnsi="Franklin Gothic Medium" w:cs="ITCFranklinGothicStd-Hvy"/>
      <w:b w:val="0"/>
      <w:bCs w:val="0"/>
      <w:i w:val="0"/>
      <w:iCs w:val="0"/>
      <w:caps/>
      <w:smallCaps w:val="0"/>
      <w:strike w:val="0"/>
      <w:dstrike w:val="0"/>
      <w:vanish w:val="0"/>
      <w:color w:val="000000" w:themeColor="text1"/>
      <w:spacing w:val="-2"/>
      <w:sz w:val="22"/>
      <w:szCs w:val="22"/>
      <w:u w:val="none"/>
      <w:vertAlign w:val="baseline"/>
      <w14:cntxtAlts w14:val="0"/>
    </w:rPr>
  </w:style>
  <w:style w:type="paragraph" w:customStyle="1" w:styleId="RULE-TPB">
    <w:name w:val="RULE - TPB"/>
    <w:next w:val="3Paragraph"/>
    <w:qFormat/>
    <w:rsid w:val="00765B50"/>
    <w:pPr>
      <w:widowControl w:val="0"/>
      <w:pBdr>
        <w:bottom w:val="single" w:sz="12" w:space="9" w:color="004F7C"/>
      </w:pBdr>
      <w:tabs>
        <w:tab w:val="left" w:pos="1420"/>
      </w:tabs>
      <w:suppressAutoHyphens/>
      <w:autoSpaceDE w:val="0"/>
      <w:autoSpaceDN w:val="0"/>
      <w:adjustRightInd w:val="0"/>
      <w:spacing w:after="480"/>
      <w:textAlignment w:val="center"/>
    </w:pPr>
    <w:rPr>
      <w:rFonts w:ascii="Franklin Gothic Book" w:hAnsi="Franklin Gothic Book" w:cs="ITCFranklinGothicStd-Book"/>
      <w:color w:val="000000"/>
      <w:sz w:val="22"/>
      <w:szCs w:val="22"/>
    </w:rPr>
  </w:style>
  <w:style w:type="paragraph" w:customStyle="1" w:styleId="3Paragraph">
    <w:name w:val="3) Paragraph"/>
    <w:qFormat/>
    <w:rsid w:val="0074735E"/>
    <w:pPr>
      <w:tabs>
        <w:tab w:val="left" w:pos="432"/>
      </w:tabs>
    </w:pPr>
    <w:rPr>
      <w:rFonts w:ascii="Franklin Gothic Book" w:hAnsi="Franklin Gothic Book" w:cs="ITCFranklinGothicStd-Book"/>
      <w:color w:val="000000" w:themeColor="text1"/>
      <w:sz w:val="22"/>
      <w:szCs w:val="22"/>
    </w:rPr>
  </w:style>
  <w:style w:type="paragraph" w:styleId="BalloonText">
    <w:name w:val="Balloon Text"/>
    <w:basedOn w:val="Normal"/>
    <w:link w:val="BalloonTextChar"/>
    <w:uiPriority w:val="99"/>
    <w:semiHidden/>
    <w:unhideWhenUsed/>
    <w:rsid w:val="00DD6E6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D6E61"/>
    <w:rPr>
      <w:rFonts w:ascii="Lucida Grande" w:hAnsi="Lucida Grande" w:cs="Lucida Grande"/>
      <w:sz w:val="18"/>
      <w:szCs w:val="18"/>
    </w:rPr>
  </w:style>
  <w:style w:type="character" w:styleId="PageNumber">
    <w:name w:val="page number"/>
    <w:aliases w:val="COG-LH Page Number"/>
    <w:basedOn w:val="DefaultParagraphFont"/>
    <w:uiPriority w:val="99"/>
    <w:semiHidden/>
    <w:unhideWhenUsed/>
    <w:qFormat/>
    <w:rsid w:val="00671205"/>
  </w:style>
  <w:style w:type="character" w:customStyle="1" w:styleId="8MemoUnderlineText">
    <w:name w:val="8) Memo Underline Text"/>
    <w:uiPriority w:val="1"/>
    <w:rsid w:val="00E27518"/>
    <w:rPr>
      <w:rFonts w:ascii="Franklin Gothic Book" w:hAnsi="Franklin Gothic Book"/>
      <w:b w:val="0"/>
      <w:bCs w:val="0"/>
      <w:i w:val="0"/>
      <w:iCs w:val="0"/>
      <w:caps w:val="0"/>
      <w:smallCaps w:val="0"/>
      <w:strike w:val="0"/>
      <w:dstrike w:val="0"/>
      <w:vanish w:val="0"/>
      <w:color w:val="000000" w:themeColor="text1"/>
      <w:sz w:val="22"/>
      <w:szCs w:val="22"/>
      <w:u w:val="single" w:color="000000" w:themeColor="text1"/>
      <w:vertAlign w:val="baseline"/>
    </w:rPr>
  </w:style>
  <w:style w:type="paragraph" w:customStyle="1" w:styleId="2Subhead">
    <w:name w:val="2) Subhead"/>
    <w:next w:val="3Paragraph"/>
    <w:qFormat/>
    <w:rsid w:val="006B04DD"/>
    <w:pPr>
      <w:widowControl w:val="0"/>
      <w:tabs>
        <w:tab w:val="left" w:pos="1420"/>
      </w:tabs>
      <w:suppressAutoHyphens/>
      <w:autoSpaceDE w:val="0"/>
      <w:autoSpaceDN w:val="0"/>
      <w:adjustRightInd w:val="0"/>
      <w:spacing w:before="120"/>
      <w:textAlignment w:val="center"/>
    </w:pPr>
    <w:rPr>
      <w:rFonts w:ascii="Franklin Gothic Medium" w:hAnsi="Franklin Gothic Medium" w:cs="ITCFranklinGothicStd-Hvy"/>
      <w:caps/>
      <w:color w:val="000000" w:themeColor="text1"/>
      <w:sz w:val="24"/>
      <w:szCs w:val="24"/>
    </w:rPr>
  </w:style>
  <w:style w:type="paragraph" w:customStyle="1" w:styleId="1Head-TPBMemo">
    <w:name w:val="1) Head - TPB Memo"/>
    <w:next w:val="3Paragraph"/>
    <w:qFormat/>
    <w:rsid w:val="00515502"/>
    <w:pPr>
      <w:widowControl w:val="0"/>
      <w:suppressAutoHyphens/>
      <w:autoSpaceDE w:val="0"/>
      <w:autoSpaceDN w:val="0"/>
      <w:adjustRightInd w:val="0"/>
      <w:spacing w:after="120"/>
      <w:textAlignment w:val="center"/>
    </w:pPr>
    <w:rPr>
      <w:rFonts w:ascii="Franklin Gothic Demi" w:hAnsi="Franklin Gothic Demi" w:cs="ITCFranklinGothicStd-Hvy"/>
      <w:caps/>
      <w:color w:val="000000" w:themeColor="text1"/>
      <w:sz w:val="24"/>
      <w:szCs w:val="24"/>
    </w:rPr>
  </w:style>
  <w:style w:type="paragraph" w:customStyle="1" w:styleId="7BulletedParagraph-Memo">
    <w:name w:val="7) Bulleted Paragraph-Memo"/>
    <w:basedOn w:val="3Paragraph"/>
    <w:next w:val="3Paragraph"/>
    <w:autoRedefine/>
    <w:rsid w:val="004777F1"/>
    <w:pPr>
      <w:numPr>
        <w:numId w:val="1"/>
      </w:numPr>
      <w:ind w:left="360"/>
    </w:pPr>
  </w:style>
  <w:style w:type="paragraph" w:customStyle="1" w:styleId="COG-LHAddress">
    <w:name w:val="COG-LH Address"/>
    <w:autoRedefine/>
    <w:rsid w:val="008827BA"/>
    <w:pPr>
      <w:tabs>
        <w:tab w:val="left" w:pos="533"/>
        <w:tab w:val="center" w:pos="4680"/>
      </w:tabs>
      <w:spacing w:line="240" w:lineRule="exact"/>
    </w:pPr>
    <w:rPr>
      <w:rFonts w:ascii="Franklin Gothic Medium" w:hAnsi="Franklin Gothic Medium"/>
      <w:color w:val="0087CD"/>
      <w:sz w:val="16"/>
      <w:szCs w:val="16"/>
    </w:rPr>
  </w:style>
  <w:style w:type="paragraph" w:styleId="Footer">
    <w:name w:val="footer"/>
    <w:basedOn w:val="Normal"/>
    <w:link w:val="FooterChar"/>
    <w:uiPriority w:val="99"/>
    <w:semiHidden/>
    <w:unhideWhenUsed/>
    <w:rsid w:val="00E06F49"/>
    <w:pPr>
      <w:tabs>
        <w:tab w:val="center" w:pos="4320"/>
        <w:tab w:val="right" w:pos="8640"/>
      </w:tabs>
    </w:pPr>
  </w:style>
  <w:style w:type="character" w:customStyle="1" w:styleId="FooterChar">
    <w:name w:val="Footer Char"/>
    <w:basedOn w:val="DefaultParagraphFont"/>
    <w:link w:val="Footer"/>
    <w:uiPriority w:val="99"/>
    <w:semiHidden/>
    <w:rsid w:val="00E06F49"/>
    <w:rPr>
      <w:sz w:val="24"/>
    </w:rPr>
  </w:style>
  <w:style w:type="character" w:customStyle="1" w:styleId="COG-PAGENUMBER">
    <w:name w:val="COG-PAGE NUMBER"/>
    <w:uiPriority w:val="1"/>
    <w:rsid w:val="00E06F49"/>
    <w:rPr>
      <w:rFonts w:ascii="Franklin Gothic Medium" w:hAnsi="Franklin Gothic Medium"/>
      <w:b w:val="0"/>
      <w:bCs w:val="0"/>
      <w:i w:val="0"/>
      <w:iCs w:val="0"/>
      <w:caps w:val="0"/>
      <w:smallCaps w:val="0"/>
      <w:strike w:val="0"/>
      <w:dstrike w:val="0"/>
      <w:vanish w:val="0"/>
      <w:color w:val="0087CD"/>
      <w:kern w:val="0"/>
      <w:sz w:val="14"/>
      <w:szCs w:val="14"/>
      <w:u w:val="none"/>
      <w:vertAlign w:val="baseline"/>
      <w14:cntxtAlts w14:val="0"/>
    </w:rPr>
  </w:style>
  <w:style w:type="paragraph" w:styleId="Header">
    <w:name w:val="header"/>
    <w:basedOn w:val="Normal"/>
    <w:link w:val="HeaderChar"/>
    <w:uiPriority w:val="99"/>
    <w:unhideWhenUsed/>
    <w:rsid w:val="006F6D43"/>
    <w:pPr>
      <w:tabs>
        <w:tab w:val="center" w:pos="4320"/>
        <w:tab w:val="right" w:pos="8640"/>
      </w:tabs>
    </w:pPr>
  </w:style>
  <w:style w:type="character" w:customStyle="1" w:styleId="HeaderChar">
    <w:name w:val="Header Char"/>
    <w:basedOn w:val="DefaultParagraphFont"/>
    <w:link w:val="Header"/>
    <w:uiPriority w:val="99"/>
    <w:rsid w:val="006F6D43"/>
    <w:rPr>
      <w:sz w:val="24"/>
    </w:rPr>
  </w:style>
  <w:style w:type="character" w:customStyle="1" w:styleId="TPB-PAGENUMBER">
    <w:name w:val="TPB-PAGE NUMBER"/>
    <w:uiPriority w:val="1"/>
    <w:qFormat/>
    <w:rsid w:val="0042389A"/>
    <w:rPr>
      <w:rFonts w:ascii="Franklin Gothic Medium" w:hAnsi="Franklin Gothic Medium"/>
      <w:b w:val="0"/>
      <w:bCs w:val="0"/>
      <w:i w:val="0"/>
      <w:iCs w:val="0"/>
      <w:caps w:val="0"/>
      <w:smallCaps w:val="0"/>
      <w:strike w:val="0"/>
      <w:dstrike w:val="0"/>
      <w:vanish w:val="0"/>
      <w:color w:val="004F7C"/>
      <w:sz w:val="14"/>
      <w:szCs w:val="14"/>
      <w:u w:val="none"/>
      <w:vertAlign w:val="baseline"/>
    </w:rPr>
  </w:style>
  <w:style w:type="paragraph" w:styleId="FootnoteText">
    <w:name w:val="footnote text"/>
    <w:basedOn w:val="Normal"/>
    <w:link w:val="FootnoteTextChar"/>
    <w:uiPriority w:val="99"/>
    <w:semiHidden/>
    <w:unhideWhenUsed/>
    <w:rsid w:val="00176783"/>
    <w:rPr>
      <w:sz w:val="20"/>
    </w:rPr>
  </w:style>
  <w:style w:type="character" w:customStyle="1" w:styleId="FootnoteTextChar">
    <w:name w:val="Footnote Text Char"/>
    <w:basedOn w:val="DefaultParagraphFont"/>
    <w:link w:val="FootnoteText"/>
    <w:uiPriority w:val="99"/>
    <w:semiHidden/>
    <w:rsid w:val="00176783"/>
    <w:rPr>
      <w:rFonts w:ascii="Franklin Gothic Book" w:hAnsi="Franklin Gothic Book"/>
    </w:rPr>
  </w:style>
  <w:style w:type="character" w:styleId="FootnoteReference">
    <w:name w:val="footnote reference"/>
    <w:basedOn w:val="DefaultParagraphFont"/>
    <w:uiPriority w:val="99"/>
    <w:semiHidden/>
    <w:unhideWhenUsed/>
    <w:rsid w:val="00176783"/>
    <w:rPr>
      <w:vertAlign w:val="superscript"/>
    </w:rPr>
  </w:style>
  <w:style w:type="paragraph" w:customStyle="1" w:styleId="Default">
    <w:name w:val="Default"/>
    <w:rsid w:val="0074735E"/>
    <w:pPr>
      <w:autoSpaceDE w:val="0"/>
      <w:autoSpaceDN w:val="0"/>
      <w:adjustRightInd w:val="0"/>
    </w:pPr>
    <w:rPr>
      <w:rFonts w:ascii="Franklin Gothic Book" w:hAnsi="Franklin Gothic Book" w:cs="Franklin Gothic Book"/>
      <w:color w:val="000000"/>
      <w:sz w:val="24"/>
      <w:szCs w:val="24"/>
    </w:rPr>
  </w:style>
  <w:style w:type="paragraph" w:styleId="BodyText">
    <w:name w:val="Body Text"/>
    <w:basedOn w:val="Normal"/>
    <w:link w:val="BodyTextChar"/>
    <w:uiPriority w:val="1"/>
    <w:qFormat/>
    <w:rsid w:val="00226CE1"/>
  </w:style>
  <w:style w:type="character" w:customStyle="1" w:styleId="BodyTextChar">
    <w:name w:val="Body Text Char"/>
    <w:basedOn w:val="DefaultParagraphFont"/>
    <w:link w:val="BodyText"/>
    <w:uiPriority w:val="1"/>
    <w:rsid w:val="00226CE1"/>
    <w:rPr>
      <w:rFonts w:ascii="Franklin Gothic Book" w:eastAsia="Franklin Gothic Book" w:hAnsi="Franklin Gothic Book" w:cs="Franklin Gothic Book"/>
      <w:sz w:val="22"/>
      <w:szCs w:val="22"/>
      <w:lang w:eastAsia="en-US"/>
    </w:rPr>
  </w:style>
  <w:style w:type="table" w:styleId="PlainTable4">
    <w:name w:val="Plain Table 4"/>
    <w:basedOn w:val="TableNormal"/>
    <w:uiPriority w:val="99"/>
    <w:rsid w:val="00226CE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226CE1"/>
    <w:rPr>
      <w:color w:val="0000FF" w:themeColor="hyperlink"/>
      <w:u w:val="single"/>
    </w:rPr>
  </w:style>
  <w:style w:type="character" w:styleId="FollowedHyperlink">
    <w:name w:val="FollowedHyperlink"/>
    <w:basedOn w:val="DefaultParagraphFont"/>
    <w:uiPriority w:val="99"/>
    <w:semiHidden/>
    <w:unhideWhenUsed/>
    <w:rsid w:val="00226CE1"/>
    <w:rPr>
      <w:color w:val="800080" w:themeColor="followedHyperlink"/>
      <w:u w:val="single"/>
    </w:rPr>
  </w:style>
  <w:style w:type="character" w:styleId="CommentReference">
    <w:name w:val="annotation reference"/>
    <w:basedOn w:val="DefaultParagraphFont"/>
    <w:uiPriority w:val="99"/>
    <w:semiHidden/>
    <w:unhideWhenUsed/>
    <w:rsid w:val="00411922"/>
    <w:rPr>
      <w:sz w:val="16"/>
      <w:szCs w:val="16"/>
    </w:rPr>
  </w:style>
  <w:style w:type="paragraph" w:styleId="CommentText">
    <w:name w:val="annotation text"/>
    <w:basedOn w:val="Normal"/>
    <w:link w:val="CommentTextChar"/>
    <w:uiPriority w:val="99"/>
    <w:semiHidden/>
    <w:unhideWhenUsed/>
    <w:rsid w:val="00411922"/>
    <w:rPr>
      <w:sz w:val="20"/>
      <w:szCs w:val="20"/>
    </w:rPr>
  </w:style>
  <w:style w:type="character" w:customStyle="1" w:styleId="CommentTextChar">
    <w:name w:val="Comment Text Char"/>
    <w:basedOn w:val="DefaultParagraphFont"/>
    <w:link w:val="CommentText"/>
    <w:uiPriority w:val="99"/>
    <w:semiHidden/>
    <w:rsid w:val="00411922"/>
    <w:rPr>
      <w:rFonts w:ascii="Franklin Gothic Book" w:eastAsia="Franklin Gothic Book" w:hAnsi="Franklin Gothic Book" w:cs="Franklin Gothic Book"/>
      <w:lang w:eastAsia="en-US"/>
    </w:rPr>
  </w:style>
  <w:style w:type="paragraph" w:styleId="CommentSubject">
    <w:name w:val="annotation subject"/>
    <w:basedOn w:val="CommentText"/>
    <w:next w:val="CommentText"/>
    <w:link w:val="CommentSubjectChar"/>
    <w:uiPriority w:val="99"/>
    <w:semiHidden/>
    <w:unhideWhenUsed/>
    <w:rsid w:val="00411922"/>
    <w:rPr>
      <w:b/>
      <w:bCs/>
    </w:rPr>
  </w:style>
  <w:style w:type="character" w:customStyle="1" w:styleId="CommentSubjectChar">
    <w:name w:val="Comment Subject Char"/>
    <w:basedOn w:val="CommentTextChar"/>
    <w:link w:val="CommentSubject"/>
    <w:uiPriority w:val="99"/>
    <w:semiHidden/>
    <w:rsid w:val="00411922"/>
    <w:rPr>
      <w:rFonts w:ascii="Franklin Gothic Book" w:eastAsia="Franklin Gothic Book" w:hAnsi="Franklin Gothic Book" w:cs="Franklin Gothic Book"/>
      <w:b/>
      <w:bCs/>
      <w:lang w:eastAsia="en-US"/>
    </w:rPr>
  </w:style>
  <w:style w:type="paragraph" w:styleId="ListParagraph">
    <w:name w:val="List Paragraph"/>
    <w:basedOn w:val="Normal"/>
    <w:uiPriority w:val="34"/>
    <w:qFormat/>
    <w:rsid w:val="004301DD"/>
    <w:pPr>
      <w:widowControl/>
      <w:autoSpaceDE/>
      <w:autoSpaceDN/>
      <w:spacing w:after="200" w:line="276" w:lineRule="auto"/>
      <w:ind w:left="720"/>
      <w:contextualSpacing/>
    </w:pPr>
    <w:rPr>
      <w:rFonts w:ascii="Calibri" w:eastAsiaTheme="minorHAnsi" w:hAnsi="Calibri" w:cs="Times New Roman"/>
    </w:rPr>
  </w:style>
  <w:style w:type="paragraph" w:styleId="Revision">
    <w:name w:val="Revision"/>
    <w:hidden/>
    <w:uiPriority w:val="99"/>
    <w:semiHidden/>
    <w:rsid w:val="00782E0D"/>
    <w:rPr>
      <w:rFonts w:ascii="Franklin Gothic Book" w:eastAsia="Franklin Gothic Book" w:hAnsi="Franklin Gothic Book" w:cs="Franklin Gothic Book"/>
      <w:sz w:val="22"/>
      <w:szCs w:val="22"/>
      <w:lang w:eastAsia="en-US"/>
    </w:rPr>
  </w:style>
  <w:style w:type="table" w:styleId="TableGrid">
    <w:name w:val="Table Grid"/>
    <w:basedOn w:val="TableNormal"/>
    <w:uiPriority w:val="59"/>
    <w:rsid w:val="00642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833556">
      <w:bodyDiv w:val="1"/>
      <w:marLeft w:val="0"/>
      <w:marRight w:val="0"/>
      <w:marTop w:val="0"/>
      <w:marBottom w:val="0"/>
      <w:divBdr>
        <w:top w:val="none" w:sz="0" w:space="0" w:color="auto"/>
        <w:left w:val="none" w:sz="0" w:space="0" w:color="auto"/>
        <w:bottom w:val="none" w:sz="0" w:space="0" w:color="auto"/>
        <w:right w:val="none" w:sz="0" w:space="0" w:color="auto"/>
      </w:divBdr>
    </w:div>
    <w:div w:id="430669124">
      <w:bodyDiv w:val="1"/>
      <w:marLeft w:val="0"/>
      <w:marRight w:val="0"/>
      <w:marTop w:val="0"/>
      <w:marBottom w:val="0"/>
      <w:divBdr>
        <w:top w:val="none" w:sz="0" w:space="0" w:color="auto"/>
        <w:left w:val="none" w:sz="0" w:space="0" w:color="auto"/>
        <w:bottom w:val="none" w:sz="0" w:space="0" w:color="auto"/>
        <w:right w:val="none" w:sz="0" w:space="0" w:color="auto"/>
      </w:divBdr>
    </w:div>
    <w:div w:id="666051874">
      <w:bodyDiv w:val="1"/>
      <w:marLeft w:val="0"/>
      <w:marRight w:val="0"/>
      <w:marTop w:val="0"/>
      <w:marBottom w:val="0"/>
      <w:divBdr>
        <w:top w:val="none" w:sz="0" w:space="0" w:color="auto"/>
        <w:left w:val="none" w:sz="0" w:space="0" w:color="auto"/>
        <w:bottom w:val="none" w:sz="0" w:space="0" w:color="auto"/>
        <w:right w:val="none" w:sz="0" w:space="0" w:color="auto"/>
      </w:divBdr>
    </w:div>
    <w:div w:id="1086657974">
      <w:bodyDiv w:val="1"/>
      <w:marLeft w:val="0"/>
      <w:marRight w:val="0"/>
      <w:marTop w:val="0"/>
      <w:marBottom w:val="0"/>
      <w:divBdr>
        <w:top w:val="none" w:sz="0" w:space="0" w:color="auto"/>
        <w:left w:val="none" w:sz="0" w:space="0" w:color="auto"/>
        <w:bottom w:val="none" w:sz="0" w:space="0" w:color="auto"/>
        <w:right w:val="none" w:sz="0" w:space="0" w:color="auto"/>
      </w:divBdr>
    </w:div>
    <w:div w:id="1318073672">
      <w:bodyDiv w:val="1"/>
      <w:marLeft w:val="0"/>
      <w:marRight w:val="0"/>
      <w:marTop w:val="0"/>
      <w:marBottom w:val="0"/>
      <w:divBdr>
        <w:top w:val="none" w:sz="0" w:space="0" w:color="auto"/>
        <w:left w:val="none" w:sz="0" w:space="0" w:color="auto"/>
        <w:bottom w:val="none" w:sz="0" w:space="0" w:color="auto"/>
        <w:right w:val="none" w:sz="0" w:space="0" w:color="auto"/>
      </w:divBdr>
    </w:div>
    <w:div w:id="1434745942">
      <w:bodyDiv w:val="1"/>
      <w:marLeft w:val="0"/>
      <w:marRight w:val="0"/>
      <w:marTop w:val="0"/>
      <w:marBottom w:val="0"/>
      <w:divBdr>
        <w:top w:val="none" w:sz="0" w:space="0" w:color="auto"/>
        <w:left w:val="none" w:sz="0" w:space="0" w:color="auto"/>
        <w:bottom w:val="none" w:sz="0" w:space="0" w:color="auto"/>
        <w:right w:val="none" w:sz="0" w:space="0" w:color="auto"/>
      </w:divBdr>
    </w:div>
    <w:div w:id="1442217018">
      <w:bodyDiv w:val="1"/>
      <w:marLeft w:val="0"/>
      <w:marRight w:val="0"/>
      <w:marTop w:val="0"/>
      <w:marBottom w:val="0"/>
      <w:divBdr>
        <w:top w:val="none" w:sz="0" w:space="0" w:color="auto"/>
        <w:left w:val="none" w:sz="0" w:space="0" w:color="auto"/>
        <w:bottom w:val="none" w:sz="0" w:space="0" w:color="auto"/>
        <w:right w:val="none" w:sz="0" w:space="0" w:color="auto"/>
      </w:divBdr>
    </w:div>
    <w:div w:id="18300582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hwa.dot.gov/environment/transportation_alternativ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mwcog.org\dfs\Common%20COG\oc\Microsoft%20Office%20Templates\COG,%20TPB%20Memo%20Templates\TPB%20Memo%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46FCB-038A-4EEC-A820-30FB0B6F5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TPB Memo Template.dotx</Template>
  <TotalTime>1</TotalTime>
  <Pages>7</Pages>
  <Words>2361</Words>
  <Characters>13458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MWCOG.ORG/TPB</vt:lpstr>
    </vt:vector>
  </TitlesOfParts>
  <Company>Lloyd Greenberg Design LLC</Company>
  <LinksUpToDate>false</LinksUpToDate>
  <CharactersWithSpaces>15788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MWCOG.ORG/TPB</dc:title>
  <dc:subject/>
  <dc:creator>John Swanson</dc:creator>
  <cp:keywords/>
  <dc:description/>
  <cp:lastModifiedBy>John Swanson</cp:lastModifiedBy>
  <cp:revision>2</cp:revision>
  <cp:lastPrinted>2020-02-06T19:23:00Z</cp:lastPrinted>
  <dcterms:created xsi:type="dcterms:W3CDTF">2020-02-11T16:03:00Z</dcterms:created>
  <dcterms:modified xsi:type="dcterms:W3CDTF">2020-02-11T16:03:00Z</dcterms:modified>
</cp:coreProperties>
</file>