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26D" w:rsidRDefault="0068626D" w:rsidP="00705556">
      <w:pPr>
        <w:pStyle w:val="Heading1"/>
        <w:ind w:left="0" w:firstLine="0"/>
        <w:rPr>
          <w:rFonts w:ascii="Tahoma" w:hAnsi="Tahoma" w:cs="Tahoma"/>
          <w:sz w:val="24"/>
          <w:szCs w:val="24"/>
        </w:rPr>
      </w:pPr>
    </w:p>
    <w:p w:rsidR="00C04721" w:rsidRPr="00C04721" w:rsidRDefault="00DF0DDF" w:rsidP="00C04721">
      <w:pPr>
        <w:pStyle w:val="Heading1"/>
        <w:ind w:left="900" w:hanging="900"/>
        <w:rPr>
          <w:rFonts w:ascii="Tahoma" w:hAnsi="Tahoma" w:cs="Tahoma"/>
          <w:sz w:val="24"/>
          <w:szCs w:val="24"/>
        </w:rPr>
      </w:pPr>
      <w:r w:rsidRPr="00C04721">
        <w:rPr>
          <w:rFonts w:ascii="Tahoma" w:hAnsi="Tahoma" w:cs="Tahoma"/>
          <w:sz w:val="24"/>
          <w:szCs w:val="24"/>
        </w:rPr>
        <w:t>Slide</w:t>
      </w:r>
      <w:r w:rsidR="00201832" w:rsidRPr="00C04721">
        <w:rPr>
          <w:rFonts w:ascii="Tahoma" w:hAnsi="Tahoma" w:cs="Tahoma"/>
          <w:sz w:val="24"/>
          <w:szCs w:val="24"/>
        </w:rPr>
        <w:t xml:space="preserve"> 1</w:t>
      </w:r>
      <w:r w:rsidR="00FF301E" w:rsidRPr="00C04721">
        <w:rPr>
          <w:rFonts w:ascii="Tahoma" w:hAnsi="Tahoma" w:cs="Tahoma"/>
          <w:sz w:val="24"/>
          <w:szCs w:val="24"/>
        </w:rPr>
        <w:t xml:space="preserve">: </w:t>
      </w:r>
    </w:p>
    <w:p w:rsidR="0068626D" w:rsidRDefault="0068626D" w:rsidP="0068626D">
      <w:pPr>
        <w:pStyle w:val="Heading1"/>
        <w:ind w:left="0" w:firstLine="0"/>
        <w:rPr>
          <w:rFonts w:ascii="Tahoma" w:hAnsi="Tahoma" w:cs="Tahoma"/>
          <w:sz w:val="24"/>
          <w:szCs w:val="24"/>
        </w:rPr>
      </w:pPr>
    </w:p>
    <w:p w:rsidR="00E02BA6" w:rsidRDefault="00C04721" w:rsidP="00624D3F">
      <w:pPr>
        <w:pStyle w:val="Heading1"/>
        <w:ind w:left="0" w:firstLine="0"/>
        <w:rPr>
          <w:rFonts w:ascii="Tahoma" w:hAnsi="Tahoma" w:cs="Tahoma"/>
          <w:sz w:val="24"/>
          <w:szCs w:val="24"/>
        </w:rPr>
      </w:pPr>
      <w:r w:rsidRPr="00C04721">
        <w:rPr>
          <w:rFonts w:ascii="Tahoma" w:hAnsi="Tahoma" w:cs="Tahoma"/>
          <w:sz w:val="24"/>
          <w:szCs w:val="24"/>
        </w:rPr>
        <w:t xml:space="preserve">Presentation Title: </w:t>
      </w:r>
      <w:r w:rsidR="00624D3F" w:rsidRPr="00624D3F">
        <w:rPr>
          <w:rFonts w:ascii="Tahoma" w:hAnsi="Tahoma" w:cs="Tahoma"/>
          <w:sz w:val="24"/>
          <w:szCs w:val="24"/>
        </w:rPr>
        <w:t>Uneven opportunities</w:t>
      </w:r>
      <w:r w:rsidR="00624D3F">
        <w:rPr>
          <w:rFonts w:ascii="Tahoma" w:hAnsi="Tahoma" w:cs="Tahoma"/>
          <w:sz w:val="24"/>
          <w:szCs w:val="24"/>
        </w:rPr>
        <w:t>:</w:t>
      </w:r>
      <w:r w:rsidR="00624D3F" w:rsidRPr="00624D3F">
        <w:rPr>
          <w:rFonts w:ascii="Tahoma" w:hAnsi="Tahoma" w:cs="Tahoma"/>
          <w:sz w:val="24"/>
          <w:szCs w:val="24"/>
        </w:rPr>
        <w:t xml:space="preserve"> A Study of How Conditions for Wellness Vary Across the Metropolitan Washington Region</w:t>
      </w:r>
    </w:p>
    <w:p w:rsidR="00624D3F" w:rsidRDefault="00624D3F" w:rsidP="00624D3F">
      <w:pPr>
        <w:spacing w:after="0" w:line="240" w:lineRule="auto"/>
      </w:pP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 xml:space="preserve">Briefing for Access for All (AFA) Advisory Committee </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Transportation Planning Board</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Metropolitan Washington Council of Governments</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Washington, D.C.</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May 9, 2019</w:t>
      </w:r>
    </w:p>
    <w:p w:rsidR="00624D3F" w:rsidRPr="00624D3F" w:rsidRDefault="00624D3F" w:rsidP="00624D3F">
      <w:pPr>
        <w:spacing w:after="0" w:line="240" w:lineRule="auto"/>
        <w:rPr>
          <w:rFonts w:ascii="Tahoma" w:hAnsi="Tahoma" w:cs="Tahoma"/>
          <w:sz w:val="24"/>
          <w:szCs w:val="24"/>
        </w:rPr>
      </w:pP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Steven H. Woolf, MD, MPH, Director Emeritus</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Center on Society and Health</w:t>
      </w: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Virginia Commonwealth University</w:t>
      </w:r>
    </w:p>
    <w:p w:rsidR="00624D3F" w:rsidRDefault="00624D3F" w:rsidP="00240D91">
      <w:pPr>
        <w:spacing w:after="0" w:line="240" w:lineRule="auto"/>
        <w:rPr>
          <w:rFonts w:ascii="Tahoma" w:hAnsi="Tahoma" w:cs="Tahoma"/>
          <w:color w:val="000000"/>
          <w:kern w:val="24"/>
          <w:sz w:val="24"/>
          <w:szCs w:val="24"/>
        </w:rPr>
      </w:pPr>
    </w:p>
    <w:p w:rsidR="00066C99" w:rsidRDefault="009256A8" w:rsidP="00240D91">
      <w:pPr>
        <w:spacing w:after="0" w:line="240" w:lineRule="auto"/>
        <w:rPr>
          <w:rFonts w:ascii="Tahoma" w:hAnsi="Tahoma" w:cs="Tahoma"/>
          <w:sz w:val="24"/>
          <w:szCs w:val="24"/>
        </w:rPr>
      </w:pPr>
      <w:r>
        <w:rPr>
          <w:rFonts w:ascii="Tahoma" w:hAnsi="Tahoma" w:cs="Tahoma"/>
          <w:sz w:val="24"/>
          <w:szCs w:val="24"/>
        </w:rPr>
        <w:t xml:space="preserve">Logos: </w:t>
      </w:r>
      <w:r w:rsidR="00624D3F">
        <w:rPr>
          <w:rFonts w:ascii="Tahoma" w:hAnsi="Tahoma" w:cs="Tahoma"/>
          <w:sz w:val="24"/>
          <w:szCs w:val="24"/>
        </w:rPr>
        <w:t>VCU Center on Society &amp; Health</w:t>
      </w:r>
    </w:p>
    <w:p w:rsidR="0068626D" w:rsidRDefault="0068626D" w:rsidP="002C6F9D">
      <w:pPr>
        <w:spacing w:after="0" w:line="240" w:lineRule="auto"/>
        <w:rPr>
          <w:rFonts w:ascii="Tahoma" w:hAnsi="Tahoma" w:cs="Tahoma"/>
          <w:sz w:val="24"/>
          <w:szCs w:val="24"/>
        </w:rPr>
      </w:pPr>
    </w:p>
    <w:p w:rsidR="008C057C" w:rsidRDefault="00DF0DDF" w:rsidP="002C6F9D">
      <w:pPr>
        <w:spacing w:after="0" w:line="240" w:lineRule="auto"/>
        <w:rPr>
          <w:rFonts w:ascii="Tahoma" w:hAnsi="Tahoma" w:cs="Tahoma"/>
          <w:sz w:val="24"/>
          <w:szCs w:val="24"/>
        </w:rPr>
      </w:pPr>
      <w:r>
        <w:rPr>
          <w:rFonts w:ascii="Tahoma" w:hAnsi="Tahoma" w:cs="Tahoma"/>
          <w:sz w:val="24"/>
          <w:szCs w:val="24"/>
        </w:rPr>
        <w:t xml:space="preserve">Slide </w:t>
      </w:r>
      <w:r w:rsidR="00201832">
        <w:rPr>
          <w:rFonts w:ascii="Tahoma" w:hAnsi="Tahoma" w:cs="Tahoma"/>
          <w:sz w:val="24"/>
          <w:szCs w:val="24"/>
        </w:rPr>
        <w:t>2</w:t>
      </w:r>
      <w:r w:rsidR="00FF301E" w:rsidRPr="00805534">
        <w:rPr>
          <w:rFonts w:ascii="Tahoma" w:hAnsi="Tahoma" w:cs="Tahoma"/>
          <w:sz w:val="24"/>
          <w:szCs w:val="24"/>
        </w:rPr>
        <w:t>:</w:t>
      </w:r>
      <w:r w:rsidR="00FF301E">
        <w:rPr>
          <w:rFonts w:ascii="Tahoma" w:hAnsi="Tahoma" w:cs="Tahoma"/>
          <w:sz w:val="24"/>
          <w:szCs w:val="24"/>
        </w:rPr>
        <w:t xml:space="preserve"> </w:t>
      </w:r>
      <w:r w:rsidR="00624D3F" w:rsidRPr="00624D3F">
        <w:rPr>
          <w:rFonts w:ascii="Tahoma" w:hAnsi="Tahoma" w:cs="Tahoma"/>
          <w:sz w:val="24"/>
          <w:szCs w:val="24"/>
        </w:rPr>
        <w:t>Acknowledgments</w:t>
      </w:r>
    </w:p>
    <w:p w:rsidR="009256A8" w:rsidRDefault="009256A8" w:rsidP="009256A8">
      <w:pPr>
        <w:spacing w:after="0" w:line="240" w:lineRule="auto"/>
        <w:rPr>
          <w:rFonts w:ascii="Tahoma" w:hAnsi="Tahoma" w:cs="Tahoma"/>
          <w:bCs/>
          <w:sz w:val="24"/>
          <w:szCs w:val="24"/>
        </w:rPr>
      </w:pPr>
    </w:p>
    <w:p w:rsidR="00624D3F" w:rsidRPr="00624D3F" w:rsidRDefault="00624D3F" w:rsidP="00624D3F">
      <w:pPr>
        <w:spacing w:after="0" w:line="240" w:lineRule="auto"/>
        <w:rPr>
          <w:rFonts w:ascii="Tahoma" w:hAnsi="Tahoma" w:cs="Tahoma"/>
          <w:bCs/>
          <w:sz w:val="24"/>
          <w:szCs w:val="24"/>
        </w:rPr>
      </w:pPr>
      <w:r w:rsidRPr="00624D3F">
        <w:rPr>
          <w:rFonts w:ascii="Tahoma" w:hAnsi="Tahoma" w:cs="Tahoma"/>
          <w:bCs/>
          <w:sz w:val="24"/>
          <w:szCs w:val="24"/>
        </w:rPr>
        <w:t>Coauthors at VCU</w:t>
      </w:r>
    </w:p>
    <w:p w:rsidR="00624D3F" w:rsidRPr="00624D3F" w:rsidRDefault="00624D3F" w:rsidP="00624D3F">
      <w:pPr>
        <w:pStyle w:val="ListParagraph"/>
        <w:numPr>
          <w:ilvl w:val="0"/>
          <w:numId w:val="22"/>
        </w:numPr>
        <w:spacing w:after="0" w:line="240" w:lineRule="auto"/>
        <w:rPr>
          <w:rFonts w:ascii="Tahoma" w:hAnsi="Tahoma" w:cs="Tahoma"/>
          <w:bCs/>
          <w:sz w:val="24"/>
          <w:szCs w:val="24"/>
        </w:rPr>
      </w:pPr>
      <w:r w:rsidRPr="00624D3F">
        <w:rPr>
          <w:rFonts w:ascii="Tahoma" w:hAnsi="Tahoma" w:cs="Tahoma"/>
          <w:bCs/>
          <w:sz w:val="24"/>
          <w:szCs w:val="24"/>
        </w:rPr>
        <w:t>Derek Chapman, PhD</w:t>
      </w:r>
    </w:p>
    <w:p w:rsidR="00624D3F" w:rsidRPr="00624D3F" w:rsidRDefault="00624D3F" w:rsidP="00624D3F">
      <w:pPr>
        <w:pStyle w:val="ListParagraph"/>
        <w:numPr>
          <w:ilvl w:val="0"/>
          <w:numId w:val="22"/>
        </w:numPr>
        <w:spacing w:after="0" w:line="240" w:lineRule="auto"/>
        <w:rPr>
          <w:rFonts w:ascii="Tahoma" w:hAnsi="Tahoma" w:cs="Tahoma"/>
          <w:bCs/>
          <w:sz w:val="24"/>
          <w:szCs w:val="24"/>
        </w:rPr>
      </w:pPr>
      <w:r w:rsidRPr="00624D3F">
        <w:rPr>
          <w:rFonts w:ascii="Tahoma" w:hAnsi="Tahoma" w:cs="Tahoma"/>
          <w:bCs/>
          <w:sz w:val="24"/>
          <w:szCs w:val="24"/>
        </w:rPr>
        <w:t>Latoya Hill, MPH</w:t>
      </w:r>
    </w:p>
    <w:p w:rsidR="00624D3F" w:rsidRPr="00624D3F" w:rsidRDefault="00624D3F" w:rsidP="00624D3F">
      <w:pPr>
        <w:pStyle w:val="ListParagraph"/>
        <w:numPr>
          <w:ilvl w:val="0"/>
          <w:numId w:val="22"/>
        </w:numPr>
        <w:spacing w:after="0" w:line="240" w:lineRule="auto"/>
        <w:rPr>
          <w:rFonts w:ascii="Tahoma" w:hAnsi="Tahoma" w:cs="Tahoma"/>
          <w:bCs/>
          <w:sz w:val="24"/>
          <w:szCs w:val="24"/>
        </w:rPr>
      </w:pPr>
      <w:r w:rsidRPr="00624D3F">
        <w:rPr>
          <w:rFonts w:ascii="Tahoma" w:hAnsi="Tahoma" w:cs="Tahoma"/>
          <w:bCs/>
          <w:sz w:val="24"/>
          <w:szCs w:val="24"/>
        </w:rPr>
        <w:t xml:space="preserve">Heidi </w:t>
      </w:r>
      <w:proofErr w:type="spellStart"/>
      <w:r w:rsidRPr="00624D3F">
        <w:rPr>
          <w:rFonts w:ascii="Tahoma" w:hAnsi="Tahoma" w:cs="Tahoma"/>
          <w:bCs/>
          <w:sz w:val="24"/>
          <w:szCs w:val="24"/>
        </w:rPr>
        <w:t>Schoomaker</w:t>
      </w:r>
      <w:proofErr w:type="spellEnd"/>
      <w:r w:rsidRPr="00624D3F">
        <w:rPr>
          <w:rFonts w:ascii="Tahoma" w:hAnsi="Tahoma" w:cs="Tahoma"/>
          <w:bCs/>
          <w:sz w:val="24"/>
          <w:szCs w:val="24"/>
        </w:rPr>
        <w:t>, BA</w:t>
      </w:r>
    </w:p>
    <w:p w:rsidR="00624D3F" w:rsidRPr="00624D3F" w:rsidRDefault="00624D3F" w:rsidP="00624D3F">
      <w:pPr>
        <w:pStyle w:val="ListParagraph"/>
        <w:numPr>
          <w:ilvl w:val="0"/>
          <w:numId w:val="22"/>
        </w:numPr>
        <w:spacing w:after="0" w:line="240" w:lineRule="auto"/>
        <w:rPr>
          <w:rFonts w:ascii="Tahoma" w:hAnsi="Tahoma" w:cs="Tahoma"/>
          <w:bCs/>
          <w:sz w:val="24"/>
          <w:szCs w:val="24"/>
        </w:rPr>
      </w:pPr>
      <w:r w:rsidRPr="00624D3F">
        <w:rPr>
          <w:rFonts w:ascii="Tahoma" w:hAnsi="Tahoma" w:cs="Tahoma"/>
          <w:bCs/>
          <w:sz w:val="24"/>
          <w:szCs w:val="24"/>
        </w:rPr>
        <w:t>David Wheeler, PhD</w:t>
      </w:r>
    </w:p>
    <w:p w:rsidR="00624D3F" w:rsidRPr="00624D3F" w:rsidRDefault="00624D3F" w:rsidP="00624D3F">
      <w:pPr>
        <w:pStyle w:val="ListParagraph"/>
        <w:numPr>
          <w:ilvl w:val="0"/>
          <w:numId w:val="22"/>
        </w:numPr>
        <w:spacing w:after="0" w:line="240" w:lineRule="auto"/>
        <w:rPr>
          <w:rFonts w:ascii="Tahoma" w:hAnsi="Tahoma" w:cs="Tahoma"/>
          <w:bCs/>
          <w:sz w:val="24"/>
          <w:szCs w:val="24"/>
        </w:rPr>
      </w:pPr>
      <w:r w:rsidRPr="00624D3F">
        <w:rPr>
          <w:rFonts w:ascii="Tahoma" w:hAnsi="Tahoma" w:cs="Tahoma"/>
          <w:bCs/>
          <w:sz w:val="24"/>
          <w:szCs w:val="24"/>
        </w:rPr>
        <w:t>Lauren Snellings, MPH, CHES</w:t>
      </w:r>
    </w:p>
    <w:p w:rsidR="0068626D" w:rsidRPr="00624D3F" w:rsidRDefault="00624D3F" w:rsidP="00624D3F">
      <w:pPr>
        <w:pStyle w:val="ListParagraph"/>
        <w:numPr>
          <w:ilvl w:val="0"/>
          <w:numId w:val="22"/>
        </w:numPr>
        <w:spacing w:after="0" w:line="240" w:lineRule="auto"/>
        <w:rPr>
          <w:rFonts w:ascii="Tahoma" w:hAnsi="Tahoma" w:cs="Tahoma"/>
          <w:sz w:val="24"/>
          <w:szCs w:val="24"/>
        </w:rPr>
      </w:pPr>
      <w:r w:rsidRPr="00624D3F">
        <w:rPr>
          <w:rFonts w:ascii="Tahoma" w:hAnsi="Tahoma" w:cs="Tahoma"/>
          <w:bCs/>
          <w:sz w:val="24"/>
          <w:szCs w:val="24"/>
        </w:rPr>
        <w:t>Jong Hyung Lee, MS</w:t>
      </w:r>
    </w:p>
    <w:p w:rsidR="00624D3F" w:rsidRPr="00624D3F" w:rsidRDefault="00624D3F" w:rsidP="00624D3F">
      <w:pPr>
        <w:spacing w:after="0" w:line="240" w:lineRule="auto"/>
        <w:rPr>
          <w:rFonts w:ascii="Tahoma" w:hAnsi="Tahoma" w:cs="Tahoma"/>
          <w:sz w:val="24"/>
          <w:szCs w:val="24"/>
        </w:rPr>
      </w:pPr>
    </w:p>
    <w:p w:rsidR="00624D3F" w:rsidRPr="00624D3F" w:rsidRDefault="00624D3F" w:rsidP="00624D3F">
      <w:pPr>
        <w:spacing w:after="0" w:line="240" w:lineRule="auto"/>
        <w:rPr>
          <w:rFonts w:ascii="Tahoma" w:hAnsi="Tahoma" w:cs="Tahoma"/>
          <w:sz w:val="24"/>
          <w:szCs w:val="24"/>
        </w:rPr>
      </w:pPr>
      <w:r w:rsidRPr="00624D3F">
        <w:rPr>
          <w:rFonts w:ascii="Tahoma" w:hAnsi="Tahoma" w:cs="Tahoma"/>
          <w:sz w:val="24"/>
          <w:szCs w:val="24"/>
        </w:rPr>
        <w:t>Funders</w:t>
      </w:r>
    </w:p>
    <w:p w:rsidR="00624D3F" w:rsidRPr="00624D3F" w:rsidRDefault="00624D3F" w:rsidP="00624D3F">
      <w:pPr>
        <w:pStyle w:val="ListParagraph"/>
        <w:numPr>
          <w:ilvl w:val="0"/>
          <w:numId w:val="23"/>
        </w:numPr>
        <w:spacing w:after="0" w:line="240" w:lineRule="auto"/>
        <w:rPr>
          <w:rFonts w:ascii="Tahoma" w:hAnsi="Tahoma" w:cs="Tahoma"/>
          <w:sz w:val="24"/>
          <w:szCs w:val="24"/>
        </w:rPr>
      </w:pPr>
      <w:r w:rsidRPr="00624D3F">
        <w:rPr>
          <w:rFonts w:ascii="Tahoma" w:hAnsi="Tahoma" w:cs="Tahoma"/>
          <w:sz w:val="24"/>
          <w:szCs w:val="24"/>
        </w:rPr>
        <w:t>Healthcare Initiative Foundation</w:t>
      </w:r>
    </w:p>
    <w:p w:rsidR="00624D3F" w:rsidRPr="00624D3F" w:rsidRDefault="00624D3F" w:rsidP="00624D3F">
      <w:pPr>
        <w:pStyle w:val="ListParagraph"/>
        <w:numPr>
          <w:ilvl w:val="0"/>
          <w:numId w:val="23"/>
        </w:numPr>
        <w:spacing w:after="0" w:line="240" w:lineRule="auto"/>
        <w:rPr>
          <w:rFonts w:ascii="Tahoma" w:hAnsi="Tahoma" w:cs="Tahoma"/>
          <w:sz w:val="24"/>
          <w:szCs w:val="24"/>
        </w:rPr>
      </w:pPr>
      <w:r w:rsidRPr="00624D3F">
        <w:rPr>
          <w:rFonts w:ascii="Tahoma" w:hAnsi="Tahoma" w:cs="Tahoma"/>
          <w:sz w:val="24"/>
          <w:szCs w:val="24"/>
        </w:rPr>
        <w:t>Kaiser Permanente</w:t>
      </w:r>
    </w:p>
    <w:p w:rsidR="00624D3F" w:rsidRPr="00624D3F" w:rsidRDefault="00624D3F" w:rsidP="00624D3F">
      <w:pPr>
        <w:pStyle w:val="ListParagraph"/>
        <w:numPr>
          <w:ilvl w:val="0"/>
          <w:numId w:val="23"/>
        </w:numPr>
        <w:spacing w:after="0" w:line="240" w:lineRule="auto"/>
        <w:rPr>
          <w:rFonts w:ascii="Tahoma" w:hAnsi="Tahoma" w:cs="Tahoma"/>
          <w:sz w:val="24"/>
          <w:szCs w:val="24"/>
        </w:rPr>
      </w:pPr>
      <w:r w:rsidRPr="00624D3F">
        <w:rPr>
          <w:rFonts w:ascii="Tahoma" w:hAnsi="Tahoma" w:cs="Tahoma"/>
          <w:sz w:val="24"/>
          <w:szCs w:val="24"/>
        </w:rPr>
        <w:t>Northern Virginia Health Foundation</w:t>
      </w:r>
    </w:p>
    <w:p w:rsidR="00047AB9" w:rsidRPr="00624D3F" w:rsidRDefault="00624D3F" w:rsidP="00624D3F">
      <w:pPr>
        <w:pStyle w:val="ListParagraph"/>
        <w:numPr>
          <w:ilvl w:val="0"/>
          <w:numId w:val="23"/>
        </w:numPr>
        <w:spacing w:after="0" w:line="240" w:lineRule="auto"/>
        <w:rPr>
          <w:rFonts w:ascii="Tahoma" w:hAnsi="Tahoma" w:cs="Tahoma"/>
          <w:sz w:val="24"/>
          <w:szCs w:val="24"/>
        </w:rPr>
      </w:pPr>
      <w:r w:rsidRPr="00624D3F">
        <w:rPr>
          <w:rFonts w:ascii="Tahoma" w:hAnsi="Tahoma" w:cs="Tahoma"/>
          <w:sz w:val="24"/>
          <w:szCs w:val="24"/>
        </w:rPr>
        <w:t>Potomac Health Foundation</w:t>
      </w:r>
    </w:p>
    <w:p w:rsidR="00624D3F" w:rsidRDefault="00624D3F" w:rsidP="00624D3F">
      <w:pPr>
        <w:spacing w:after="0" w:line="240" w:lineRule="auto"/>
        <w:rPr>
          <w:rFonts w:ascii="Tahoma" w:hAnsi="Tahoma" w:cs="Tahoma"/>
          <w:sz w:val="24"/>
          <w:szCs w:val="24"/>
        </w:rPr>
      </w:pPr>
    </w:p>
    <w:p w:rsidR="00F6170F" w:rsidRDefault="00FF301E" w:rsidP="00F6170F">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 xml:space="preserve">lide </w:t>
      </w:r>
      <w:r w:rsidR="00201832">
        <w:rPr>
          <w:rFonts w:ascii="Tahoma" w:hAnsi="Tahoma" w:cs="Tahoma"/>
          <w:sz w:val="24"/>
          <w:szCs w:val="24"/>
        </w:rPr>
        <w:t>3</w:t>
      </w:r>
      <w:r w:rsidRPr="00805534">
        <w:rPr>
          <w:rFonts w:ascii="Tahoma" w:hAnsi="Tahoma" w:cs="Tahoma"/>
          <w:sz w:val="24"/>
          <w:szCs w:val="24"/>
        </w:rPr>
        <w:t>:</w:t>
      </w:r>
      <w:r>
        <w:rPr>
          <w:rFonts w:ascii="Tahoma" w:hAnsi="Tahoma" w:cs="Tahoma"/>
          <w:sz w:val="24"/>
          <w:szCs w:val="24"/>
        </w:rPr>
        <w:t xml:space="preserve"> </w:t>
      </w:r>
      <w:r w:rsidR="00DE261A" w:rsidRPr="00DE261A">
        <w:rPr>
          <w:rFonts w:ascii="Tahoma" w:hAnsi="Tahoma" w:cs="Tahoma"/>
          <w:bCs/>
          <w:sz w:val="24"/>
          <w:szCs w:val="24"/>
        </w:rPr>
        <w:t>Metropolitan Washington region among the healthiest (and wealthiest) in the nation</w:t>
      </w:r>
    </w:p>
    <w:p w:rsidR="009F711B" w:rsidRDefault="009F711B" w:rsidP="00F6170F">
      <w:pPr>
        <w:spacing w:after="0" w:line="240" w:lineRule="auto"/>
        <w:rPr>
          <w:rFonts w:ascii="Tahoma" w:hAnsi="Tahoma" w:cs="Tahoma"/>
          <w:bCs/>
          <w:sz w:val="24"/>
          <w:szCs w:val="24"/>
        </w:rPr>
      </w:pPr>
    </w:p>
    <w:p w:rsidR="009F711B" w:rsidRPr="00DE261A" w:rsidRDefault="009F711B" w:rsidP="00F6170F">
      <w:pPr>
        <w:spacing w:after="0" w:line="240" w:lineRule="auto"/>
        <w:rPr>
          <w:rFonts w:ascii="Tahoma" w:hAnsi="Tahoma" w:cs="Tahoma"/>
          <w:bCs/>
          <w:sz w:val="24"/>
          <w:szCs w:val="24"/>
        </w:rPr>
      </w:pPr>
      <w:r>
        <w:rPr>
          <w:rFonts w:ascii="Tahoma" w:hAnsi="Tahoma" w:cs="Tahoma"/>
          <w:bCs/>
          <w:sz w:val="24"/>
          <w:szCs w:val="24"/>
        </w:rPr>
        <w:t xml:space="preserve">Two maps of life expectancy Fig 1 female, Fig 2 male as of 2014 with a scale of 70-90. </w:t>
      </w:r>
      <w:r w:rsidRPr="009F711B">
        <w:rPr>
          <w:rFonts w:ascii="Tahoma" w:hAnsi="Tahoma" w:cs="Tahoma"/>
          <w:bCs/>
          <w:sz w:val="24"/>
          <w:szCs w:val="24"/>
        </w:rPr>
        <w:t>Source: Institute for Health Metrics and Evaluation, 2016.</w:t>
      </w:r>
    </w:p>
    <w:p w:rsidR="00047AB9" w:rsidRDefault="00047AB9" w:rsidP="00F6170F">
      <w:pPr>
        <w:spacing w:after="0" w:line="240" w:lineRule="auto"/>
        <w:rPr>
          <w:rFonts w:ascii="Tahoma" w:hAnsi="Tahoma" w:cs="Tahoma"/>
          <w:sz w:val="24"/>
          <w:szCs w:val="24"/>
        </w:rPr>
      </w:pPr>
    </w:p>
    <w:p w:rsidR="00841ED3" w:rsidRDefault="00DF0DDF" w:rsidP="00DE3E14">
      <w:pPr>
        <w:spacing w:after="0" w:line="240" w:lineRule="auto"/>
        <w:rPr>
          <w:rFonts w:ascii="Tahoma" w:hAnsi="Tahoma" w:cs="Tahoma"/>
          <w:bCs/>
          <w:sz w:val="24"/>
          <w:szCs w:val="24"/>
        </w:rPr>
      </w:pPr>
      <w:bookmarkStart w:id="0" w:name="_Hlk2778110"/>
      <w:r>
        <w:rPr>
          <w:rFonts w:ascii="Tahoma" w:hAnsi="Tahoma" w:cs="Tahoma"/>
          <w:sz w:val="24"/>
          <w:szCs w:val="24"/>
        </w:rPr>
        <w:t xml:space="preserve">Slide </w:t>
      </w:r>
      <w:r w:rsidR="00201832">
        <w:rPr>
          <w:rFonts w:ascii="Tahoma" w:hAnsi="Tahoma" w:cs="Tahoma"/>
          <w:sz w:val="24"/>
          <w:szCs w:val="24"/>
        </w:rPr>
        <w:t>4</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9F711B" w:rsidRPr="009F711B">
        <w:rPr>
          <w:rFonts w:ascii="Tahoma" w:hAnsi="Tahoma" w:cs="Tahoma"/>
          <w:bCs/>
          <w:sz w:val="24"/>
          <w:szCs w:val="24"/>
        </w:rPr>
        <w:t>Life expectancy varies by 27 years across the region</w:t>
      </w:r>
    </w:p>
    <w:p w:rsidR="003F63DD" w:rsidRDefault="003F63DD" w:rsidP="003F63DD">
      <w:pPr>
        <w:spacing w:after="0" w:line="240" w:lineRule="auto"/>
        <w:rPr>
          <w:rFonts w:ascii="Tahoma" w:hAnsi="Tahoma" w:cs="Tahoma"/>
          <w:bCs/>
          <w:sz w:val="24"/>
          <w:szCs w:val="24"/>
        </w:rPr>
      </w:pP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Colored map of region showing life expectancy</w:t>
      </w:r>
    </w:p>
    <w:p w:rsidR="00E02BA6" w:rsidRDefault="003F63DD" w:rsidP="003F63DD">
      <w:pPr>
        <w:spacing w:after="0" w:line="240" w:lineRule="auto"/>
        <w:rPr>
          <w:rFonts w:ascii="Tahoma" w:hAnsi="Tahoma" w:cs="Tahoma"/>
          <w:bCs/>
          <w:sz w:val="24"/>
          <w:szCs w:val="24"/>
        </w:rPr>
      </w:pPr>
      <w:r w:rsidRPr="003F63DD">
        <w:rPr>
          <w:rFonts w:ascii="Tahoma" w:hAnsi="Tahoma" w:cs="Tahoma"/>
          <w:bCs/>
          <w:sz w:val="24"/>
          <w:szCs w:val="24"/>
        </w:rPr>
        <w:lastRenderedPageBreak/>
        <w:t>Life expectancy, how long a newborn can expect to live, varies 27 years across the census tracts of the metropolitan Washington region. Darkly shaded tracts, reflecting lower life expectancy, exist in every jurisdiction—not just the District of Columbia and nearby neighborhoods but also suburban Maryland (Charles County, Frederick County, Montgomery County, Prince George’s County) and Virginia (Alexandria, Arlington County, Fairfax County, Loudoun County, and Prince William County). See Table 1-A in the appendix for life expectancy ranges for individual jurisdictions and Figure 1-A in the appendix for a full-size map.</w:t>
      </w:r>
    </w:p>
    <w:p w:rsidR="003F63DD" w:rsidRDefault="003F63DD" w:rsidP="003F63DD">
      <w:pPr>
        <w:spacing w:after="0" w:line="240" w:lineRule="auto"/>
        <w:rPr>
          <w:rFonts w:ascii="Tahoma" w:hAnsi="Tahoma" w:cs="Tahoma"/>
          <w:bCs/>
          <w:sz w:val="24"/>
          <w:szCs w:val="24"/>
        </w:rPr>
      </w:pPr>
    </w:p>
    <w:p w:rsidR="003F63DD" w:rsidRDefault="003F63DD" w:rsidP="003F63DD">
      <w:pPr>
        <w:spacing w:after="0" w:line="240" w:lineRule="auto"/>
        <w:rPr>
          <w:rFonts w:ascii="Tahoma" w:hAnsi="Tahoma" w:cs="Tahoma"/>
          <w:bCs/>
          <w:sz w:val="24"/>
          <w:szCs w:val="24"/>
        </w:rPr>
      </w:pPr>
    </w:p>
    <w:p w:rsid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Darkly shaded tracts, reflecting lower life</w:t>
      </w:r>
      <w:r>
        <w:rPr>
          <w:rFonts w:ascii="Tahoma" w:hAnsi="Tahoma" w:cs="Tahoma"/>
          <w:bCs/>
          <w:sz w:val="24"/>
          <w:szCs w:val="24"/>
        </w:rPr>
        <w:t xml:space="preserve"> </w:t>
      </w:r>
      <w:r w:rsidRPr="003F63DD">
        <w:rPr>
          <w:rFonts w:ascii="Tahoma" w:hAnsi="Tahoma" w:cs="Tahoma"/>
          <w:bCs/>
          <w:sz w:val="24"/>
          <w:szCs w:val="24"/>
        </w:rPr>
        <w:t>expectancy, exist in every jurisdiction—not just the District of Columbia and nearby neighborhoods</w:t>
      </w:r>
      <w:r>
        <w:rPr>
          <w:rFonts w:ascii="Tahoma" w:hAnsi="Tahoma" w:cs="Tahoma"/>
          <w:bCs/>
          <w:sz w:val="24"/>
          <w:szCs w:val="24"/>
        </w:rPr>
        <w:t xml:space="preserve"> </w:t>
      </w:r>
      <w:r w:rsidRPr="003F63DD">
        <w:rPr>
          <w:rFonts w:ascii="Tahoma" w:hAnsi="Tahoma" w:cs="Tahoma"/>
          <w:bCs/>
          <w:sz w:val="24"/>
          <w:szCs w:val="24"/>
        </w:rPr>
        <w:t>but also suburban Maryland (Charles County, Frederick County, Montgomery</w:t>
      </w:r>
      <w:r>
        <w:rPr>
          <w:rFonts w:ascii="Tahoma" w:hAnsi="Tahoma" w:cs="Tahoma"/>
          <w:bCs/>
          <w:sz w:val="24"/>
          <w:szCs w:val="24"/>
        </w:rPr>
        <w:t xml:space="preserve"> </w:t>
      </w:r>
      <w:r w:rsidRPr="003F63DD">
        <w:rPr>
          <w:rFonts w:ascii="Tahoma" w:hAnsi="Tahoma" w:cs="Tahoma"/>
          <w:bCs/>
          <w:sz w:val="24"/>
          <w:szCs w:val="24"/>
        </w:rPr>
        <w:t>County, Prince George’s County) and Virginia (Alexandria, Arlington County, Fairfax County,</w:t>
      </w:r>
      <w:r>
        <w:rPr>
          <w:rFonts w:ascii="Tahoma" w:hAnsi="Tahoma" w:cs="Tahoma"/>
          <w:bCs/>
          <w:sz w:val="24"/>
          <w:szCs w:val="24"/>
        </w:rPr>
        <w:t xml:space="preserve"> </w:t>
      </w:r>
      <w:r w:rsidRPr="003F63DD">
        <w:rPr>
          <w:rFonts w:ascii="Tahoma" w:hAnsi="Tahoma" w:cs="Tahoma"/>
          <w:bCs/>
          <w:sz w:val="24"/>
          <w:szCs w:val="24"/>
        </w:rPr>
        <w:t xml:space="preserve">Loudoun County, and Prince William County). </w:t>
      </w:r>
    </w:p>
    <w:p w:rsidR="003F63DD" w:rsidRDefault="003F63DD" w:rsidP="003F63DD">
      <w:pPr>
        <w:spacing w:after="0" w:line="240" w:lineRule="auto"/>
        <w:rPr>
          <w:rFonts w:ascii="Tahoma" w:hAnsi="Tahoma" w:cs="Tahoma"/>
          <w:bCs/>
          <w:sz w:val="24"/>
          <w:szCs w:val="24"/>
        </w:rPr>
      </w:pPr>
    </w:p>
    <w:p w:rsidR="003F63DD" w:rsidRPr="003F63DD" w:rsidRDefault="003F63DD" w:rsidP="003F63DD">
      <w:pPr>
        <w:spacing w:after="0" w:line="240" w:lineRule="auto"/>
        <w:rPr>
          <w:rFonts w:ascii="Tahoma" w:hAnsi="Tahoma" w:cs="Tahoma"/>
          <w:bCs/>
          <w:sz w:val="24"/>
          <w:szCs w:val="24"/>
        </w:rPr>
      </w:pPr>
      <w:r>
        <w:rPr>
          <w:rFonts w:ascii="Tahoma" w:hAnsi="Tahoma" w:cs="Tahoma"/>
          <w:bCs/>
          <w:sz w:val="24"/>
          <w:szCs w:val="24"/>
        </w:rPr>
        <w:t xml:space="preserve">Life </w:t>
      </w:r>
      <w:r w:rsidRPr="003F63DD">
        <w:rPr>
          <w:rFonts w:ascii="Tahoma" w:hAnsi="Tahoma" w:cs="Tahoma"/>
          <w:bCs/>
          <w:sz w:val="24"/>
          <w:szCs w:val="24"/>
        </w:rPr>
        <w:t>expectancy</w:t>
      </w:r>
      <w:r>
        <w:rPr>
          <w:rFonts w:ascii="Tahoma" w:hAnsi="Tahoma" w:cs="Tahoma"/>
          <w:bCs/>
          <w:sz w:val="24"/>
          <w:szCs w:val="24"/>
        </w:rPr>
        <w:t xml:space="preserve"> </w:t>
      </w:r>
      <w:r w:rsidRPr="003F63DD">
        <w:rPr>
          <w:rFonts w:ascii="Tahoma" w:hAnsi="Tahoma" w:cs="Tahoma"/>
          <w:bCs/>
          <w:sz w:val="24"/>
          <w:szCs w:val="24"/>
        </w:rPr>
        <w:t>ranges for individual jurisdictions</w:t>
      </w:r>
      <w:r>
        <w:rPr>
          <w:rFonts w:ascii="Tahoma" w:hAnsi="Tahoma" w:cs="Tahoma"/>
          <w:bCs/>
          <w:sz w:val="24"/>
          <w:szCs w:val="24"/>
        </w:rPr>
        <w:t>:</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76 years in White Flint</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86 years in Greenbelt</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92 years in Bethesda</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89 years in Tysons</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94 years in Georgetown</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67 years in Trinidad</w:t>
      </w:r>
    </w:p>
    <w:p w:rsidR="003F63DD" w:rsidRPr="003F63DD"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70 years in Suitland</w:t>
      </w:r>
    </w:p>
    <w:p w:rsidR="00321A2C" w:rsidRDefault="003F63DD" w:rsidP="003F63DD">
      <w:pPr>
        <w:spacing w:after="0" w:line="240" w:lineRule="auto"/>
        <w:rPr>
          <w:rFonts w:ascii="Tahoma" w:hAnsi="Tahoma" w:cs="Tahoma"/>
          <w:bCs/>
          <w:sz w:val="24"/>
          <w:szCs w:val="24"/>
        </w:rPr>
      </w:pPr>
      <w:r w:rsidRPr="003F63DD">
        <w:rPr>
          <w:rFonts w:ascii="Tahoma" w:hAnsi="Tahoma" w:cs="Tahoma"/>
          <w:bCs/>
          <w:sz w:val="24"/>
          <w:szCs w:val="24"/>
        </w:rPr>
        <w:t>•</w:t>
      </w:r>
      <w:r w:rsidRPr="003F63DD">
        <w:rPr>
          <w:rFonts w:ascii="Tahoma" w:hAnsi="Tahoma" w:cs="Tahoma"/>
          <w:bCs/>
          <w:sz w:val="24"/>
          <w:szCs w:val="24"/>
        </w:rPr>
        <w:tab/>
        <w:t>78 years in Alexandria</w:t>
      </w:r>
    </w:p>
    <w:p w:rsidR="003F63DD" w:rsidRDefault="003F63DD" w:rsidP="00321A2C">
      <w:pPr>
        <w:spacing w:after="0" w:line="240" w:lineRule="auto"/>
        <w:rPr>
          <w:rFonts w:ascii="Tahoma" w:hAnsi="Tahoma" w:cs="Tahoma"/>
          <w:bCs/>
          <w:sz w:val="24"/>
          <w:szCs w:val="24"/>
        </w:rPr>
      </w:pPr>
    </w:p>
    <w:p w:rsidR="003F63DD" w:rsidRDefault="003F63DD" w:rsidP="00321A2C">
      <w:pPr>
        <w:spacing w:after="0" w:line="240" w:lineRule="auto"/>
        <w:rPr>
          <w:rFonts w:ascii="Tahoma" w:hAnsi="Tahoma" w:cs="Tahoma"/>
          <w:bCs/>
          <w:sz w:val="24"/>
          <w:szCs w:val="24"/>
        </w:rPr>
      </w:pPr>
    </w:p>
    <w:p w:rsidR="00321A2C" w:rsidRDefault="00321A2C" w:rsidP="00321A2C">
      <w:pPr>
        <w:spacing w:after="0" w:line="240" w:lineRule="auto"/>
        <w:rPr>
          <w:rFonts w:ascii="Tahoma" w:hAnsi="Tahoma" w:cs="Tahoma"/>
          <w:bCs/>
          <w:sz w:val="24"/>
          <w:szCs w:val="24"/>
        </w:rPr>
      </w:pPr>
      <w:r>
        <w:rPr>
          <w:rFonts w:ascii="Tahoma" w:hAnsi="Tahoma" w:cs="Tahoma"/>
          <w:bCs/>
          <w:sz w:val="24"/>
          <w:szCs w:val="24"/>
        </w:rPr>
        <w:t xml:space="preserve">Slide 5: </w:t>
      </w:r>
      <w:r w:rsidR="003F63DD">
        <w:rPr>
          <w:rFonts w:ascii="Tahoma" w:hAnsi="Tahoma" w:cs="Tahoma"/>
          <w:bCs/>
          <w:sz w:val="24"/>
          <w:szCs w:val="24"/>
        </w:rPr>
        <w:t>Bar Graph of Life Expectancy Ranges (at birth)</w:t>
      </w:r>
    </w:p>
    <w:p w:rsidR="00321A2C" w:rsidRPr="00321A2C" w:rsidRDefault="00321A2C" w:rsidP="00321A2C">
      <w:pPr>
        <w:spacing w:after="0" w:line="240" w:lineRule="auto"/>
        <w:rPr>
          <w:rFonts w:ascii="Tahoma" w:hAnsi="Tahoma" w:cs="Tahoma"/>
          <w:bCs/>
          <w:sz w:val="24"/>
          <w:szCs w:val="24"/>
        </w:rPr>
      </w:pPr>
    </w:p>
    <w:bookmarkEnd w:id="0"/>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Washington DC, 66.7-94.3</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Maryland</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Charles County, 74.5-82.9</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Frederick County, 74.5-87.5</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Montgomery County, 75.5-92.2</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Prince George’s County, 70.3-86.1</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Virginia</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Arlington County, 78.4-88</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Alexandria City, 77.9-87</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Fairfax County, 77.9-89.5</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Loudoun County, 78.5-89.4</w:t>
      </w:r>
    </w:p>
    <w:p w:rsidR="003F63DD" w:rsidRPr="003F63DD" w:rsidRDefault="003F63DD" w:rsidP="003F63DD">
      <w:pPr>
        <w:pStyle w:val="ListParagraph"/>
        <w:spacing w:after="0" w:line="240" w:lineRule="auto"/>
        <w:rPr>
          <w:rFonts w:ascii="Tahoma" w:hAnsi="Tahoma" w:cs="Tahoma"/>
          <w:bCs/>
          <w:sz w:val="24"/>
          <w:szCs w:val="24"/>
        </w:rPr>
      </w:pPr>
      <w:r w:rsidRPr="003F63DD">
        <w:rPr>
          <w:rFonts w:ascii="Tahoma" w:hAnsi="Tahoma" w:cs="Tahoma"/>
          <w:bCs/>
          <w:sz w:val="24"/>
          <w:szCs w:val="24"/>
        </w:rPr>
        <w:t>Prince William County, 70.8-87.5</w:t>
      </w:r>
    </w:p>
    <w:p w:rsidR="00DE3E14" w:rsidRDefault="00DE3E14" w:rsidP="00DE3E14">
      <w:pPr>
        <w:pStyle w:val="ListParagraph"/>
        <w:spacing w:after="0" w:line="240" w:lineRule="auto"/>
        <w:rPr>
          <w:rFonts w:ascii="Tahoma" w:hAnsi="Tahoma" w:cs="Tahoma"/>
          <w:bCs/>
          <w:sz w:val="24"/>
          <w:szCs w:val="24"/>
        </w:rPr>
      </w:pPr>
    </w:p>
    <w:p w:rsidR="00321A2C" w:rsidRDefault="00321A2C" w:rsidP="00DE3E14">
      <w:pPr>
        <w:spacing w:after="0" w:line="240" w:lineRule="auto"/>
        <w:rPr>
          <w:rFonts w:ascii="Tahoma" w:hAnsi="Tahoma" w:cs="Tahoma"/>
          <w:sz w:val="24"/>
          <w:szCs w:val="24"/>
        </w:rPr>
      </w:pPr>
    </w:p>
    <w:p w:rsidR="00DE3E14" w:rsidRDefault="00DE3E14" w:rsidP="00DE3E14">
      <w:pPr>
        <w:spacing w:after="0" w:line="240" w:lineRule="auto"/>
        <w:rPr>
          <w:rFonts w:ascii="Tahoma" w:hAnsi="Tahoma" w:cs="Tahoma"/>
          <w:bCs/>
          <w:sz w:val="24"/>
          <w:szCs w:val="24"/>
        </w:rPr>
      </w:pPr>
      <w:r>
        <w:rPr>
          <w:rFonts w:ascii="Tahoma" w:hAnsi="Tahoma" w:cs="Tahoma"/>
          <w:sz w:val="24"/>
          <w:szCs w:val="24"/>
        </w:rPr>
        <w:t>Slide</w:t>
      </w:r>
      <w:r w:rsidR="00DC4EB9">
        <w:rPr>
          <w:rFonts w:ascii="Tahoma" w:hAnsi="Tahoma" w:cs="Tahoma"/>
          <w:sz w:val="24"/>
          <w:szCs w:val="24"/>
        </w:rPr>
        <w:t>s</w:t>
      </w:r>
      <w:r>
        <w:rPr>
          <w:rFonts w:ascii="Tahoma" w:hAnsi="Tahoma" w:cs="Tahoma"/>
          <w:sz w:val="24"/>
          <w:szCs w:val="24"/>
        </w:rPr>
        <w:t xml:space="preserve"> </w:t>
      </w:r>
      <w:r w:rsidR="00321A2C">
        <w:rPr>
          <w:rFonts w:ascii="Tahoma" w:hAnsi="Tahoma" w:cs="Tahoma"/>
          <w:sz w:val="24"/>
          <w:szCs w:val="24"/>
        </w:rPr>
        <w:t>6</w:t>
      </w:r>
      <w:r w:rsidR="00DC4EB9">
        <w:rPr>
          <w:rFonts w:ascii="Tahoma" w:hAnsi="Tahoma" w:cs="Tahoma"/>
          <w:sz w:val="24"/>
          <w:szCs w:val="24"/>
        </w:rPr>
        <w:t>-8</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00F6170F">
        <w:rPr>
          <w:rFonts w:ascii="Tahoma" w:hAnsi="Tahoma" w:cs="Tahoma"/>
          <w:bCs/>
          <w:sz w:val="24"/>
          <w:szCs w:val="24"/>
        </w:rPr>
        <w:t xml:space="preserve"> </w:t>
      </w:r>
      <w:r w:rsidR="00DC4EB9" w:rsidRPr="00DC4EB9">
        <w:rPr>
          <w:rFonts w:ascii="Tahoma" w:hAnsi="Tahoma" w:cs="Tahoma"/>
          <w:bCs/>
          <w:sz w:val="24"/>
          <w:szCs w:val="24"/>
        </w:rPr>
        <w:t>What shapes health?</w:t>
      </w:r>
    </w:p>
    <w:p w:rsidR="00DC4EB9" w:rsidRDefault="00DC4EB9" w:rsidP="00DE3E14">
      <w:pPr>
        <w:spacing w:after="0" w:line="240" w:lineRule="auto"/>
        <w:rPr>
          <w:rFonts w:ascii="Tahoma" w:hAnsi="Tahoma" w:cs="Tahoma"/>
          <w:bCs/>
          <w:sz w:val="24"/>
          <w:szCs w:val="24"/>
        </w:rPr>
      </w:pPr>
      <w:r>
        <w:rPr>
          <w:rFonts w:ascii="Tahoma" w:hAnsi="Tahoma" w:cs="Tahoma"/>
          <w:bCs/>
          <w:sz w:val="24"/>
          <w:szCs w:val="24"/>
        </w:rPr>
        <w:lastRenderedPageBreak/>
        <w:t>Graph showing Health surrounded by factors:</w:t>
      </w:r>
    </w:p>
    <w:p w:rsidR="00DC4EB9" w:rsidRDefault="00DC4EB9" w:rsidP="00DE3E14">
      <w:pPr>
        <w:spacing w:after="0" w:line="240" w:lineRule="auto"/>
        <w:rPr>
          <w:rFonts w:ascii="Tahoma" w:hAnsi="Tahoma" w:cs="Tahoma"/>
          <w:bCs/>
          <w:sz w:val="24"/>
          <w:szCs w:val="24"/>
        </w:rPr>
      </w:pP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Education</w:t>
      </w: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Economic resources</w:t>
      </w: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Housing</w:t>
      </w: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Transportation</w:t>
      </w: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Air &amp; Water</w:t>
      </w:r>
    </w:p>
    <w:p w:rsidR="00DC4EB9" w:rsidRPr="00DC4EB9"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Health care</w:t>
      </w:r>
    </w:p>
    <w:p w:rsidR="00F6170F" w:rsidRDefault="00DC4EB9" w:rsidP="00DC4EB9">
      <w:pPr>
        <w:pStyle w:val="ListParagraph"/>
        <w:numPr>
          <w:ilvl w:val="0"/>
          <w:numId w:val="24"/>
        </w:numPr>
        <w:spacing w:after="0" w:line="240" w:lineRule="auto"/>
        <w:rPr>
          <w:rFonts w:ascii="Tahoma" w:hAnsi="Tahoma" w:cs="Tahoma"/>
          <w:bCs/>
          <w:sz w:val="24"/>
          <w:szCs w:val="24"/>
        </w:rPr>
      </w:pPr>
      <w:r w:rsidRPr="00DC4EB9">
        <w:rPr>
          <w:rFonts w:ascii="Tahoma" w:hAnsi="Tahoma" w:cs="Tahoma"/>
          <w:bCs/>
          <w:sz w:val="24"/>
          <w:szCs w:val="24"/>
        </w:rPr>
        <w:t xml:space="preserve">Social environment </w:t>
      </w:r>
    </w:p>
    <w:p w:rsidR="00DC4EB9" w:rsidRDefault="00DC4EB9" w:rsidP="00DC4EB9">
      <w:pPr>
        <w:spacing w:after="0" w:line="240" w:lineRule="auto"/>
        <w:rPr>
          <w:rFonts w:ascii="Tahoma" w:hAnsi="Tahoma" w:cs="Tahoma"/>
          <w:bCs/>
          <w:sz w:val="24"/>
          <w:szCs w:val="24"/>
        </w:rPr>
      </w:pPr>
    </w:p>
    <w:p w:rsidR="00DC4EB9" w:rsidRDefault="00DC4EB9" w:rsidP="00DC4EB9">
      <w:pPr>
        <w:spacing w:after="0" w:line="240" w:lineRule="auto"/>
        <w:rPr>
          <w:rFonts w:ascii="Tahoma" w:hAnsi="Tahoma" w:cs="Tahoma"/>
          <w:bCs/>
          <w:sz w:val="24"/>
          <w:szCs w:val="24"/>
        </w:rPr>
      </w:pPr>
      <w:r>
        <w:rPr>
          <w:rFonts w:ascii="Tahoma" w:hAnsi="Tahoma" w:cs="Tahoma"/>
          <w:bCs/>
          <w:sz w:val="24"/>
          <w:szCs w:val="24"/>
        </w:rPr>
        <w:t>Next slide adds Race &amp; Ethnicity as an overarching factor</w:t>
      </w:r>
    </w:p>
    <w:p w:rsidR="00DC4EB9" w:rsidRDefault="00DC4EB9" w:rsidP="00DC4EB9">
      <w:pPr>
        <w:spacing w:after="0" w:line="240" w:lineRule="auto"/>
        <w:rPr>
          <w:rFonts w:ascii="Tahoma" w:hAnsi="Tahoma" w:cs="Tahoma"/>
          <w:bCs/>
          <w:sz w:val="24"/>
          <w:szCs w:val="24"/>
        </w:rPr>
      </w:pPr>
    </w:p>
    <w:p w:rsidR="00DC4EB9" w:rsidRPr="00DC4EB9" w:rsidRDefault="00DC4EB9" w:rsidP="00DC4EB9">
      <w:pPr>
        <w:spacing w:after="0" w:line="240" w:lineRule="auto"/>
        <w:rPr>
          <w:rFonts w:ascii="Tahoma" w:hAnsi="Tahoma" w:cs="Tahoma"/>
          <w:bCs/>
          <w:sz w:val="24"/>
          <w:szCs w:val="24"/>
        </w:rPr>
      </w:pPr>
      <w:r>
        <w:rPr>
          <w:rFonts w:ascii="Tahoma" w:hAnsi="Tahoma" w:cs="Tahoma"/>
          <w:bCs/>
          <w:sz w:val="24"/>
          <w:szCs w:val="24"/>
        </w:rPr>
        <w:t>Next slide adds Public Policy as an overarching factor</w:t>
      </w:r>
    </w:p>
    <w:p w:rsidR="00A83780" w:rsidRDefault="00A83780" w:rsidP="00A83780">
      <w:pPr>
        <w:spacing w:after="0" w:line="240" w:lineRule="auto"/>
        <w:rPr>
          <w:rFonts w:ascii="Tahoma" w:hAnsi="Tahoma" w:cs="Tahoma"/>
          <w:sz w:val="24"/>
          <w:szCs w:val="24"/>
        </w:rPr>
      </w:pPr>
    </w:p>
    <w:p w:rsidR="00047AB9" w:rsidRDefault="00047AB9" w:rsidP="00A83780">
      <w:pPr>
        <w:spacing w:after="0" w:line="240" w:lineRule="auto"/>
        <w:rPr>
          <w:rFonts w:ascii="Tahoma" w:hAnsi="Tahoma" w:cs="Tahoma"/>
          <w:sz w:val="24"/>
          <w:szCs w:val="24"/>
        </w:rPr>
      </w:pPr>
    </w:p>
    <w:p w:rsidR="001E36E2" w:rsidRDefault="001E36E2" w:rsidP="001E36E2">
      <w:pPr>
        <w:spacing w:after="0" w:line="240" w:lineRule="auto"/>
        <w:rPr>
          <w:rFonts w:ascii="Tahoma" w:hAnsi="Tahoma" w:cs="Tahoma"/>
          <w:bCs/>
          <w:sz w:val="24"/>
          <w:szCs w:val="24"/>
        </w:rPr>
      </w:pPr>
      <w:r>
        <w:rPr>
          <w:rFonts w:ascii="Tahoma" w:hAnsi="Tahoma" w:cs="Tahoma"/>
          <w:sz w:val="24"/>
          <w:szCs w:val="24"/>
        </w:rPr>
        <w:t xml:space="preserve">Slide </w:t>
      </w:r>
      <w:r w:rsidR="00DC4EB9">
        <w:rPr>
          <w:rFonts w:ascii="Tahoma" w:hAnsi="Tahoma" w:cs="Tahoma"/>
          <w:sz w:val="24"/>
          <w:szCs w:val="24"/>
        </w:rPr>
        <w:t>9</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00DC4EB9" w:rsidRPr="00DC4EB9">
        <w:rPr>
          <w:rFonts w:ascii="Tahoma" w:hAnsi="Tahoma" w:cs="Tahoma"/>
          <w:bCs/>
          <w:sz w:val="24"/>
          <w:szCs w:val="24"/>
        </w:rPr>
        <w:t>Regional plan for metropolitan Washington region</w:t>
      </w:r>
    </w:p>
    <w:p w:rsidR="00E02BA6" w:rsidRDefault="00E02BA6" w:rsidP="001E36E2">
      <w:pPr>
        <w:spacing w:after="0" w:line="240" w:lineRule="auto"/>
        <w:rPr>
          <w:rFonts w:ascii="Tahoma" w:hAnsi="Tahoma" w:cs="Tahoma"/>
          <w:bCs/>
          <w:sz w:val="24"/>
          <w:szCs w:val="24"/>
        </w:rPr>
      </w:pPr>
    </w:p>
    <w:p w:rsidR="00E02BA6" w:rsidRDefault="00DC4EB9" w:rsidP="00DC4EB9">
      <w:pPr>
        <w:spacing w:after="0" w:line="240" w:lineRule="auto"/>
        <w:rPr>
          <w:rFonts w:ascii="Tahoma" w:hAnsi="Tahoma" w:cs="Tahoma"/>
          <w:bCs/>
          <w:sz w:val="24"/>
          <w:szCs w:val="24"/>
        </w:rPr>
      </w:pPr>
      <w:r w:rsidRPr="00DC4EB9">
        <w:rPr>
          <w:rFonts w:ascii="Tahoma" w:hAnsi="Tahoma" w:cs="Tahoma"/>
          <w:bCs/>
          <w:sz w:val="24"/>
          <w:szCs w:val="24"/>
        </w:rPr>
        <w:t>Screen shot of cover of Region Forward Plan</w:t>
      </w:r>
      <w:r>
        <w:rPr>
          <w:rFonts w:ascii="Tahoma" w:hAnsi="Tahoma" w:cs="Tahoma"/>
          <w:bCs/>
          <w:sz w:val="24"/>
          <w:szCs w:val="24"/>
        </w:rPr>
        <w:t>: A Comprehensive Guide for Regional Planning and Measuring Progress in the 21</w:t>
      </w:r>
      <w:r w:rsidRPr="00DC4EB9">
        <w:rPr>
          <w:rFonts w:ascii="Tahoma" w:hAnsi="Tahoma" w:cs="Tahoma"/>
          <w:bCs/>
          <w:sz w:val="24"/>
          <w:szCs w:val="24"/>
          <w:vertAlign w:val="superscript"/>
        </w:rPr>
        <w:t>st</w:t>
      </w:r>
      <w:r>
        <w:rPr>
          <w:rFonts w:ascii="Tahoma" w:hAnsi="Tahoma" w:cs="Tahoma"/>
          <w:bCs/>
          <w:sz w:val="24"/>
          <w:szCs w:val="24"/>
        </w:rPr>
        <w:t xml:space="preserve"> Century – prepared by the Greater Washington 2050 C</w:t>
      </w:r>
      <w:r w:rsidR="00822921">
        <w:rPr>
          <w:rFonts w:ascii="Tahoma" w:hAnsi="Tahoma" w:cs="Tahoma"/>
          <w:bCs/>
          <w:sz w:val="24"/>
          <w:szCs w:val="24"/>
        </w:rPr>
        <w:t>oalition, Approved by COG Board of Directors on January 13, 2010</w:t>
      </w:r>
    </w:p>
    <w:p w:rsidR="00DC4EB9" w:rsidRPr="00DC4EB9" w:rsidRDefault="00DC4EB9" w:rsidP="00DC4EB9">
      <w:pPr>
        <w:spacing w:after="0" w:line="240" w:lineRule="auto"/>
        <w:rPr>
          <w:rFonts w:ascii="Tahoma" w:hAnsi="Tahoma" w:cs="Tahoma"/>
          <w:bCs/>
          <w:sz w:val="24"/>
          <w:szCs w:val="24"/>
        </w:rPr>
      </w:pPr>
    </w:p>
    <w:p w:rsidR="00DC4EB9" w:rsidRDefault="00DC4EB9" w:rsidP="00DC4EB9">
      <w:pPr>
        <w:spacing w:after="0" w:line="240" w:lineRule="auto"/>
        <w:rPr>
          <w:rFonts w:ascii="Tahoma" w:hAnsi="Tahoma" w:cs="Tahoma"/>
          <w:bCs/>
          <w:sz w:val="24"/>
          <w:szCs w:val="24"/>
        </w:rPr>
      </w:pPr>
      <w:r w:rsidRPr="00DC4EB9">
        <w:rPr>
          <w:rFonts w:ascii="Tahoma" w:hAnsi="Tahoma" w:cs="Tahoma"/>
          <w:bCs/>
          <w:sz w:val="24"/>
          <w:szCs w:val="24"/>
        </w:rPr>
        <w:t>Graph of Region Forward</w:t>
      </w:r>
      <w:r>
        <w:rPr>
          <w:rFonts w:ascii="Tahoma" w:hAnsi="Tahoma" w:cs="Tahoma"/>
          <w:bCs/>
          <w:sz w:val="24"/>
          <w:szCs w:val="24"/>
        </w:rPr>
        <w:t>’s 9</w:t>
      </w:r>
      <w:r w:rsidRPr="00DC4EB9">
        <w:rPr>
          <w:rFonts w:ascii="Tahoma" w:hAnsi="Tahoma" w:cs="Tahoma"/>
          <w:bCs/>
          <w:sz w:val="24"/>
          <w:szCs w:val="24"/>
        </w:rPr>
        <w:t xml:space="preserve"> </w:t>
      </w:r>
      <w:r>
        <w:rPr>
          <w:rFonts w:ascii="Tahoma" w:hAnsi="Tahoma" w:cs="Tahoma"/>
          <w:bCs/>
          <w:sz w:val="24"/>
          <w:szCs w:val="24"/>
        </w:rPr>
        <w:t>Domains:</w:t>
      </w:r>
    </w:p>
    <w:p w:rsidR="00DC4EB9" w:rsidRDefault="00DC4EB9" w:rsidP="00DC4EB9">
      <w:pPr>
        <w:spacing w:after="0" w:line="240" w:lineRule="auto"/>
        <w:rPr>
          <w:rFonts w:ascii="Tahoma" w:hAnsi="Tahoma" w:cs="Tahoma"/>
          <w:bCs/>
          <w:sz w:val="24"/>
          <w:szCs w:val="24"/>
        </w:rPr>
      </w:pP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Land Use</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Transportation</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Environment</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Climate &amp; Energy</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Economic</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Housing</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Health</w:t>
      </w:r>
    </w:p>
    <w:p w:rsid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Education</w:t>
      </w:r>
    </w:p>
    <w:p w:rsidR="00DC4EB9" w:rsidRPr="00DC4EB9" w:rsidRDefault="00DC4EB9" w:rsidP="00DC4EB9">
      <w:pPr>
        <w:pStyle w:val="ListParagraph"/>
        <w:numPr>
          <w:ilvl w:val="0"/>
          <w:numId w:val="25"/>
        </w:numPr>
        <w:spacing w:after="0" w:line="240" w:lineRule="auto"/>
        <w:rPr>
          <w:rFonts w:ascii="Tahoma" w:hAnsi="Tahoma" w:cs="Tahoma"/>
          <w:bCs/>
          <w:sz w:val="24"/>
          <w:szCs w:val="24"/>
        </w:rPr>
      </w:pPr>
      <w:r>
        <w:rPr>
          <w:rFonts w:ascii="Tahoma" w:hAnsi="Tahoma" w:cs="Tahoma"/>
          <w:bCs/>
          <w:sz w:val="24"/>
          <w:szCs w:val="24"/>
        </w:rPr>
        <w:t>Public Safety</w:t>
      </w:r>
    </w:p>
    <w:p w:rsidR="001E36E2" w:rsidRDefault="001E36E2" w:rsidP="001E36E2">
      <w:pPr>
        <w:spacing w:after="0" w:line="240" w:lineRule="auto"/>
        <w:rPr>
          <w:rFonts w:ascii="Tahoma" w:hAnsi="Tahoma" w:cs="Tahoma"/>
          <w:bCs/>
          <w:sz w:val="24"/>
          <w:szCs w:val="24"/>
        </w:rPr>
      </w:pPr>
    </w:p>
    <w:p w:rsidR="00047AB9" w:rsidRDefault="00047AB9" w:rsidP="001E36E2">
      <w:pPr>
        <w:spacing w:after="0" w:line="240" w:lineRule="auto"/>
        <w:rPr>
          <w:rFonts w:ascii="Tahoma" w:hAnsi="Tahoma" w:cs="Tahoma"/>
          <w:bCs/>
          <w:sz w:val="24"/>
          <w:szCs w:val="24"/>
        </w:rPr>
      </w:pPr>
    </w:p>
    <w:p w:rsidR="001E36E2" w:rsidRDefault="001E36E2" w:rsidP="001E36E2">
      <w:pPr>
        <w:spacing w:after="0" w:line="240" w:lineRule="auto"/>
        <w:rPr>
          <w:rFonts w:ascii="Tahoma" w:hAnsi="Tahoma" w:cs="Tahoma"/>
          <w:bCs/>
          <w:sz w:val="24"/>
          <w:szCs w:val="24"/>
        </w:rPr>
      </w:pPr>
      <w:r>
        <w:rPr>
          <w:rFonts w:ascii="Tahoma" w:hAnsi="Tahoma" w:cs="Tahoma"/>
          <w:sz w:val="24"/>
          <w:szCs w:val="24"/>
        </w:rPr>
        <w:t xml:space="preserve">Slide </w:t>
      </w:r>
      <w:r w:rsidR="00822921">
        <w:rPr>
          <w:rFonts w:ascii="Tahoma" w:hAnsi="Tahoma" w:cs="Tahoma"/>
          <w:sz w:val="24"/>
          <w:szCs w:val="24"/>
        </w:rPr>
        <w:t>10</w:t>
      </w:r>
      <w:r w:rsidRPr="00805534">
        <w:rPr>
          <w:rFonts w:ascii="Tahoma" w:hAnsi="Tahoma" w:cs="Tahoma"/>
          <w:sz w:val="24"/>
          <w:szCs w:val="24"/>
        </w:rPr>
        <w:t>:</w:t>
      </w:r>
      <w:r>
        <w:rPr>
          <w:rFonts w:ascii="Tahoma" w:hAnsi="Tahoma" w:cs="Tahoma"/>
          <w:sz w:val="24"/>
          <w:szCs w:val="24"/>
        </w:rPr>
        <w:t xml:space="preserve"> </w:t>
      </w:r>
      <w:r>
        <w:rPr>
          <w:rFonts w:ascii="Tahoma" w:hAnsi="Tahoma" w:cs="Tahoma"/>
          <w:bCs/>
          <w:sz w:val="24"/>
          <w:szCs w:val="24"/>
        </w:rPr>
        <w:t xml:space="preserve"> </w:t>
      </w:r>
      <w:r w:rsidR="00822921" w:rsidRPr="00822921">
        <w:rPr>
          <w:rFonts w:ascii="Tahoma" w:hAnsi="Tahoma" w:cs="Tahoma"/>
          <w:bCs/>
          <w:sz w:val="24"/>
          <w:szCs w:val="24"/>
        </w:rPr>
        <w:t>Geographic area examined</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Map of region</w:t>
      </w:r>
    </w:p>
    <w:p w:rsidR="00E02BA6" w:rsidRDefault="00E02BA6" w:rsidP="001E36E2">
      <w:pPr>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District of Columbia</w:t>
      </w:r>
    </w:p>
    <w:p w:rsidR="00822921" w:rsidRPr="00822921" w:rsidRDefault="00822921" w:rsidP="00822921">
      <w:pPr>
        <w:pStyle w:val="ListParagraph"/>
        <w:numPr>
          <w:ilvl w:val="0"/>
          <w:numId w:val="26"/>
        </w:numPr>
        <w:spacing w:after="0" w:line="240" w:lineRule="auto"/>
        <w:rPr>
          <w:rFonts w:ascii="Tahoma" w:hAnsi="Tahoma" w:cs="Tahoma"/>
          <w:bCs/>
          <w:sz w:val="24"/>
          <w:szCs w:val="24"/>
        </w:rPr>
      </w:pPr>
      <w:r w:rsidRPr="00822921">
        <w:rPr>
          <w:rFonts w:ascii="Tahoma" w:hAnsi="Tahoma" w:cs="Tahoma"/>
          <w:bCs/>
          <w:sz w:val="24"/>
          <w:szCs w:val="24"/>
        </w:rPr>
        <w:t>All wards (8)</w:t>
      </w:r>
      <w:r w:rsidRPr="00822921">
        <w:rPr>
          <w:rFonts w:ascii="Tahoma" w:hAnsi="Tahoma" w:cs="Tahoma"/>
          <w:bCs/>
          <w:sz w:val="24"/>
          <w:szCs w:val="24"/>
        </w:rPr>
        <w:tab/>
      </w: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Maryland</w:t>
      </w:r>
      <w:r w:rsidRPr="00822921">
        <w:rPr>
          <w:rFonts w:ascii="Tahoma" w:hAnsi="Tahoma" w:cs="Tahoma"/>
          <w:bCs/>
          <w:sz w:val="24"/>
          <w:szCs w:val="24"/>
        </w:rPr>
        <w:tab/>
      </w:r>
    </w:p>
    <w:p w:rsidR="00822921" w:rsidRPr="00822921" w:rsidRDefault="00822921" w:rsidP="00822921">
      <w:pPr>
        <w:pStyle w:val="ListParagraph"/>
        <w:numPr>
          <w:ilvl w:val="0"/>
          <w:numId w:val="26"/>
        </w:numPr>
        <w:spacing w:after="0" w:line="240" w:lineRule="auto"/>
        <w:rPr>
          <w:rFonts w:ascii="Tahoma" w:hAnsi="Tahoma" w:cs="Tahoma"/>
          <w:bCs/>
          <w:sz w:val="24"/>
          <w:szCs w:val="24"/>
        </w:rPr>
      </w:pPr>
      <w:r w:rsidRPr="00822921">
        <w:rPr>
          <w:rFonts w:ascii="Tahoma" w:hAnsi="Tahoma" w:cs="Tahoma"/>
          <w:bCs/>
          <w:sz w:val="24"/>
          <w:szCs w:val="24"/>
        </w:rPr>
        <w:t>Charles County</w:t>
      </w:r>
      <w:r w:rsidRPr="00822921">
        <w:rPr>
          <w:rFonts w:ascii="Tahoma" w:hAnsi="Tahoma" w:cs="Tahoma"/>
          <w:bCs/>
          <w:sz w:val="24"/>
          <w:szCs w:val="24"/>
        </w:rPr>
        <w:tab/>
      </w:r>
    </w:p>
    <w:p w:rsidR="00822921" w:rsidRPr="00822921" w:rsidRDefault="00822921" w:rsidP="00822921">
      <w:pPr>
        <w:pStyle w:val="ListParagraph"/>
        <w:numPr>
          <w:ilvl w:val="0"/>
          <w:numId w:val="26"/>
        </w:numPr>
        <w:spacing w:after="0" w:line="240" w:lineRule="auto"/>
        <w:rPr>
          <w:rFonts w:ascii="Tahoma" w:hAnsi="Tahoma" w:cs="Tahoma"/>
          <w:bCs/>
          <w:sz w:val="24"/>
          <w:szCs w:val="24"/>
        </w:rPr>
      </w:pPr>
      <w:r w:rsidRPr="00822921">
        <w:rPr>
          <w:rFonts w:ascii="Tahoma" w:hAnsi="Tahoma" w:cs="Tahoma"/>
          <w:bCs/>
          <w:sz w:val="24"/>
          <w:szCs w:val="24"/>
        </w:rPr>
        <w:t>Frederick County (plus the City of Frederick)</w:t>
      </w:r>
    </w:p>
    <w:p w:rsidR="00822921" w:rsidRPr="00822921" w:rsidRDefault="00822921" w:rsidP="00822921">
      <w:pPr>
        <w:pStyle w:val="ListParagraph"/>
        <w:numPr>
          <w:ilvl w:val="0"/>
          <w:numId w:val="26"/>
        </w:numPr>
        <w:spacing w:after="0" w:line="240" w:lineRule="auto"/>
        <w:rPr>
          <w:rFonts w:ascii="Tahoma" w:hAnsi="Tahoma" w:cs="Tahoma"/>
          <w:bCs/>
          <w:sz w:val="24"/>
          <w:szCs w:val="24"/>
        </w:rPr>
      </w:pPr>
      <w:r w:rsidRPr="00822921">
        <w:rPr>
          <w:rFonts w:ascii="Tahoma" w:hAnsi="Tahoma" w:cs="Tahoma"/>
          <w:bCs/>
          <w:sz w:val="24"/>
          <w:szCs w:val="24"/>
        </w:rPr>
        <w:t>Montgomery County (plus Gaithersburg, Rockville, and Takoma Park)</w:t>
      </w:r>
      <w:r w:rsidRPr="00822921">
        <w:rPr>
          <w:rFonts w:ascii="Tahoma" w:hAnsi="Tahoma" w:cs="Tahoma"/>
          <w:bCs/>
          <w:sz w:val="24"/>
          <w:szCs w:val="24"/>
        </w:rPr>
        <w:tab/>
      </w:r>
    </w:p>
    <w:p w:rsidR="00822921" w:rsidRPr="00822921" w:rsidRDefault="00822921" w:rsidP="00822921">
      <w:pPr>
        <w:pStyle w:val="ListParagraph"/>
        <w:numPr>
          <w:ilvl w:val="0"/>
          <w:numId w:val="26"/>
        </w:numPr>
        <w:spacing w:after="0" w:line="240" w:lineRule="auto"/>
        <w:rPr>
          <w:rFonts w:ascii="Tahoma" w:hAnsi="Tahoma" w:cs="Tahoma"/>
          <w:bCs/>
          <w:sz w:val="24"/>
          <w:szCs w:val="24"/>
        </w:rPr>
      </w:pPr>
      <w:r w:rsidRPr="00822921">
        <w:rPr>
          <w:rFonts w:ascii="Tahoma" w:hAnsi="Tahoma" w:cs="Tahoma"/>
          <w:bCs/>
          <w:sz w:val="24"/>
          <w:szCs w:val="24"/>
        </w:rPr>
        <w:lastRenderedPageBreak/>
        <w:t xml:space="preserve">Prince George’s County (plus Bladensburg, Bowie, College Park, and Greenbelt) </w:t>
      </w:r>
      <w:r w:rsidRPr="00822921">
        <w:rPr>
          <w:rFonts w:ascii="Tahoma" w:hAnsi="Tahoma" w:cs="Tahoma"/>
          <w:bCs/>
          <w:sz w:val="24"/>
          <w:szCs w:val="24"/>
        </w:rPr>
        <w:tab/>
      </w:r>
    </w:p>
    <w:p w:rsidR="00822921" w:rsidRDefault="00822921" w:rsidP="00822921">
      <w:pPr>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Virginia</w:t>
      </w:r>
      <w:r w:rsidRPr="00822921">
        <w:rPr>
          <w:rFonts w:ascii="Tahoma" w:hAnsi="Tahoma" w:cs="Tahoma"/>
          <w:bCs/>
          <w:sz w:val="24"/>
          <w:szCs w:val="24"/>
        </w:rPr>
        <w:tab/>
      </w:r>
    </w:p>
    <w:p w:rsidR="00822921" w:rsidRPr="00822921" w:rsidRDefault="00822921" w:rsidP="00822921">
      <w:pPr>
        <w:pStyle w:val="ListParagraph"/>
        <w:numPr>
          <w:ilvl w:val="0"/>
          <w:numId w:val="27"/>
        </w:numPr>
        <w:spacing w:after="0" w:line="240" w:lineRule="auto"/>
        <w:rPr>
          <w:rFonts w:ascii="Tahoma" w:hAnsi="Tahoma" w:cs="Tahoma"/>
          <w:bCs/>
          <w:sz w:val="24"/>
          <w:szCs w:val="24"/>
        </w:rPr>
      </w:pPr>
      <w:r w:rsidRPr="00822921">
        <w:rPr>
          <w:rFonts w:ascii="Tahoma" w:hAnsi="Tahoma" w:cs="Tahoma"/>
          <w:bCs/>
          <w:sz w:val="24"/>
          <w:szCs w:val="24"/>
        </w:rPr>
        <w:t xml:space="preserve">Arlington County </w:t>
      </w:r>
      <w:r w:rsidRPr="00822921">
        <w:rPr>
          <w:rFonts w:ascii="Tahoma" w:hAnsi="Tahoma" w:cs="Tahoma"/>
          <w:bCs/>
          <w:sz w:val="24"/>
          <w:szCs w:val="24"/>
        </w:rPr>
        <w:tab/>
      </w:r>
    </w:p>
    <w:p w:rsidR="00822921" w:rsidRPr="00822921" w:rsidRDefault="00822921" w:rsidP="00822921">
      <w:pPr>
        <w:pStyle w:val="ListParagraph"/>
        <w:numPr>
          <w:ilvl w:val="0"/>
          <w:numId w:val="27"/>
        </w:numPr>
        <w:spacing w:after="0" w:line="240" w:lineRule="auto"/>
        <w:rPr>
          <w:rFonts w:ascii="Tahoma" w:hAnsi="Tahoma" w:cs="Tahoma"/>
          <w:bCs/>
          <w:sz w:val="24"/>
          <w:szCs w:val="24"/>
        </w:rPr>
      </w:pPr>
      <w:r w:rsidRPr="00822921">
        <w:rPr>
          <w:rFonts w:ascii="Tahoma" w:hAnsi="Tahoma" w:cs="Tahoma"/>
          <w:bCs/>
          <w:sz w:val="24"/>
          <w:szCs w:val="24"/>
        </w:rPr>
        <w:t>City of Alexandria</w:t>
      </w:r>
      <w:r w:rsidRPr="00822921">
        <w:rPr>
          <w:rFonts w:ascii="Tahoma" w:hAnsi="Tahoma" w:cs="Tahoma"/>
          <w:bCs/>
          <w:sz w:val="24"/>
          <w:szCs w:val="24"/>
        </w:rPr>
        <w:tab/>
      </w:r>
    </w:p>
    <w:p w:rsidR="00822921" w:rsidRPr="00822921" w:rsidRDefault="00822921" w:rsidP="00822921">
      <w:pPr>
        <w:pStyle w:val="ListParagraph"/>
        <w:numPr>
          <w:ilvl w:val="0"/>
          <w:numId w:val="27"/>
        </w:numPr>
        <w:spacing w:after="0" w:line="240" w:lineRule="auto"/>
        <w:rPr>
          <w:rFonts w:ascii="Tahoma" w:hAnsi="Tahoma" w:cs="Tahoma"/>
          <w:bCs/>
          <w:sz w:val="24"/>
          <w:szCs w:val="24"/>
        </w:rPr>
      </w:pPr>
      <w:r w:rsidRPr="00822921">
        <w:rPr>
          <w:rFonts w:ascii="Tahoma" w:hAnsi="Tahoma" w:cs="Tahoma"/>
          <w:bCs/>
          <w:sz w:val="24"/>
          <w:szCs w:val="24"/>
        </w:rPr>
        <w:t>Fairfax County (plus Fairfax City and Falls Church City)</w:t>
      </w:r>
      <w:r w:rsidRPr="00822921">
        <w:rPr>
          <w:rFonts w:ascii="Tahoma" w:hAnsi="Tahoma" w:cs="Tahoma"/>
          <w:bCs/>
          <w:sz w:val="24"/>
          <w:szCs w:val="24"/>
        </w:rPr>
        <w:tab/>
      </w:r>
    </w:p>
    <w:p w:rsidR="00822921" w:rsidRPr="00822921" w:rsidRDefault="00822921" w:rsidP="00822921">
      <w:pPr>
        <w:pStyle w:val="ListParagraph"/>
        <w:numPr>
          <w:ilvl w:val="0"/>
          <w:numId w:val="27"/>
        </w:numPr>
        <w:spacing w:after="0" w:line="240" w:lineRule="auto"/>
        <w:rPr>
          <w:rFonts w:ascii="Tahoma" w:hAnsi="Tahoma" w:cs="Tahoma"/>
          <w:bCs/>
          <w:sz w:val="24"/>
          <w:szCs w:val="24"/>
        </w:rPr>
      </w:pPr>
      <w:r w:rsidRPr="00822921">
        <w:rPr>
          <w:rFonts w:ascii="Tahoma" w:hAnsi="Tahoma" w:cs="Tahoma"/>
          <w:bCs/>
          <w:sz w:val="24"/>
          <w:szCs w:val="24"/>
        </w:rPr>
        <w:t>Loudoun County</w:t>
      </w:r>
      <w:r w:rsidRPr="00822921">
        <w:rPr>
          <w:rFonts w:ascii="Tahoma" w:hAnsi="Tahoma" w:cs="Tahoma"/>
          <w:bCs/>
          <w:sz w:val="24"/>
          <w:szCs w:val="24"/>
        </w:rPr>
        <w:tab/>
      </w:r>
    </w:p>
    <w:p w:rsidR="00822921" w:rsidRPr="00822921" w:rsidRDefault="00822921" w:rsidP="00822921">
      <w:pPr>
        <w:pStyle w:val="ListParagraph"/>
        <w:numPr>
          <w:ilvl w:val="0"/>
          <w:numId w:val="27"/>
        </w:numPr>
        <w:spacing w:after="0" w:line="240" w:lineRule="auto"/>
        <w:rPr>
          <w:rFonts w:ascii="Tahoma" w:hAnsi="Tahoma" w:cs="Tahoma"/>
          <w:bCs/>
          <w:sz w:val="24"/>
          <w:szCs w:val="24"/>
        </w:rPr>
      </w:pPr>
      <w:r w:rsidRPr="00822921">
        <w:rPr>
          <w:rFonts w:ascii="Tahoma" w:hAnsi="Tahoma" w:cs="Tahoma"/>
          <w:bCs/>
          <w:sz w:val="24"/>
          <w:szCs w:val="24"/>
        </w:rPr>
        <w:t>Prince William County (plus Manassas and Manassas Park cities)</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1</w:t>
      </w:r>
      <w:r w:rsidRPr="00822921">
        <w:rPr>
          <w:rFonts w:ascii="Tahoma" w:hAnsi="Tahoma" w:cs="Tahoma"/>
          <w:bCs/>
          <w:sz w:val="24"/>
          <w:szCs w:val="24"/>
        </w:rPr>
        <w:t>:  Census tract indicators</w:t>
      </w:r>
    </w:p>
    <w:p w:rsidR="00822921" w:rsidRDefault="00822921" w:rsidP="001E36E2">
      <w:pPr>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Education</w:t>
      </w:r>
    </w:p>
    <w:p w:rsidR="00822921" w:rsidRPr="00822921" w:rsidRDefault="00822921" w:rsidP="00822921">
      <w:pPr>
        <w:pStyle w:val="ListParagraph"/>
        <w:numPr>
          <w:ilvl w:val="0"/>
          <w:numId w:val="28"/>
        </w:numPr>
        <w:spacing w:after="0" w:line="240" w:lineRule="auto"/>
        <w:rPr>
          <w:rFonts w:ascii="Tahoma" w:hAnsi="Tahoma" w:cs="Tahoma"/>
          <w:bCs/>
          <w:sz w:val="24"/>
          <w:szCs w:val="24"/>
        </w:rPr>
      </w:pPr>
      <w:r w:rsidRPr="00822921">
        <w:rPr>
          <w:rFonts w:ascii="Tahoma" w:hAnsi="Tahoma" w:cs="Tahoma"/>
          <w:bCs/>
          <w:sz w:val="24"/>
          <w:szCs w:val="24"/>
        </w:rPr>
        <w:t>Preschool enrollment</w:t>
      </w:r>
    </w:p>
    <w:p w:rsidR="00822921" w:rsidRPr="00822921" w:rsidRDefault="00822921" w:rsidP="00822921">
      <w:pPr>
        <w:pStyle w:val="ListParagraph"/>
        <w:numPr>
          <w:ilvl w:val="0"/>
          <w:numId w:val="28"/>
        </w:numPr>
        <w:spacing w:after="0" w:line="240" w:lineRule="auto"/>
        <w:rPr>
          <w:rFonts w:ascii="Tahoma" w:hAnsi="Tahoma" w:cs="Tahoma"/>
          <w:bCs/>
          <w:sz w:val="24"/>
          <w:szCs w:val="24"/>
        </w:rPr>
      </w:pPr>
      <w:r w:rsidRPr="00822921">
        <w:rPr>
          <w:rFonts w:ascii="Tahoma" w:hAnsi="Tahoma" w:cs="Tahoma"/>
          <w:bCs/>
          <w:sz w:val="24"/>
          <w:szCs w:val="24"/>
        </w:rPr>
        <w:t>High school education</w:t>
      </w:r>
    </w:p>
    <w:p w:rsidR="00822921" w:rsidRPr="00822921" w:rsidRDefault="00822921" w:rsidP="00822921">
      <w:pPr>
        <w:pStyle w:val="ListParagraph"/>
        <w:numPr>
          <w:ilvl w:val="0"/>
          <w:numId w:val="28"/>
        </w:numPr>
        <w:spacing w:after="0" w:line="240" w:lineRule="auto"/>
        <w:rPr>
          <w:rFonts w:ascii="Tahoma" w:hAnsi="Tahoma" w:cs="Tahoma"/>
          <w:bCs/>
          <w:sz w:val="24"/>
          <w:szCs w:val="24"/>
        </w:rPr>
      </w:pPr>
      <w:r w:rsidRPr="00822921">
        <w:rPr>
          <w:rFonts w:ascii="Tahoma" w:hAnsi="Tahoma" w:cs="Tahoma"/>
          <w:bCs/>
          <w:sz w:val="24"/>
          <w:szCs w:val="24"/>
        </w:rPr>
        <w:t>Some college education</w:t>
      </w:r>
    </w:p>
    <w:p w:rsidR="00822921" w:rsidRPr="00822921" w:rsidRDefault="00822921" w:rsidP="00822921">
      <w:pPr>
        <w:pStyle w:val="ListParagraph"/>
        <w:numPr>
          <w:ilvl w:val="0"/>
          <w:numId w:val="28"/>
        </w:numPr>
        <w:spacing w:after="0" w:line="240" w:lineRule="auto"/>
        <w:rPr>
          <w:rFonts w:ascii="Tahoma" w:hAnsi="Tahoma" w:cs="Tahoma"/>
          <w:bCs/>
          <w:sz w:val="24"/>
          <w:szCs w:val="24"/>
        </w:rPr>
      </w:pPr>
      <w:r w:rsidRPr="00822921">
        <w:rPr>
          <w:rFonts w:ascii="Tahoma" w:hAnsi="Tahoma" w:cs="Tahoma"/>
          <w:bCs/>
          <w:sz w:val="24"/>
          <w:szCs w:val="24"/>
        </w:rPr>
        <w:t>Lack of English</w:t>
      </w: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Economic and household resources</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Income</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Poverty</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Income inequality</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Low food access</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Marital status</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Single-parent households</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Unemployment</w:t>
      </w:r>
    </w:p>
    <w:p w:rsidR="00822921" w:rsidRPr="00822921" w:rsidRDefault="00822921" w:rsidP="00822921">
      <w:pPr>
        <w:pStyle w:val="ListParagraph"/>
        <w:numPr>
          <w:ilvl w:val="0"/>
          <w:numId w:val="29"/>
        </w:numPr>
        <w:spacing w:after="0" w:line="240" w:lineRule="auto"/>
        <w:rPr>
          <w:rFonts w:ascii="Tahoma" w:hAnsi="Tahoma" w:cs="Tahoma"/>
          <w:bCs/>
          <w:sz w:val="24"/>
          <w:szCs w:val="24"/>
        </w:rPr>
      </w:pPr>
      <w:r w:rsidRPr="00822921">
        <w:rPr>
          <w:rFonts w:ascii="Tahoma" w:hAnsi="Tahoma" w:cs="Tahoma"/>
          <w:bCs/>
          <w:sz w:val="24"/>
          <w:szCs w:val="24"/>
        </w:rPr>
        <w:t>Public assistance</w:t>
      </w: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Health care</w:t>
      </w:r>
    </w:p>
    <w:p w:rsidR="00822921" w:rsidRPr="00822921" w:rsidRDefault="00822921" w:rsidP="00822921">
      <w:pPr>
        <w:pStyle w:val="ListParagraph"/>
        <w:numPr>
          <w:ilvl w:val="0"/>
          <w:numId w:val="30"/>
        </w:numPr>
        <w:spacing w:after="0" w:line="240" w:lineRule="auto"/>
        <w:rPr>
          <w:rFonts w:ascii="Tahoma" w:hAnsi="Tahoma" w:cs="Tahoma"/>
          <w:bCs/>
          <w:sz w:val="24"/>
          <w:szCs w:val="24"/>
        </w:rPr>
      </w:pPr>
      <w:r w:rsidRPr="00822921">
        <w:rPr>
          <w:rFonts w:ascii="Tahoma" w:hAnsi="Tahoma" w:cs="Tahoma"/>
          <w:bCs/>
          <w:sz w:val="24"/>
          <w:szCs w:val="24"/>
        </w:rPr>
        <w:t>Primary care/dental/mental health provider</w:t>
      </w:r>
    </w:p>
    <w:p w:rsidR="00822921" w:rsidRPr="00822921" w:rsidRDefault="00822921" w:rsidP="00822921">
      <w:pPr>
        <w:pStyle w:val="ListParagraph"/>
        <w:numPr>
          <w:ilvl w:val="0"/>
          <w:numId w:val="30"/>
        </w:numPr>
        <w:spacing w:after="0" w:line="240" w:lineRule="auto"/>
        <w:rPr>
          <w:rFonts w:ascii="Tahoma" w:hAnsi="Tahoma" w:cs="Tahoma"/>
          <w:bCs/>
          <w:sz w:val="24"/>
          <w:szCs w:val="24"/>
        </w:rPr>
      </w:pPr>
      <w:r w:rsidRPr="00822921">
        <w:rPr>
          <w:rFonts w:ascii="Tahoma" w:hAnsi="Tahoma" w:cs="Tahoma"/>
          <w:bCs/>
          <w:sz w:val="24"/>
          <w:szCs w:val="24"/>
        </w:rPr>
        <w:t>Insurance coverage (private/public)</w:t>
      </w:r>
    </w:p>
    <w:p w:rsidR="00822921" w:rsidRDefault="00822921" w:rsidP="00822921">
      <w:pPr>
        <w:pStyle w:val="ListParagraph"/>
        <w:numPr>
          <w:ilvl w:val="0"/>
          <w:numId w:val="30"/>
        </w:numPr>
        <w:spacing w:after="0" w:line="240" w:lineRule="auto"/>
        <w:rPr>
          <w:rFonts w:ascii="Tahoma" w:hAnsi="Tahoma" w:cs="Tahoma"/>
          <w:bCs/>
          <w:sz w:val="24"/>
          <w:szCs w:val="24"/>
        </w:rPr>
      </w:pPr>
      <w:r w:rsidRPr="00822921">
        <w:rPr>
          <w:rFonts w:ascii="Tahoma" w:hAnsi="Tahoma" w:cs="Tahoma"/>
          <w:bCs/>
          <w:sz w:val="24"/>
          <w:szCs w:val="24"/>
        </w:rPr>
        <w:t>Uninsured adults/children</w:t>
      </w:r>
    </w:p>
    <w:p w:rsidR="00822921" w:rsidRPr="00822921" w:rsidRDefault="00822921" w:rsidP="00822921">
      <w:pPr>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Housing</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Older age (pre-1950)</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Poor housing conditions</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Overcrowding</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Vacant housing</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Renter-occupied housing</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Median home value/rent</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Housing cost burden</w:t>
      </w:r>
    </w:p>
    <w:p w:rsidR="00822921" w:rsidRP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Housing stability/moves</w:t>
      </w:r>
    </w:p>
    <w:p w:rsidR="00822921" w:rsidRDefault="00822921" w:rsidP="00822921">
      <w:pPr>
        <w:pStyle w:val="ListParagraph"/>
        <w:numPr>
          <w:ilvl w:val="0"/>
          <w:numId w:val="31"/>
        </w:numPr>
        <w:spacing w:after="0" w:line="240" w:lineRule="auto"/>
        <w:rPr>
          <w:rFonts w:ascii="Tahoma" w:hAnsi="Tahoma" w:cs="Tahoma"/>
          <w:bCs/>
          <w:sz w:val="24"/>
          <w:szCs w:val="24"/>
        </w:rPr>
      </w:pPr>
      <w:r w:rsidRPr="00822921">
        <w:rPr>
          <w:rFonts w:ascii="Tahoma" w:hAnsi="Tahoma" w:cs="Tahoma"/>
          <w:bCs/>
          <w:sz w:val="24"/>
          <w:szCs w:val="24"/>
        </w:rPr>
        <w:t>Housing opportunity index</w:t>
      </w:r>
    </w:p>
    <w:p w:rsidR="00822921" w:rsidRPr="00822921" w:rsidRDefault="00822921" w:rsidP="00822921">
      <w:pPr>
        <w:pStyle w:val="ListParagraph"/>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Transportation</w:t>
      </w:r>
    </w:p>
    <w:p w:rsidR="00822921" w:rsidRPr="00822921" w:rsidRDefault="00822921" w:rsidP="00822921">
      <w:pPr>
        <w:pStyle w:val="ListParagraph"/>
        <w:numPr>
          <w:ilvl w:val="0"/>
          <w:numId w:val="33"/>
        </w:numPr>
        <w:spacing w:after="0" w:line="240" w:lineRule="auto"/>
        <w:rPr>
          <w:rFonts w:ascii="Tahoma" w:hAnsi="Tahoma" w:cs="Tahoma"/>
          <w:bCs/>
          <w:sz w:val="24"/>
          <w:szCs w:val="24"/>
        </w:rPr>
      </w:pPr>
      <w:r w:rsidRPr="00822921">
        <w:rPr>
          <w:rFonts w:ascii="Tahoma" w:hAnsi="Tahoma" w:cs="Tahoma"/>
          <w:bCs/>
          <w:sz w:val="24"/>
          <w:szCs w:val="24"/>
        </w:rPr>
        <w:t>Commuting modality</w:t>
      </w:r>
    </w:p>
    <w:p w:rsidR="00822921" w:rsidRPr="00822921" w:rsidRDefault="00822921" w:rsidP="00822921">
      <w:pPr>
        <w:pStyle w:val="ListParagraph"/>
        <w:numPr>
          <w:ilvl w:val="0"/>
          <w:numId w:val="33"/>
        </w:numPr>
        <w:spacing w:after="0" w:line="240" w:lineRule="auto"/>
        <w:rPr>
          <w:rFonts w:ascii="Tahoma" w:hAnsi="Tahoma" w:cs="Tahoma"/>
          <w:bCs/>
          <w:sz w:val="24"/>
          <w:szCs w:val="24"/>
        </w:rPr>
      </w:pPr>
      <w:r w:rsidRPr="00822921">
        <w:rPr>
          <w:rFonts w:ascii="Tahoma" w:hAnsi="Tahoma" w:cs="Tahoma"/>
          <w:bCs/>
          <w:sz w:val="24"/>
          <w:szCs w:val="24"/>
        </w:rPr>
        <w:t>Travel time to work</w:t>
      </w:r>
    </w:p>
    <w:p w:rsidR="00822921" w:rsidRDefault="00822921" w:rsidP="00822921">
      <w:pPr>
        <w:pStyle w:val="ListParagraph"/>
        <w:numPr>
          <w:ilvl w:val="0"/>
          <w:numId w:val="33"/>
        </w:numPr>
        <w:spacing w:after="0" w:line="240" w:lineRule="auto"/>
        <w:rPr>
          <w:rFonts w:ascii="Tahoma" w:hAnsi="Tahoma" w:cs="Tahoma"/>
          <w:bCs/>
          <w:sz w:val="24"/>
          <w:szCs w:val="24"/>
        </w:rPr>
      </w:pPr>
      <w:r w:rsidRPr="00822921">
        <w:rPr>
          <w:rFonts w:ascii="Tahoma" w:hAnsi="Tahoma" w:cs="Tahoma"/>
          <w:bCs/>
          <w:sz w:val="24"/>
          <w:szCs w:val="24"/>
        </w:rPr>
        <w:lastRenderedPageBreak/>
        <w:t>No access to vehicle</w:t>
      </w:r>
    </w:p>
    <w:p w:rsidR="00822921" w:rsidRPr="00822921" w:rsidRDefault="00822921" w:rsidP="00822921">
      <w:pPr>
        <w:pStyle w:val="ListParagraph"/>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Air and water quality</w:t>
      </w:r>
    </w:p>
    <w:p w:rsidR="00822921" w:rsidRPr="00822921" w:rsidRDefault="00822921" w:rsidP="00822921">
      <w:pPr>
        <w:pStyle w:val="ListParagraph"/>
        <w:numPr>
          <w:ilvl w:val="0"/>
          <w:numId w:val="32"/>
        </w:numPr>
        <w:spacing w:after="0" w:line="240" w:lineRule="auto"/>
        <w:rPr>
          <w:rFonts w:ascii="Tahoma" w:hAnsi="Tahoma" w:cs="Tahoma"/>
          <w:bCs/>
          <w:sz w:val="24"/>
          <w:szCs w:val="24"/>
        </w:rPr>
      </w:pPr>
      <w:r w:rsidRPr="00822921">
        <w:rPr>
          <w:rFonts w:ascii="Tahoma" w:hAnsi="Tahoma" w:cs="Tahoma"/>
          <w:bCs/>
          <w:sz w:val="24"/>
          <w:szCs w:val="24"/>
        </w:rPr>
        <w:t>Cancer risk</w:t>
      </w:r>
    </w:p>
    <w:p w:rsidR="00822921" w:rsidRPr="00822921" w:rsidRDefault="00822921" w:rsidP="00822921">
      <w:pPr>
        <w:pStyle w:val="ListParagraph"/>
        <w:numPr>
          <w:ilvl w:val="0"/>
          <w:numId w:val="32"/>
        </w:numPr>
        <w:spacing w:after="0" w:line="240" w:lineRule="auto"/>
        <w:rPr>
          <w:rFonts w:ascii="Tahoma" w:hAnsi="Tahoma" w:cs="Tahoma"/>
          <w:bCs/>
          <w:sz w:val="24"/>
          <w:szCs w:val="24"/>
        </w:rPr>
      </w:pPr>
      <w:r w:rsidRPr="00822921">
        <w:rPr>
          <w:rFonts w:ascii="Tahoma" w:hAnsi="Tahoma" w:cs="Tahoma"/>
          <w:bCs/>
          <w:sz w:val="24"/>
          <w:szCs w:val="24"/>
        </w:rPr>
        <w:t>Environmental hazards</w:t>
      </w:r>
    </w:p>
    <w:p w:rsidR="00822921" w:rsidRPr="00822921" w:rsidRDefault="00822921" w:rsidP="00822921">
      <w:pPr>
        <w:pStyle w:val="ListParagraph"/>
        <w:numPr>
          <w:ilvl w:val="0"/>
          <w:numId w:val="32"/>
        </w:numPr>
        <w:spacing w:after="0" w:line="240" w:lineRule="auto"/>
        <w:rPr>
          <w:rFonts w:ascii="Tahoma" w:hAnsi="Tahoma" w:cs="Tahoma"/>
          <w:bCs/>
          <w:sz w:val="24"/>
          <w:szCs w:val="24"/>
        </w:rPr>
      </w:pPr>
      <w:r w:rsidRPr="00822921">
        <w:rPr>
          <w:rFonts w:ascii="Tahoma" w:hAnsi="Tahoma" w:cs="Tahoma"/>
          <w:bCs/>
          <w:sz w:val="24"/>
          <w:szCs w:val="24"/>
        </w:rPr>
        <w:t>Respiratory risk</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2</w:t>
      </w:r>
      <w:r w:rsidRPr="00822921">
        <w:rPr>
          <w:rFonts w:ascii="Tahoma" w:hAnsi="Tahoma" w:cs="Tahoma"/>
          <w:bCs/>
          <w:sz w:val="24"/>
          <w:szCs w:val="24"/>
        </w:rPr>
        <w:t>:  Healthy Places Index (HPI) Uses</w:t>
      </w:r>
    </w:p>
    <w:p w:rsidR="00822921" w:rsidRDefault="00822921" w:rsidP="001E36E2">
      <w:pPr>
        <w:spacing w:after="0" w:line="240" w:lineRule="auto"/>
        <w:rPr>
          <w:rFonts w:ascii="Tahoma" w:hAnsi="Tahoma" w:cs="Tahoma"/>
          <w:bCs/>
          <w:sz w:val="24"/>
          <w:szCs w:val="24"/>
        </w:rPr>
      </w:pP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Prioritization of investments, resources, and programming in neighborhoods where health needs are greatest</w:t>
      </w: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Program planning and service delivery</w:t>
      </w: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Community profiles and needs assessments</w:t>
      </w: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Understanding community needs (in conjunction with resident experience)</w:t>
      </w: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 xml:space="preserve">Research </w:t>
      </w:r>
    </w:p>
    <w:p w:rsidR="00822921" w:rsidRPr="00822921" w:rsidRDefault="00822921" w:rsidP="00822921">
      <w:pPr>
        <w:pStyle w:val="ListParagraph"/>
        <w:numPr>
          <w:ilvl w:val="0"/>
          <w:numId w:val="34"/>
        </w:numPr>
        <w:spacing w:after="0" w:line="240" w:lineRule="auto"/>
        <w:rPr>
          <w:rFonts w:ascii="Tahoma" w:hAnsi="Tahoma" w:cs="Tahoma"/>
          <w:bCs/>
          <w:sz w:val="24"/>
          <w:szCs w:val="24"/>
        </w:rPr>
      </w:pPr>
      <w:r w:rsidRPr="00822921">
        <w:rPr>
          <w:rFonts w:ascii="Tahoma" w:hAnsi="Tahoma" w:cs="Tahoma"/>
          <w:bCs/>
          <w:sz w:val="24"/>
          <w:szCs w:val="24"/>
        </w:rPr>
        <w:t>Providing data for grant applications</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3</w:t>
      </w:r>
      <w:r w:rsidRPr="00822921">
        <w:rPr>
          <w:rFonts w:ascii="Tahoma" w:hAnsi="Tahoma" w:cs="Tahoma"/>
          <w:bCs/>
          <w:sz w:val="24"/>
          <w:szCs w:val="24"/>
        </w:rPr>
        <w:t>:  Determinants of life expectancy in the metropolitan Washington region</w:t>
      </w:r>
    </w:p>
    <w:p w:rsidR="00822921" w:rsidRDefault="00822921" w:rsidP="00822921">
      <w:pPr>
        <w:spacing w:after="0" w:line="240" w:lineRule="auto"/>
        <w:rPr>
          <w:rFonts w:ascii="Tahoma" w:hAnsi="Tahoma" w:cs="Tahoma"/>
          <w:bCs/>
          <w:sz w:val="24"/>
          <w:szCs w:val="24"/>
        </w:rPr>
      </w:pPr>
    </w:p>
    <w:p w:rsidR="00822921" w:rsidRP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Bar Graph showing DETERMINANTS OF LIFE EXPECTANCY IN THE METROPOLITAN</w:t>
      </w:r>
    </w:p>
    <w:p w:rsidR="00822921" w:rsidRDefault="00822921" w:rsidP="00822921">
      <w:pPr>
        <w:spacing w:after="0" w:line="240" w:lineRule="auto"/>
        <w:rPr>
          <w:rFonts w:ascii="Tahoma" w:hAnsi="Tahoma" w:cs="Tahoma"/>
          <w:bCs/>
          <w:sz w:val="24"/>
          <w:szCs w:val="24"/>
        </w:rPr>
      </w:pPr>
      <w:r w:rsidRPr="00822921">
        <w:rPr>
          <w:rFonts w:ascii="Tahoma" w:hAnsi="Tahoma" w:cs="Tahoma"/>
          <w:bCs/>
          <w:sz w:val="24"/>
          <w:szCs w:val="24"/>
        </w:rPr>
        <w:t>WASHINGTON REGION</w:t>
      </w:r>
    </w:p>
    <w:p w:rsidR="00822921" w:rsidRPr="00822921" w:rsidRDefault="00822921" w:rsidP="00822921">
      <w:pPr>
        <w:spacing w:after="0" w:line="240" w:lineRule="auto"/>
        <w:ind w:left="810" w:hanging="450"/>
        <w:rPr>
          <w:rFonts w:ascii="Tahoma" w:hAnsi="Tahoma" w:cs="Tahoma"/>
          <w:bCs/>
          <w:sz w:val="24"/>
          <w:szCs w:val="24"/>
        </w:rPr>
      </w:pP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Health Access 6%</w:t>
      </w: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Air Quality 9%</w:t>
      </w: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Transportation 10%</w:t>
      </w: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Housing 16%</w:t>
      </w: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Economic/Other Household Resources 26%</w:t>
      </w:r>
    </w:p>
    <w:p w:rsidR="00822921" w:rsidRPr="00822921" w:rsidRDefault="00822921" w:rsidP="00822921">
      <w:pPr>
        <w:pStyle w:val="ListParagraph"/>
        <w:numPr>
          <w:ilvl w:val="0"/>
          <w:numId w:val="37"/>
        </w:numPr>
        <w:spacing w:after="0" w:line="240" w:lineRule="auto"/>
        <w:ind w:left="720" w:hanging="360"/>
        <w:rPr>
          <w:rFonts w:ascii="Tahoma" w:hAnsi="Tahoma" w:cs="Tahoma"/>
          <w:bCs/>
          <w:sz w:val="24"/>
          <w:szCs w:val="24"/>
        </w:rPr>
      </w:pPr>
      <w:r w:rsidRPr="00822921">
        <w:rPr>
          <w:rFonts w:ascii="Tahoma" w:hAnsi="Tahoma" w:cs="Tahoma"/>
          <w:bCs/>
          <w:sz w:val="24"/>
          <w:szCs w:val="24"/>
        </w:rPr>
        <w:t>Education 34%</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S</w:t>
      </w:r>
      <w:r w:rsidRPr="00822921">
        <w:rPr>
          <w:rFonts w:ascii="Tahoma" w:hAnsi="Tahoma" w:cs="Tahoma"/>
          <w:bCs/>
          <w:sz w:val="24"/>
          <w:szCs w:val="24"/>
        </w:rPr>
        <w:t>lide 1</w:t>
      </w:r>
      <w:r>
        <w:rPr>
          <w:rFonts w:ascii="Tahoma" w:hAnsi="Tahoma" w:cs="Tahoma"/>
          <w:bCs/>
          <w:sz w:val="24"/>
          <w:szCs w:val="24"/>
        </w:rPr>
        <w:t>4</w:t>
      </w:r>
      <w:r w:rsidRPr="00822921">
        <w:rPr>
          <w:rFonts w:ascii="Tahoma" w:hAnsi="Tahoma" w:cs="Tahoma"/>
          <w:bCs/>
          <w:sz w:val="24"/>
          <w:szCs w:val="24"/>
        </w:rPr>
        <w:t>:  Healthy Places Index (HPI) scores across the metropolitan region</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Map of region with different colored areas</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S</w:t>
      </w:r>
      <w:r w:rsidRPr="00822921">
        <w:rPr>
          <w:rFonts w:ascii="Tahoma" w:hAnsi="Tahoma" w:cs="Tahoma"/>
          <w:bCs/>
          <w:sz w:val="24"/>
          <w:szCs w:val="24"/>
        </w:rPr>
        <w:t>lide 1</w:t>
      </w:r>
      <w:r>
        <w:rPr>
          <w:rFonts w:ascii="Tahoma" w:hAnsi="Tahoma" w:cs="Tahoma"/>
          <w:bCs/>
          <w:sz w:val="24"/>
          <w:szCs w:val="24"/>
        </w:rPr>
        <w:t>5</w:t>
      </w:r>
      <w:r w:rsidRPr="00822921">
        <w:rPr>
          <w:rFonts w:ascii="Tahoma" w:hAnsi="Tahoma" w:cs="Tahoma"/>
          <w:bCs/>
          <w:sz w:val="24"/>
          <w:szCs w:val="24"/>
        </w:rPr>
        <w:t>:  District of Columbia</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 xml:space="preserve">Map of </w:t>
      </w:r>
      <w:r w:rsidRPr="00822921">
        <w:rPr>
          <w:rFonts w:ascii="Tahoma" w:hAnsi="Tahoma" w:cs="Tahoma"/>
          <w:bCs/>
          <w:sz w:val="24"/>
          <w:szCs w:val="24"/>
        </w:rPr>
        <w:t xml:space="preserve">Healthy Places Index (HPI) scores           </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Map with scatter dots showing d</w:t>
      </w:r>
      <w:r w:rsidRPr="00822921">
        <w:rPr>
          <w:rFonts w:ascii="Tahoma" w:hAnsi="Tahoma" w:cs="Tahoma"/>
          <w:bCs/>
          <w:sz w:val="24"/>
          <w:szCs w:val="24"/>
        </w:rPr>
        <w:t>istribution of population by race and ethnicity</w:t>
      </w:r>
      <w:r w:rsidR="000B0FE0">
        <w:rPr>
          <w:rFonts w:ascii="Tahoma" w:hAnsi="Tahoma" w:cs="Tahoma"/>
          <w:bCs/>
          <w:sz w:val="24"/>
          <w:szCs w:val="24"/>
        </w:rPr>
        <w:t xml:space="preserve"> by Ward</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Pr>
          <w:rFonts w:ascii="Tahoma" w:hAnsi="Tahoma" w:cs="Tahoma"/>
          <w:bCs/>
          <w:sz w:val="24"/>
          <w:szCs w:val="24"/>
        </w:rPr>
        <w:t>S</w:t>
      </w:r>
      <w:r w:rsidRPr="00822921">
        <w:rPr>
          <w:rFonts w:ascii="Tahoma" w:hAnsi="Tahoma" w:cs="Tahoma"/>
          <w:bCs/>
          <w:sz w:val="24"/>
          <w:szCs w:val="24"/>
        </w:rPr>
        <w:t>lide 1</w:t>
      </w:r>
      <w:r>
        <w:rPr>
          <w:rFonts w:ascii="Tahoma" w:hAnsi="Tahoma" w:cs="Tahoma"/>
          <w:bCs/>
          <w:sz w:val="24"/>
          <w:szCs w:val="24"/>
        </w:rPr>
        <w:t>6</w:t>
      </w:r>
      <w:r w:rsidRPr="00822921">
        <w:rPr>
          <w:rFonts w:ascii="Tahoma" w:hAnsi="Tahoma" w:cs="Tahoma"/>
          <w:bCs/>
          <w:sz w:val="24"/>
          <w:szCs w:val="24"/>
        </w:rPr>
        <w:t xml:space="preserve">:  </w:t>
      </w:r>
      <w:r w:rsidR="000B0FE0" w:rsidRPr="000B0FE0">
        <w:rPr>
          <w:rFonts w:ascii="Tahoma" w:hAnsi="Tahoma" w:cs="Tahoma"/>
          <w:bCs/>
          <w:sz w:val="24"/>
          <w:szCs w:val="24"/>
        </w:rPr>
        <w:t>District of Columbia</w:t>
      </w:r>
    </w:p>
    <w:p w:rsidR="000B0FE0" w:rsidRDefault="000B0FE0" w:rsidP="001E36E2">
      <w:pPr>
        <w:spacing w:after="0" w:line="240" w:lineRule="auto"/>
        <w:rPr>
          <w:rFonts w:ascii="Tahoma" w:hAnsi="Tahoma" w:cs="Tahoma"/>
          <w:bCs/>
          <w:sz w:val="24"/>
          <w:szCs w:val="24"/>
        </w:rPr>
      </w:pP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 xml:space="preserve">Chart of High Opportunity vs. Low Opportunity </w:t>
      </w:r>
    </w:p>
    <w:p w:rsidR="000B0FE0" w:rsidRDefault="000B0FE0" w:rsidP="001E36E2">
      <w:pPr>
        <w:spacing w:after="0" w:line="240" w:lineRule="auto"/>
        <w:rPr>
          <w:rFonts w:ascii="Tahoma" w:hAnsi="Tahoma" w:cs="Tahoma"/>
          <w:bCs/>
          <w:sz w:val="24"/>
          <w:szCs w:val="24"/>
        </w:rPr>
      </w:pP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lastRenderedPageBreak/>
        <w:t>Some College Education – 97%, 20%</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High School Education – 100%, 70%</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Median Household Income – $191,607, $22,949</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Unemployment – 1%, 39%</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Adult Poverty Rate – 4%, 51%</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Public Assistance – 0%, 55%</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Moderate Housing Cost Burden – 19%, 63%</w:t>
      </w: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Uninsured Adults – 1%, 29%</w:t>
      </w:r>
    </w:p>
    <w:p w:rsidR="000B0FE0" w:rsidRDefault="000B0FE0"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7</w:t>
      </w:r>
      <w:r w:rsidRPr="00822921">
        <w:rPr>
          <w:rFonts w:ascii="Tahoma" w:hAnsi="Tahoma" w:cs="Tahoma"/>
          <w:bCs/>
          <w:sz w:val="24"/>
          <w:szCs w:val="24"/>
        </w:rPr>
        <w:t xml:space="preserve">:  </w:t>
      </w:r>
      <w:r w:rsidR="000B0FE0" w:rsidRPr="000B0FE0">
        <w:rPr>
          <w:rFonts w:ascii="Tahoma" w:hAnsi="Tahoma" w:cs="Tahoma"/>
          <w:bCs/>
          <w:sz w:val="24"/>
          <w:szCs w:val="24"/>
        </w:rPr>
        <w:t>History makes the difference</w:t>
      </w:r>
    </w:p>
    <w:p w:rsidR="000B0FE0" w:rsidRDefault="000B0FE0" w:rsidP="001E36E2">
      <w:pPr>
        <w:spacing w:after="0" w:line="240" w:lineRule="auto"/>
        <w:rPr>
          <w:rFonts w:ascii="Tahoma" w:hAnsi="Tahoma" w:cs="Tahoma"/>
          <w:bCs/>
          <w:sz w:val="24"/>
          <w:szCs w:val="24"/>
        </w:rPr>
      </w:pPr>
    </w:p>
    <w:p w:rsidR="000B0FE0" w:rsidRDefault="000B0FE0" w:rsidP="001E36E2">
      <w:pPr>
        <w:spacing w:after="0" w:line="240" w:lineRule="auto"/>
        <w:rPr>
          <w:rFonts w:ascii="Tahoma" w:hAnsi="Tahoma" w:cs="Tahoma"/>
          <w:bCs/>
          <w:sz w:val="24"/>
          <w:szCs w:val="24"/>
        </w:rPr>
      </w:pPr>
      <w:r>
        <w:rPr>
          <w:rFonts w:ascii="Tahoma" w:hAnsi="Tahoma" w:cs="Tahoma"/>
          <w:bCs/>
          <w:sz w:val="24"/>
          <w:szCs w:val="24"/>
        </w:rPr>
        <w:t>Four historic photos of DC including politicians looking at a map, children in front of a public housing in Anacostia and people in front of the Anacostia Neighborhood Museum</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8</w:t>
      </w:r>
      <w:r w:rsidRPr="00822921">
        <w:rPr>
          <w:rFonts w:ascii="Tahoma" w:hAnsi="Tahoma" w:cs="Tahoma"/>
          <w:bCs/>
          <w:sz w:val="24"/>
          <w:szCs w:val="24"/>
        </w:rPr>
        <w:t xml:space="preserve">:  </w:t>
      </w:r>
      <w:r w:rsidR="00BA136F">
        <w:rPr>
          <w:rFonts w:ascii="Tahoma" w:hAnsi="Tahoma" w:cs="Tahoma"/>
          <w:bCs/>
          <w:sz w:val="24"/>
          <w:szCs w:val="24"/>
        </w:rPr>
        <w:t>Chart contrasting Georgetown with Anacostia on factors:</w:t>
      </w:r>
    </w:p>
    <w:p w:rsidR="00BA136F" w:rsidRDefault="00BA136F" w:rsidP="001E36E2">
      <w:pPr>
        <w:spacing w:after="0" w:line="240" w:lineRule="auto"/>
        <w:rPr>
          <w:rFonts w:ascii="Tahoma" w:hAnsi="Tahoma" w:cs="Tahoma"/>
          <w:bCs/>
          <w:sz w:val="24"/>
          <w:szCs w:val="24"/>
        </w:rPr>
      </w:pPr>
    </w:p>
    <w:p w:rsidR="00BA136F" w:rsidRDefault="00BA136F" w:rsidP="001E36E2">
      <w:pPr>
        <w:spacing w:after="0" w:line="240" w:lineRule="auto"/>
        <w:rPr>
          <w:rFonts w:ascii="Tahoma" w:hAnsi="Tahoma" w:cs="Tahoma"/>
          <w:bCs/>
          <w:sz w:val="24"/>
          <w:szCs w:val="24"/>
        </w:rPr>
      </w:pPr>
      <w:r>
        <w:rPr>
          <w:rFonts w:ascii="Tahoma" w:hAnsi="Tahoma" w:cs="Tahoma"/>
          <w:bCs/>
          <w:sz w:val="24"/>
          <w:szCs w:val="24"/>
        </w:rPr>
        <w:t>Map of two areas and photo of Frederick Douglas House</w:t>
      </w:r>
    </w:p>
    <w:p w:rsidR="00BA136F" w:rsidRDefault="00BA136F" w:rsidP="001E36E2">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Healthy Places Index 76, 3</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Life expectancy 86 years, 67 years</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High school graduation 100%, 67%</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Some college education 95%, 21%</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household income $170,338, $14,813</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Unemployment 5%, 25%</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Adult poverty 4%, 51%</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Child poverty 0%, 74%</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Public assistance 1%, 76%</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Children in single-parent households 6%, 95%</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Private health insurance 96%, 16%</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home value $945,600, $287,500</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monthly rent $1,974, $460</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Severe housing cost burden 8%, 25%</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Poor rental conditions 22%, 45%</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Commuting to work</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by motor vehicle 39%, 30%</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by public transit 25%, 67%</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by walking or cycling 33%, 3%</w:t>
      </w:r>
    </w:p>
    <w:p w:rsid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Mean travel time to work 25 minutes, 43 minutes</w:t>
      </w:r>
    </w:p>
    <w:p w:rsidR="00822921" w:rsidRDefault="00822921" w:rsidP="001E36E2">
      <w:pPr>
        <w:spacing w:after="0" w:line="240" w:lineRule="auto"/>
        <w:rPr>
          <w:rFonts w:ascii="Tahoma" w:hAnsi="Tahoma" w:cs="Tahoma"/>
          <w:bCs/>
          <w:sz w:val="24"/>
          <w:szCs w:val="24"/>
        </w:rPr>
      </w:pPr>
    </w:p>
    <w:p w:rsidR="00822921" w:rsidRDefault="00822921" w:rsidP="001E36E2">
      <w:pPr>
        <w:spacing w:after="0" w:line="240" w:lineRule="auto"/>
        <w:rPr>
          <w:rFonts w:ascii="Tahoma" w:hAnsi="Tahoma" w:cs="Tahoma"/>
          <w:bCs/>
          <w:sz w:val="24"/>
          <w:szCs w:val="24"/>
        </w:rPr>
      </w:pPr>
      <w:r w:rsidRPr="00822921">
        <w:rPr>
          <w:rFonts w:ascii="Tahoma" w:hAnsi="Tahoma" w:cs="Tahoma"/>
          <w:bCs/>
          <w:sz w:val="24"/>
          <w:szCs w:val="24"/>
        </w:rPr>
        <w:t>Slide 1</w:t>
      </w:r>
      <w:r>
        <w:rPr>
          <w:rFonts w:ascii="Tahoma" w:hAnsi="Tahoma" w:cs="Tahoma"/>
          <w:bCs/>
          <w:sz w:val="24"/>
          <w:szCs w:val="24"/>
        </w:rPr>
        <w:t>9</w:t>
      </w:r>
      <w:r w:rsidRPr="00822921">
        <w:rPr>
          <w:rFonts w:ascii="Tahoma" w:hAnsi="Tahoma" w:cs="Tahoma"/>
          <w:bCs/>
          <w:sz w:val="24"/>
          <w:szCs w:val="24"/>
        </w:rPr>
        <w:t xml:space="preserve">:  </w:t>
      </w:r>
      <w:r w:rsidR="00BA136F">
        <w:rPr>
          <w:rFonts w:ascii="Tahoma" w:hAnsi="Tahoma" w:cs="Tahoma"/>
          <w:bCs/>
          <w:sz w:val="24"/>
          <w:szCs w:val="24"/>
        </w:rPr>
        <w:t>Same map of two areas and photo of Frederick Douglas House</w:t>
      </w:r>
    </w:p>
    <w:p w:rsidR="00BA136F" w:rsidRDefault="00BA136F" w:rsidP="001E36E2">
      <w:pPr>
        <w:spacing w:after="0" w:line="240" w:lineRule="auto"/>
        <w:rPr>
          <w:rFonts w:ascii="Tahoma" w:hAnsi="Tahoma" w:cs="Tahoma"/>
          <w:bCs/>
          <w:sz w:val="24"/>
          <w:szCs w:val="24"/>
        </w:rPr>
      </w:pPr>
    </w:p>
    <w:p w:rsidR="00BA136F" w:rsidRDefault="00BA136F" w:rsidP="001E36E2">
      <w:pPr>
        <w:spacing w:after="0" w:line="240" w:lineRule="auto"/>
        <w:rPr>
          <w:rFonts w:ascii="Tahoma" w:hAnsi="Tahoma" w:cs="Tahoma"/>
          <w:bCs/>
          <w:sz w:val="24"/>
          <w:szCs w:val="24"/>
        </w:rPr>
      </w:pPr>
      <w:r>
        <w:rPr>
          <w:rFonts w:ascii="Tahoma" w:hAnsi="Tahoma" w:cs="Tahoma"/>
          <w:bCs/>
          <w:sz w:val="24"/>
          <w:szCs w:val="24"/>
        </w:rPr>
        <w:t xml:space="preserve">With emphasis given on statistic comparing vehicle ownership in the two areas: 72%, 26% </w:t>
      </w:r>
    </w:p>
    <w:p w:rsidR="00822921" w:rsidRDefault="00822921" w:rsidP="001E36E2">
      <w:pPr>
        <w:spacing w:after="0" w:line="240" w:lineRule="auto"/>
        <w:rPr>
          <w:rFonts w:ascii="Tahoma" w:hAnsi="Tahoma" w:cs="Tahoma"/>
          <w:bCs/>
          <w:sz w:val="24"/>
          <w:szCs w:val="24"/>
        </w:rPr>
      </w:pPr>
    </w:p>
    <w:p w:rsidR="00510770" w:rsidRDefault="00510770" w:rsidP="001E36E2">
      <w:pPr>
        <w:spacing w:after="0" w:line="240" w:lineRule="auto"/>
        <w:rPr>
          <w:rFonts w:ascii="Tahoma" w:hAnsi="Tahoma" w:cs="Tahoma"/>
          <w:bCs/>
          <w:sz w:val="24"/>
          <w:szCs w:val="24"/>
        </w:rPr>
      </w:pPr>
      <w:r>
        <w:rPr>
          <w:rFonts w:ascii="Tahoma" w:hAnsi="Tahoma" w:cs="Tahoma"/>
          <w:bCs/>
          <w:sz w:val="24"/>
          <w:szCs w:val="24"/>
        </w:rPr>
        <w:lastRenderedPageBreak/>
        <w:t xml:space="preserve">Slide </w:t>
      </w:r>
      <w:r w:rsidR="00822921">
        <w:rPr>
          <w:rFonts w:ascii="Tahoma" w:hAnsi="Tahoma" w:cs="Tahoma"/>
          <w:bCs/>
          <w:sz w:val="24"/>
          <w:szCs w:val="24"/>
        </w:rPr>
        <w:t>20</w:t>
      </w:r>
      <w:r>
        <w:rPr>
          <w:rFonts w:ascii="Tahoma" w:hAnsi="Tahoma" w:cs="Tahoma"/>
          <w:bCs/>
          <w:sz w:val="24"/>
          <w:szCs w:val="24"/>
        </w:rPr>
        <w:t>:</w:t>
      </w:r>
      <w:r w:rsidR="00BA136F" w:rsidRPr="00BA136F">
        <w:t xml:space="preserve"> </w:t>
      </w:r>
      <w:r w:rsidR="00BA136F" w:rsidRPr="00BA136F">
        <w:rPr>
          <w:rFonts w:ascii="Tahoma" w:hAnsi="Tahoma" w:cs="Tahoma"/>
          <w:bCs/>
          <w:sz w:val="24"/>
          <w:szCs w:val="24"/>
        </w:rPr>
        <w:t>Uneven opportunity in the suburbs</w:t>
      </w:r>
    </w:p>
    <w:p w:rsidR="00510770" w:rsidRDefault="00510770" w:rsidP="001E36E2">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Pr>
          <w:rFonts w:ascii="Tahoma" w:hAnsi="Tahoma" w:cs="Tahoma"/>
          <w:bCs/>
          <w:sz w:val="24"/>
          <w:szCs w:val="24"/>
        </w:rPr>
        <w:t xml:space="preserve">Map of Suburban Maryland </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Pr>
          <w:rFonts w:ascii="Tahoma" w:hAnsi="Tahoma" w:cs="Tahoma"/>
          <w:bCs/>
          <w:sz w:val="24"/>
          <w:szCs w:val="24"/>
        </w:rPr>
        <w:t>Map of Northern Virginia</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sidRPr="00BA136F">
        <w:rPr>
          <w:rFonts w:ascii="Tahoma" w:hAnsi="Tahoma" w:cs="Tahoma"/>
          <w:bCs/>
          <w:sz w:val="24"/>
          <w:szCs w:val="24"/>
        </w:rPr>
        <w:t>Slide 2</w:t>
      </w:r>
      <w:r>
        <w:rPr>
          <w:rFonts w:ascii="Tahoma" w:hAnsi="Tahoma" w:cs="Tahoma"/>
          <w:bCs/>
          <w:sz w:val="24"/>
          <w:szCs w:val="24"/>
        </w:rPr>
        <w:t>1</w:t>
      </w:r>
      <w:r w:rsidRPr="00BA136F">
        <w:rPr>
          <w:rFonts w:ascii="Tahoma" w:hAnsi="Tahoma" w:cs="Tahoma"/>
          <w:bCs/>
          <w:sz w:val="24"/>
          <w:szCs w:val="24"/>
        </w:rPr>
        <w:t>: Short distances to large gaps</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proofErr w:type="gramStart"/>
      <w:r>
        <w:rPr>
          <w:rFonts w:ascii="Tahoma" w:hAnsi="Tahoma" w:cs="Tahoma"/>
          <w:bCs/>
          <w:sz w:val="24"/>
          <w:szCs w:val="24"/>
        </w:rPr>
        <w:t>Closer up</w:t>
      </w:r>
      <w:proofErr w:type="gramEnd"/>
      <w:r>
        <w:rPr>
          <w:rFonts w:ascii="Tahoma" w:hAnsi="Tahoma" w:cs="Tahoma"/>
          <w:bCs/>
          <w:sz w:val="24"/>
          <w:szCs w:val="24"/>
        </w:rPr>
        <w:t xml:space="preserve"> maps of Suburban Maryland and Northern Virginia</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Pr>
          <w:rFonts w:ascii="Tahoma" w:hAnsi="Tahoma" w:cs="Tahoma"/>
          <w:bCs/>
          <w:sz w:val="24"/>
          <w:szCs w:val="24"/>
        </w:rPr>
        <w:t>Chart comparing High Opportunity vs. Low Opportunity in Suburban Maryland</w:t>
      </w:r>
    </w:p>
    <w:p w:rsidR="00BA136F" w:rsidRDefault="00BA136F" w:rsidP="00047AB9">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SOME COLLEGE 97%, 21%</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HOUSEHOLD INCOME $245,208, $36,386</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ADULT POVERTY 0%, 39%</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PUBLIC ASSISTANCE &lt;1%, 37%</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HOME VALUE $991,200, $67,200</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OVERCROWDED 0%, 21%</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UNINSURED ADULTS &lt;1%, 59%</w:t>
      </w:r>
    </w:p>
    <w:p w:rsid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LIFE EXPECTANCY 92 years, 73 years</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sidRPr="00BA136F">
        <w:rPr>
          <w:rFonts w:ascii="Tahoma" w:hAnsi="Tahoma" w:cs="Tahoma"/>
          <w:bCs/>
          <w:sz w:val="24"/>
          <w:szCs w:val="24"/>
        </w:rPr>
        <w:t xml:space="preserve">Chart comparing High Opportunity vs. Low Opportunity in </w:t>
      </w:r>
      <w:r>
        <w:rPr>
          <w:rFonts w:ascii="Tahoma" w:hAnsi="Tahoma" w:cs="Tahoma"/>
          <w:bCs/>
          <w:sz w:val="24"/>
          <w:szCs w:val="24"/>
        </w:rPr>
        <w:t>Northern Virginia</w:t>
      </w:r>
    </w:p>
    <w:p w:rsidR="00BA136F" w:rsidRDefault="00BA136F" w:rsidP="00047AB9">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SOME COLLEGE 100%, 24%</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MEDIAN HOUSEHOLD INCOME $244,013, $38,125</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CHILD POVERTY 0%, 66%</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ADULT POVERTY 0%, 23%</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PRIVATE HEALTH INSURANCE 99%, 39%</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UNINSURED ADULTS &lt;1%, 54%</w:t>
      </w: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MODERATE HOUSING COST BURDEN 12%, 58%</w:t>
      </w:r>
    </w:p>
    <w:p w:rsid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LIFE EXPECTANCY 88 years, 78 years</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sidRPr="00BA136F">
        <w:rPr>
          <w:rFonts w:ascii="Tahoma" w:hAnsi="Tahoma" w:cs="Tahoma"/>
          <w:bCs/>
          <w:sz w:val="24"/>
          <w:szCs w:val="24"/>
        </w:rPr>
        <w:t>Slide 2</w:t>
      </w:r>
      <w:r>
        <w:rPr>
          <w:rFonts w:ascii="Tahoma" w:hAnsi="Tahoma" w:cs="Tahoma"/>
          <w:bCs/>
          <w:sz w:val="24"/>
          <w:szCs w:val="24"/>
        </w:rPr>
        <w:t>2</w:t>
      </w:r>
      <w:r w:rsidRPr="00BA136F">
        <w:rPr>
          <w:rFonts w:ascii="Tahoma" w:hAnsi="Tahoma" w:cs="Tahoma"/>
          <w:bCs/>
          <w:sz w:val="24"/>
          <w:szCs w:val="24"/>
        </w:rPr>
        <w:t>: Policy implications</w:t>
      </w:r>
    </w:p>
    <w:p w:rsidR="00BA136F" w:rsidRDefault="00BA136F" w:rsidP="00047AB9">
      <w:pPr>
        <w:spacing w:after="0" w:line="240" w:lineRule="auto"/>
        <w:rPr>
          <w:rFonts w:ascii="Tahoma" w:hAnsi="Tahoma" w:cs="Tahoma"/>
          <w:bCs/>
          <w:sz w:val="24"/>
          <w:szCs w:val="24"/>
        </w:rPr>
      </w:pPr>
    </w:p>
    <w:p w:rsidR="00BA136F" w:rsidRPr="00BA136F" w:rsidRDefault="00BA136F" w:rsidP="00BA136F">
      <w:pPr>
        <w:pStyle w:val="ListParagraph"/>
        <w:numPr>
          <w:ilvl w:val="0"/>
          <w:numId w:val="38"/>
        </w:numPr>
        <w:spacing w:after="0" w:line="240" w:lineRule="auto"/>
        <w:rPr>
          <w:rFonts w:ascii="Tahoma" w:hAnsi="Tahoma" w:cs="Tahoma"/>
          <w:bCs/>
          <w:sz w:val="24"/>
          <w:szCs w:val="24"/>
        </w:rPr>
      </w:pPr>
      <w:r w:rsidRPr="00BA136F">
        <w:rPr>
          <w:rFonts w:ascii="Tahoma" w:hAnsi="Tahoma" w:cs="Tahoma"/>
          <w:bCs/>
          <w:sz w:val="24"/>
          <w:szCs w:val="24"/>
        </w:rPr>
        <w:t>Access to opportunity in the region is uneven</w:t>
      </w:r>
    </w:p>
    <w:p w:rsidR="00BA136F" w:rsidRPr="00BA136F" w:rsidRDefault="00BA136F" w:rsidP="00BA136F">
      <w:pPr>
        <w:pStyle w:val="ListParagraph"/>
        <w:numPr>
          <w:ilvl w:val="0"/>
          <w:numId w:val="38"/>
        </w:numPr>
        <w:spacing w:after="0" w:line="240" w:lineRule="auto"/>
        <w:rPr>
          <w:rFonts w:ascii="Tahoma" w:hAnsi="Tahoma" w:cs="Tahoma"/>
          <w:bCs/>
          <w:sz w:val="24"/>
          <w:szCs w:val="24"/>
        </w:rPr>
      </w:pPr>
      <w:r w:rsidRPr="00BA136F">
        <w:rPr>
          <w:rFonts w:ascii="Tahoma" w:hAnsi="Tahoma" w:cs="Tahoma"/>
          <w:bCs/>
          <w:sz w:val="24"/>
          <w:szCs w:val="24"/>
        </w:rPr>
        <w:t>Health care is a necessary but insufficient solution to addressing these health inequities</w:t>
      </w:r>
    </w:p>
    <w:p w:rsidR="00BA136F" w:rsidRPr="00BA136F" w:rsidRDefault="00BA136F" w:rsidP="00BA136F">
      <w:pPr>
        <w:pStyle w:val="ListParagraph"/>
        <w:numPr>
          <w:ilvl w:val="0"/>
          <w:numId w:val="38"/>
        </w:numPr>
        <w:spacing w:after="0" w:line="240" w:lineRule="auto"/>
        <w:rPr>
          <w:rFonts w:ascii="Tahoma" w:hAnsi="Tahoma" w:cs="Tahoma"/>
          <w:bCs/>
          <w:sz w:val="24"/>
          <w:szCs w:val="24"/>
        </w:rPr>
      </w:pPr>
      <w:r w:rsidRPr="00BA136F">
        <w:rPr>
          <w:rFonts w:ascii="Tahoma" w:hAnsi="Tahoma" w:cs="Tahoma"/>
          <w:bCs/>
          <w:sz w:val="24"/>
          <w:szCs w:val="24"/>
        </w:rPr>
        <w:t>Many solutions are a “win-win”: they can improve public health while also stimulating the economy and the growth of the region</w:t>
      </w:r>
    </w:p>
    <w:p w:rsidR="00BA136F" w:rsidRPr="00BA136F" w:rsidRDefault="00BA136F" w:rsidP="00BA136F">
      <w:pPr>
        <w:pStyle w:val="ListParagraph"/>
        <w:numPr>
          <w:ilvl w:val="0"/>
          <w:numId w:val="38"/>
        </w:numPr>
        <w:spacing w:after="0" w:line="240" w:lineRule="auto"/>
        <w:rPr>
          <w:rFonts w:ascii="Tahoma" w:hAnsi="Tahoma" w:cs="Tahoma"/>
          <w:bCs/>
          <w:sz w:val="24"/>
          <w:szCs w:val="24"/>
        </w:rPr>
      </w:pPr>
      <w:r w:rsidRPr="00BA136F">
        <w:rPr>
          <w:rFonts w:ascii="Tahoma" w:hAnsi="Tahoma" w:cs="Tahoma"/>
          <w:bCs/>
          <w:sz w:val="24"/>
          <w:szCs w:val="24"/>
        </w:rPr>
        <w:t>Strategies should be targeted to communities in need</w:t>
      </w:r>
    </w:p>
    <w:p w:rsidR="00BA136F" w:rsidRPr="00BA136F" w:rsidRDefault="00BA136F" w:rsidP="00BA136F">
      <w:pPr>
        <w:pStyle w:val="ListParagraph"/>
        <w:numPr>
          <w:ilvl w:val="0"/>
          <w:numId w:val="38"/>
        </w:numPr>
        <w:spacing w:after="0" w:line="240" w:lineRule="auto"/>
        <w:rPr>
          <w:rFonts w:ascii="Tahoma" w:hAnsi="Tahoma" w:cs="Tahoma"/>
          <w:bCs/>
          <w:sz w:val="24"/>
          <w:szCs w:val="24"/>
        </w:rPr>
      </w:pPr>
      <w:r w:rsidRPr="00BA136F">
        <w:rPr>
          <w:rFonts w:ascii="Tahoma" w:hAnsi="Tahoma" w:cs="Tahoma"/>
          <w:bCs/>
          <w:sz w:val="24"/>
          <w:szCs w:val="24"/>
        </w:rPr>
        <w:t>Transformational change in areas that have suffered multi-generational disinvestment requires cross-sectoral partnerships</w:t>
      </w:r>
    </w:p>
    <w:p w:rsidR="00BA136F" w:rsidRDefault="00BA136F" w:rsidP="00047AB9">
      <w:pPr>
        <w:spacing w:after="0" w:line="240" w:lineRule="auto"/>
        <w:rPr>
          <w:rFonts w:ascii="Tahoma" w:hAnsi="Tahoma" w:cs="Tahoma"/>
          <w:bCs/>
          <w:sz w:val="24"/>
          <w:szCs w:val="24"/>
        </w:rPr>
      </w:pPr>
      <w:r w:rsidRPr="00BA136F">
        <w:rPr>
          <w:rFonts w:ascii="Tahoma" w:hAnsi="Tahoma" w:cs="Tahoma"/>
          <w:bCs/>
          <w:sz w:val="24"/>
          <w:szCs w:val="24"/>
        </w:rPr>
        <w:lastRenderedPageBreak/>
        <w:t>Slide 2</w:t>
      </w:r>
      <w:r>
        <w:rPr>
          <w:rFonts w:ascii="Tahoma" w:hAnsi="Tahoma" w:cs="Tahoma"/>
          <w:bCs/>
          <w:sz w:val="24"/>
          <w:szCs w:val="24"/>
        </w:rPr>
        <w:t>3</w:t>
      </w:r>
      <w:r w:rsidRPr="00BA136F">
        <w:rPr>
          <w:rFonts w:ascii="Tahoma" w:hAnsi="Tahoma" w:cs="Tahoma"/>
          <w:bCs/>
          <w:sz w:val="24"/>
          <w:szCs w:val="24"/>
        </w:rPr>
        <w:t>: Strategies to reduce geographic disparities in health and opportunity</w:t>
      </w:r>
    </w:p>
    <w:p w:rsidR="00BA136F" w:rsidRDefault="00BA136F" w:rsidP="00047AB9">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Address root causes by improving economic and social conditions for populations in need</w:t>
      </w:r>
    </w:p>
    <w:p w:rsidR="00BA136F" w:rsidRPr="00BA136F" w:rsidRDefault="00BA136F" w:rsidP="00BA136F">
      <w:pPr>
        <w:pStyle w:val="ListParagraph"/>
        <w:numPr>
          <w:ilvl w:val="0"/>
          <w:numId w:val="39"/>
        </w:numPr>
        <w:spacing w:after="0" w:line="240" w:lineRule="auto"/>
        <w:rPr>
          <w:rFonts w:ascii="Tahoma" w:hAnsi="Tahoma" w:cs="Tahoma"/>
          <w:bCs/>
          <w:sz w:val="24"/>
          <w:szCs w:val="24"/>
        </w:rPr>
      </w:pPr>
      <w:r w:rsidRPr="00BA136F">
        <w:rPr>
          <w:rFonts w:ascii="Tahoma" w:hAnsi="Tahoma" w:cs="Tahoma"/>
          <w:bCs/>
          <w:sz w:val="24"/>
          <w:szCs w:val="24"/>
        </w:rPr>
        <w:t xml:space="preserve">Policy action by government and the private sector to improve jobs, increase wages, reduce poverty, and promote economic mobility </w:t>
      </w:r>
    </w:p>
    <w:p w:rsidR="00BA136F" w:rsidRPr="00BA136F" w:rsidRDefault="00BA136F" w:rsidP="00BA136F">
      <w:pPr>
        <w:pStyle w:val="ListParagraph"/>
        <w:numPr>
          <w:ilvl w:val="0"/>
          <w:numId w:val="39"/>
        </w:numPr>
        <w:spacing w:after="0" w:line="240" w:lineRule="auto"/>
        <w:rPr>
          <w:rFonts w:ascii="Tahoma" w:hAnsi="Tahoma" w:cs="Tahoma"/>
          <w:bCs/>
          <w:sz w:val="24"/>
          <w:szCs w:val="24"/>
        </w:rPr>
      </w:pPr>
      <w:r w:rsidRPr="00BA136F">
        <w:rPr>
          <w:rFonts w:ascii="Tahoma" w:hAnsi="Tahoma" w:cs="Tahoma"/>
          <w:bCs/>
          <w:sz w:val="24"/>
          <w:szCs w:val="24"/>
        </w:rPr>
        <w:t>Reforms and investments to improve education</w:t>
      </w:r>
    </w:p>
    <w:p w:rsidR="00BA136F" w:rsidRPr="00BA136F" w:rsidRDefault="00BA136F" w:rsidP="00BA136F">
      <w:pPr>
        <w:pStyle w:val="ListParagraph"/>
        <w:numPr>
          <w:ilvl w:val="0"/>
          <w:numId w:val="39"/>
        </w:numPr>
        <w:spacing w:after="0" w:line="240" w:lineRule="auto"/>
        <w:rPr>
          <w:rFonts w:ascii="Tahoma" w:hAnsi="Tahoma" w:cs="Tahoma"/>
          <w:bCs/>
          <w:sz w:val="24"/>
          <w:szCs w:val="24"/>
        </w:rPr>
      </w:pPr>
      <w:r w:rsidRPr="00BA136F">
        <w:rPr>
          <w:rFonts w:ascii="Tahoma" w:hAnsi="Tahoma" w:cs="Tahoma"/>
          <w:bCs/>
          <w:sz w:val="24"/>
          <w:szCs w:val="24"/>
        </w:rPr>
        <w:t>Cross-racial alliance building to address common causes (e.g., discrimination)</w:t>
      </w:r>
    </w:p>
    <w:p w:rsidR="00BA136F" w:rsidRDefault="00BA136F" w:rsidP="00BA136F">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Strengthen the public health system</w:t>
      </w:r>
    </w:p>
    <w:p w:rsidR="00BA136F" w:rsidRPr="00BA136F" w:rsidRDefault="00BA136F" w:rsidP="00BA136F">
      <w:pPr>
        <w:pStyle w:val="ListParagraph"/>
        <w:numPr>
          <w:ilvl w:val="0"/>
          <w:numId w:val="39"/>
        </w:numPr>
        <w:spacing w:after="0" w:line="240" w:lineRule="auto"/>
        <w:rPr>
          <w:rFonts w:ascii="Tahoma" w:hAnsi="Tahoma" w:cs="Tahoma"/>
          <w:bCs/>
          <w:sz w:val="24"/>
          <w:szCs w:val="24"/>
        </w:rPr>
      </w:pPr>
      <w:r w:rsidRPr="00BA136F">
        <w:rPr>
          <w:rFonts w:ascii="Tahoma" w:hAnsi="Tahoma" w:cs="Tahoma"/>
          <w:bCs/>
          <w:sz w:val="24"/>
          <w:szCs w:val="24"/>
        </w:rPr>
        <w:t xml:space="preserve">Investments in public health agencies </w:t>
      </w:r>
    </w:p>
    <w:p w:rsidR="00BA136F" w:rsidRDefault="00BA136F" w:rsidP="00BA136F">
      <w:pPr>
        <w:pStyle w:val="ListParagraph"/>
        <w:numPr>
          <w:ilvl w:val="0"/>
          <w:numId w:val="39"/>
        </w:numPr>
        <w:spacing w:after="0" w:line="240" w:lineRule="auto"/>
        <w:rPr>
          <w:rFonts w:ascii="Tahoma" w:hAnsi="Tahoma" w:cs="Tahoma"/>
          <w:bCs/>
          <w:sz w:val="24"/>
          <w:szCs w:val="24"/>
        </w:rPr>
      </w:pPr>
      <w:r w:rsidRPr="00BA136F">
        <w:rPr>
          <w:rFonts w:ascii="Tahoma" w:hAnsi="Tahoma" w:cs="Tahoma"/>
          <w:bCs/>
          <w:sz w:val="24"/>
          <w:szCs w:val="24"/>
        </w:rPr>
        <w:t>Health needs and health impact assessments of policies across sectors</w:t>
      </w:r>
    </w:p>
    <w:p w:rsidR="00BA136F" w:rsidRPr="00BA136F" w:rsidRDefault="00BA136F" w:rsidP="00BA136F">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 xml:space="preserve">Invest in communities </w:t>
      </w:r>
      <w:r w:rsidRPr="00BA136F">
        <w:rPr>
          <w:rFonts w:ascii="Tahoma" w:hAnsi="Tahoma" w:cs="Tahoma"/>
          <w:bCs/>
          <w:sz w:val="24"/>
          <w:szCs w:val="24"/>
        </w:rPr>
        <w:tab/>
      </w:r>
    </w:p>
    <w:p w:rsidR="00BA136F" w:rsidRPr="00BA136F" w:rsidRDefault="00BA136F" w:rsidP="00BA136F">
      <w:pPr>
        <w:pStyle w:val="ListParagraph"/>
        <w:numPr>
          <w:ilvl w:val="0"/>
          <w:numId w:val="40"/>
        </w:numPr>
        <w:spacing w:after="0" w:line="240" w:lineRule="auto"/>
        <w:rPr>
          <w:rFonts w:ascii="Tahoma" w:hAnsi="Tahoma" w:cs="Tahoma"/>
          <w:bCs/>
          <w:sz w:val="24"/>
          <w:szCs w:val="24"/>
        </w:rPr>
      </w:pPr>
      <w:r w:rsidRPr="00BA136F">
        <w:rPr>
          <w:rFonts w:ascii="Tahoma" w:hAnsi="Tahoma" w:cs="Tahoma"/>
          <w:bCs/>
          <w:sz w:val="24"/>
          <w:szCs w:val="24"/>
        </w:rPr>
        <w:t>Economic development by business, investors, and philanthropy, and the promotion of new industry in marginalized communities</w:t>
      </w:r>
    </w:p>
    <w:p w:rsidR="00BA136F" w:rsidRPr="00BA136F" w:rsidRDefault="00BA136F" w:rsidP="00BA136F">
      <w:pPr>
        <w:pStyle w:val="ListParagraph"/>
        <w:numPr>
          <w:ilvl w:val="0"/>
          <w:numId w:val="40"/>
        </w:numPr>
        <w:spacing w:after="0" w:line="240" w:lineRule="auto"/>
        <w:rPr>
          <w:rFonts w:ascii="Tahoma" w:hAnsi="Tahoma" w:cs="Tahoma"/>
          <w:bCs/>
          <w:sz w:val="24"/>
          <w:szCs w:val="24"/>
        </w:rPr>
      </w:pPr>
      <w:r w:rsidRPr="00BA136F">
        <w:rPr>
          <w:rFonts w:ascii="Tahoma" w:hAnsi="Tahoma" w:cs="Tahoma"/>
          <w:bCs/>
          <w:sz w:val="24"/>
          <w:szCs w:val="24"/>
        </w:rPr>
        <w:t>Investments in affordable housing and transportation</w:t>
      </w:r>
    </w:p>
    <w:p w:rsidR="00BA136F" w:rsidRDefault="00BA136F" w:rsidP="00BA136F">
      <w:pPr>
        <w:pStyle w:val="ListParagraph"/>
        <w:numPr>
          <w:ilvl w:val="0"/>
          <w:numId w:val="40"/>
        </w:numPr>
        <w:spacing w:after="0" w:line="240" w:lineRule="auto"/>
        <w:rPr>
          <w:rFonts w:ascii="Tahoma" w:hAnsi="Tahoma" w:cs="Tahoma"/>
          <w:bCs/>
          <w:sz w:val="24"/>
          <w:szCs w:val="24"/>
        </w:rPr>
      </w:pPr>
      <w:r w:rsidRPr="00BA136F">
        <w:rPr>
          <w:rFonts w:ascii="Tahoma" w:hAnsi="Tahoma" w:cs="Tahoma"/>
          <w:bCs/>
          <w:sz w:val="24"/>
          <w:szCs w:val="24"/>
        </w:rPr>
        <w:t>Civic engagement and cross-sector partnerships to leverage resources</w:t>
      </w:r>
    </w:p>
    <w:p w:rsidR="00BA136F" w:rsidRDefault="00BA136F" w:rsidP="00BA136F">
      <w:pPr>
        <w:spacing w:after="0" w:line="240" w:lineRule="auto"/>
        <w:rPr>
          <w:rFonts w:ascii="Tahoma" w:hAnsi="Tahoma" w:cs="Tahoma"/>
          <w:bCs/>
          <w:sz w:val="24"/>
          <w:szCs w:val="24"/>
        </w:rPr>
      </w:pPr>
    </w:p>
    <w:p w:rsidR="00BA136F" w:rsidRPr="00BA136F" w:rsidRDefault="00BA136F" w:rsidP="00BA136F">
      <w:pPr>
        <w:spacing w:after="0" w:line="240" w:lineRule="auto"/>
        <w:rPr>
          <w:rFonts w:ascii="Tahoma" w:hAnsi="Tahoma" w:cs="Tahoma"/>
          <w:bCs/>
          <w:sz w:val="24"/>
          <w:szCs w:val="24"/>
        </w:rPr>
      </w:pPr>
      <w:r w:rsidRPr="00BA136F">
        <w:rPr>
          <w:rFonts w:ascii="Tahoma" w:hAnsi="Tahoma" w:cs="Tahoma"/>
          <w:bCs/>
          <w:sz w:val="24"/>
          <w:szCs w:val="24"/>
        </w:rPr>
        <w:t>Ensure access to quality health care services</w:t>
      </w:r>
      <w:r w:rsidRPr="00BA136F">
        <w:rPr>
          <w:rFonts w:ascii="Tahoma" w:hAnsi="Tahoma" w:cs="Tahoma"/>
          <w:bCs/>
          <w:sz w:val="24"/>
          <w:szCs w:val="24"/>
        </w:rPr>
        <w:tab/>
      </w:r>
    </w:p>
    <w:p w:rsidR="00BA136F" w:rsidRPr="00BA136F" w:rsidRDefault="00BA136F" w:rsidP="00BA136F">
      <w:pPr>
        <w:pStyle w:val="ListParagraph"/>
        <w:numPr>
          <w:ilvl w:val="0"/>
          <w:numId w:val="41"/>
        </w:numPr>
        <w:spacing w:after="0" w:line="240" w:lineRule="auto"/>
        <w:rPr>
          <w:rFonts w:ascii="Tahoma" w:hAnsi="Tahoma" w:cs="Tahoma"/>
          <w:bCs/>
          <w:sz w:val="24"/>
          <w:szCs w:val="24"/>
        </w:rPr>
      </w:pPr>
      <w:r w:rsidRPr="00BA136F">
        <w:rPr>
          <w:rFonts w:ascii="Tahoma" w:hAnsi="Tahoma" w:cs="Tahoma"/>
          <w:bCs/>
          <w:sz w:val="24"/>
          <w:szCs w:val="24"/>
        </w:rPr>
        <w:t>Improved access to affordable health insurance and attention to provider shortage areas</w:t>
      </w:r>
    </w:p>
    <w:p w:rsidR="00BA136F" w:rsidRPr="00BA136F" w:rsidRDefault="00BA136F" w:rsidP="00BA136F">
      <w:pPr>
        <w:pStyle w:val="ListParagraph"/>
        <w:numPr>
          <w:ilvl w:val="0"/>
          <w:numId w:val="41"/>
        </w:numPr>
        <w:spacing w:after="0" w:line="240" w:lineRule="auto"/>
        <w:rPr>
          <w:rFonts w:ascii="Tahoma" w:hAnsi="Tahoma" w:cs="Tahoma"/>
          <w:bCs/>
          <w:sz w:val="24"/>
          <w:szCs w:val="24"/>
        </w:rPr>
      </w:pPr>
      <w:r w:rsidRPr="00BA136F">
        <w:rPr>
          <w:rFonts w:ascii="Tahoma" w:hAnsi="Tahoma" w:cs="Tahoma"/>
          <w:bCs/>
          <w:sz w:val="24"/>
          <w:szCs w:val="24"/>
        </w:rPr>
        <w:t>Protecting the quality and cultural competence of health care services</w:t>
      </w:r>
    </w:p>
    <w:p w:rsidR="00BA136F" w:rsidRDefault="00BA136F" w:rsidP="00BA136F">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sidRPr="00BA136F">
        <w:rPr>
          <w:rFonts w:ascii="Tahoma" w:hAnsi="Tahoma" w:cs="Tahoma"/>
          <w:bCs/>
          <w:sz w:val="24"/>
          <w:szCs w:val="24"/>
        </w:rPr>
        <w:t>Slide 2</w:t>
      </w:r>
      <w:r>
        <w:rPr>
          <w:rFonts w:ascii="Tahoma" w:hAnsi="Tahoma" w:cs="Tahoma"/>
          <w:bCs/>
          <w:sz w:val="24"/>
          <w:szCs w:val="24"/>
        </w:rPr>
        <w:t>4</w:t>
      </w:r>
      <w:r w:rsidRPr="00BA136F">
        <w:rPr>
          <w:rFonts w:ascii="Tahoma" w:hAnsi="Tahoma" w:cs="Tahoma"/>
          <w:bCs/>
          <w:sz w:val="24"/>
          <w:szCs w:val="24"/>
        </w:rPr>
        <w:t>: Available resources</w:t>
      </w:r>
    </w:p>
    <w:p w:rsidR="00BA136F" w:rsidRDefault="00BA136F" w:rsidP="00047AB9">
      <w:pPr>
        <w:spacing w:after="0" w:line="240" w:lineRule="auto"/>
        <w:rPr>
          <w:rFonts w:ascii="Tahoma" w:hAnsi="Tahoma" w:cs="Tahoma"/>
          <w:bCs/>
          <w:sz w:val="24"/>
          <w:szCs w:val="24"/>
        </w:rPr>
      </w:pPr>
    </w:p>
    <w:p w:rsidR="00BA136F" w:rsidRDefault="00BA136F" w:rsidP="00047AB9">
      <w:pPr>
        <w:spacing w:after="0" w:line="240" w:lineRule="auto"/>
        <w:rPr>
          <w:rFonts w:ascii="Tahoma" w:hAnsi="Tahoma" w:cs="Tahoma"/>
          <w:bCs/>
          <w:sz w:val="24"/>
          <w:szCs w:val="24"/>
        </w:rPr>
      </w:pPr>
      <w:r>
        <w:rPr>
          <w:rFonts w:ascii="Tahoma" w:hAnsi="Tahoma" w:cs="Tahoma"/>
          <w:bCs/>
          <w:sz w:val="24"/>
          <w:szCs w:val="24"/>
        </w:rPr>
        <w:t>Screenshot of report</w:t>
      </w:r>
    </w:p>
    <w:p w:rsidR="00BA136F" w:rsidRDefault="00BA136F" w:rsidP="00047AB9">
      <w:pPr>
        <w:spacing w:after="0" w:line="240" w:lineRule="auto"/>
        <w:rPr>
          <w:rFonts w:ascii="Tahoma" w:hAnsi="Tahoma" w:cs="Tahoma"/>
          <w:bCs/>
          <w:sz w:val="24"/>
          <w:szCs w:val="24"/>
        </w:rPr>
      </w:pPr>
    </w:p>
    <w:p w:rsidR="00BA136F" w:rsidRPr="00BA136F" w:rsidRDefault="00BA136F" w:rsidP="00BA136F">
      <w:pPr>
        <w:pStyle w:val="ListParagraph"/>
        <w:numPr>
          <w:ilvl w:val="0"/>
          <w:numId w:val="42"/>
        </w:numPr>
        <w:spacing w:after="0" w:line="240" w:lineRule="auto"/>
        <w:rPr>
          <w:rFonts w:ascii="Tahoma" w:hAnsi="Tahoma" w:cs="Tahoma"/>
          <w:bCs/>
          <w:sz w:val="24"/>
          <w:szCs w:val="24"/>
        </w:rPr>
      </w:pPr>
      <w:r w:rsidRPr="00BA136F">
        <w:rPr>
          <w:rFonts w:ascii="Tahoma" w:hAnsi="Tahoma" w:cs="Tahoma"/>
          <w:bCs/>
          <w:sz w:val="24"/>
          <w:szCs w:val="24"/>
        </w:rPr>
        <w:t>Main report</w:t>
      </w:r>
    </w:p>
    <w:p w:rsidR="00BA136F" w:rsidRPr="00BA136F" w:rsidRDefault="00BA136F" w:rsidP="00BA136F">
      <w:pPr>
        <w:pStyle w:val="ListParagraph"/>
        <w:numPr>
          <w:ilvl w:val="0"/>
          <w:numId w:val="42"/>
        </w:numPr>
        <w:spacing w:after="0" w:line="240" w:lineRule="auto"/>
        <w:rPr>
          <w:rFonts w:ascii="Tahoma" w:hAnsi="Tahoma" w:cs="Tahoma"/>
          <w:bCs/>
          <w:sz w:val="24"/>
          <w:szCs w:val="24"/>
        </w:rPr>
      </w:pPr>
      <w:r w:rsidRPr="00BA136F">
        <w:rPr>
          <w:rFonts w:ascii="Tahoma" w:hAnsi="Tahoma" w:cs="Tahoma"/>
          <w:bCs/>
          <w:sz w:val="24"/>
          <w:szCs w:val="24"/>
        </w:rPr>
        <w:t>Technical appendix</w:t>
      </w:r>
    </w:p>
    <w:p w:rsidR="00BA136F" w:rsidRPr="00BA136F" w:rsidRDefault="00BA136F" w:rsidP="00BA136F">
      <w:pPr>
        <w:pStyle w:val="ListParagraph"/>
        <w:numPr>
          <w:ilvl w:val="0"/>
          <w:numId w:val="42"/>
        </w:numPr>
        <w:spacing w:after="0" w:line="240" w:lineRule="auto"/>
        <w:rPr>
          <w:rFonts w:ascii="Tahoma" w:hAnsi="Tahoma" w:cs="Tahoma"/>
          <w:bCs/>
          <w:sz w:val="24"/>
          <w:szCs w:val="24"/>
        </w:rPr>
      </w:pPr>
      <w:r w:rsidRPr="00BA136F">
        <w:rPr>
          <w:rFonts w:ascii="Tahoma" w:hAnsi="Tahoma" w:cs="Tahoma"/>
          <w:bCs/>
          <w:sz w:val="24"/>
          <w:szCs w:val="24"/>
        </w:rPr>
        <w:t>Map sets for 10 jurisdictions</w:t>
      </w:r>
    </w:p>
    <w:p w:rsidR="00BA136F" w:rsidRPr="00BA136F" w:rsidRDefault="00BA136F" w:rsidP="00BA136F">
      <w:pPr>
        <w:pStyle w:val="ListParagraph"/>
        <w:numPr>
          <w:ilvl w:val="0"/>
          <w:numId w:val="42"/>
        </w:numPr>
        <w:spacing w:after="0" w:line="240" w:lineRule="auto"/>
        <w:rPr>
          <w:rFonts w:ascii="Tahoma" w:hAnsi="Tahoma" w:cs="Tahoma"/>
          <w:bCs/>
          <w:sz w:val="24"/>
          <w:szCs w:val="24"/>
        </w:rPr>
      </w:pPr>
      <w:r w:rsidRPr="00BA136F">
        <w:rPr>
          <w:rFonts w:ascii="Tahoma" w:hAnsi="Tahoma" w:cs="Tahoma"/>
          <w:bCs/>
          <w:sz w:val="24"/>
          <w:szCs w:val="24"/>
        </w:rPr>
        <w:t>Data file</w:t>
      </w:r>
    </w:p>
    <w:p w:rsidR="00BA136F" w:rsidRDefault="00BA136F" w:rsidP="00047AB9">
      <w:pPr>
        <w:spacing w:after="0" w:line="240" w:lineRule="auto"/>
        <w:rPr>
          <w:rFonts w:ascii="Tahoma" w:hAnsi="Tahoma" w:cs="Tahoma"/>
          <w:bCs/>
          <w:sz w:val="24"/>
          <w:szCs w:val="24"/>
        </w:rPr>
      </w:pPr>
    </w:p>
    <w:p w:rsidR="000D7554" w:rsidRDefault="000D7554" w:rsidP="00047AB9">
      <w:pPr>
        <w:spacing w:after="0" w:line="240" w:lineRule="auto"/>
        <w:rPr>
          <w:rFonts w:ascii="Tahoma" w:hAnsi="Tahoma" w:cs="Tahoma"/>
          <w:bCs/>
          <w:sz w:val="24"/>
          <w:szCs w:val="24"/>
        </w:rPr>
      </w:pPr>
      <w:r w:rsidRPr="000D7554">
        <w:rPr>
          <w:rFonts w:ascii="Tahoma" w:hAnsi="Tahoma" w:cs="Tahoma"/>
          <w:bCs/>
          <w:sz w:val="24"/>
          <w:szCs w:val="24"/>
        </w:rPr>
        <w:t>Slide 2</w:t>
      </w:r>
      <w:r>
        <w:rPr>
          <w:rFonts w:ascii="Tahoma" w:hAnsi="Tahoma" w:cs="Tahoma"/>
          <w:bCs/>
          <w:sz w:val="24"/>
          <w:szCs w:val="24"/>
        </w:rPr>
        <w:t>5</w:t>
      </w:r>
      <w:r w:rsidRPr="000D7554">
        <w:rPr>
          <w:rFonts w:ascii="Tahoma" w:hAnsi="Tahoma" w:cs="Tahoma"/>
          <w:bCs/>
          <w:sz w:val="24"/>
          <w:szCs w:val="24"/>
        </w:rPr>
        <w:t xml:space="preserve">: </w:t>
      </w:r>
      <w:r>
        <w:rPr>
          <w:rFonts w:ascii="Tahoma" w:hAnsi="Tahoma" w:cs="Tahoma"/>
          <w:bCs/>
          <w:sz w:val="24"/>
          <w:szCs w:val="24"/>
        </w:rPr>
        <w:t>Questions?</w:t>
      </w:r>
    </w:p>
    <w:p w:rsidR="000D7554" w:rsidRDefault="000D7554" w:rsidP="00047AB9">
      <w:pPr>
        <w:spacing w:after="0" w:line="240" w:lineRule="auto"/>
        <w:rPr>
          <w:rFonts w:ascii="Tahoma" w:hAnsi="Tahoma" w:cs="Tahoma"/>
          <w:bCs/>
          <w:sz w:val="24"/>
          <w:szCs w:val="24"/>
        </w:rPr>
      </w:pPr>
    </w:p>
    <w:p w:rsidR="001E36E2" w:rsidRPr="001E36E2" w:rsidRDefault="001E36E2" w:rsidP="001E36E2">
      <w:pPr>
        <w:spacing w:after="0" w:line="240" w:lineRule="auto"/>
        <w:rPr>
          <w:rFonts w:ascii="Tahoma" w:hAnsi="Tahoma" w:cs="Tahoma"/>
          <w:bCs/>
          <w:sz w:val="24"/>
          <w:szCs w:val="24"/>
        </w:rPr>
      </w:pPr>
      <w:bookmarkStart w:id="1" w:name="_GoBack"/>
      <w:bookmarkEnd w:id="1"/>
    </w:p>
    <w:p w:rsidR="001E36E2" w:rsidRPr="00522261" w:rsidRDefault="001E36E2" w:rsidP="001E36E2">
      <w:pPr>
        <w:spacing w:after="0" w:line="240" w:lineRule="auto"/>
        <w:rPr>
          <w:rFonts w:ascii="Tahoma" w:hAnsi="Tahoma" w:cs="Tahoma"/>
          <w:bCs/>
          <w:sz w:val="24"/>
          <w:szCs w:val="24"/>
        </w:rPr>
      </w:pPr>
    </w:p>
    <w:sectPr w:rsidR="001E36E2"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DD6"/>
    <w:multiLevelType w:val="hybridMultilevel"/>
    <w:tmpl w:val="E9B67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716D2"/>
    <w:multiLevelType w:val="hybridMultilevel"/>
    <w:tmpl w:val="7024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69A1"/>
    <w:multiLevelType w:val="hybridMultilevel"/>
    <w:tmpl w:val="3A1C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A3D18"/>
    <w:multiLevelType w:val="hybridMultilevel"/>
    <w:tmpl w:val="0D00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9DD"/>
    <w:multiLevelType w:val="hybridMultilevel"/>
    <w:tmpl w:val="E53CC2D2"/>
    <w:lvl w:ilvl="0" w:tplc="6DB67FB2">
      <w:start w:val="1"/>
      <w:numFmt w:val="bullet"/>
      <w:lvlText w:val="•"/>
      <w:lvlJc w:val="left"/>
      <w:pPr>
        <w:tabs>
          <w:tab w:val="num" w:pos="720"/>
        </w:tabs>
        <w:ind w:left="720" w:hanging="360"/>
      </w:pPr>
      <w:rPr>
        <w:rFonts w:ascii="Arial" w:hAnsi="Arial" w:hint="default"/>
      </w:rPr>
    </w:lvl>
    <w:lvl w:ilvl="1" w:tplc="62ACFAE6">
      <w:start w:val="78"/>
      <w:numFmt w:val="bullet"/>
      <w:lvlText w:val="o"/>
      <w:lvlJc w:val="left"/>
      <w:pPr>
        <w:tabs>
          <w:tab w:val="num" w:pos="1440"/>
        </w:tabs>
        <w:ind w:left="1440" w:hanging="360"/>
      </w:pPr>
      <w:rPr>
        <w:rFonts w:ascii="Courier New" w:hAnsi="Courier New" w:hint="default"/>
      </w:rPr>
    </w:lvl>
    <w:lvl w:ilvl="2" w:tplc="E4E84F48" w:tentative="1">
      <w:start w:val="1"/>
      <w:numFmt w:val="bullet"/>
      <w:lvlText w:val="•"/>
      <w:lvlJc w:val="left"/>
      <w:pPr>
        <w:tabs>
          <w:tab w:val="num" w:pos="2160"/>
        </w:tabs>
        <w:ind w:left="2160" w:hanging="360"/>
      </w:pPr>
      <w:rPr>
        <w:rFonts w:ascii="Arial" w:hAnsi="Arial" w:hint="default"/>
      </w:rPr>
    </w:lvl>
    <w:lvl w:ilvl="3" w:tplc="04E63AF6" w:tentative="1">
      <w:start w:val="1"/>
      <w:numFmt w:val="bullet"/>
      <w:lvlText w:val="•"/>
      <w:lvlJc w:val="left"/>
      <w:pPr>
        <w:tabs>
          <w:tab w:val="num" w:pos="2880"/>
        </w:tabs>
        <w:ind w:left="2880" w:hanging="360"/>
      </w:pPr>
      <w:rPr>
        <w:rFonts w:ascii="Arial" w:hAnsi="Arial" w:hint="default"/>
      </w:rPr>
    </w:lvl>
    <w:lvl w:ilvl="4" w:tplc="56C2CA1A" w:tentative="1">
      <w:start w:val="1"/>
      <w:numFmt w:val="bullet"/>
      <w:lvlText w:val="•"/>
      <w:lvlJc w:val="left"/>
      <w:pPr>
        <w:tabs>
          <w:tab w:val="num" w:pos="3600"/>
        </w:tabs>
        <w:ind w:left="3600" w:hanging="360"/>
      </w:pPr>
      <w:rPr>
        <w:rFonts w:ascii="Arial" w:hAnsi="Arial" w:hint="default"/>
      </w:rPr>
    </w:lvl>
    <w:lvl w:ilvl="5" w:tplc="C0FE7EAA" w:tentative="1">
      <w:start w:val="1"/>
      <w:numFmt w:val="bullet"/>
      <w:lvlText w:val="•"/>
      <w:lvlJc w:val="left"/>
      <w:pPr>
        <w:tabs>
          <w:tab w:val="num" w:pos="4320"/>
        </w:tabs>
        <w:ind w:left="4320" w:hanging="360"/>
      </w:pPr>
      <w:rPr>
        <w:rFonts w:ascii="Arial" w:hAnsi="Arial" w:hint="default"/>
      </w:rPr>
    </w:lvl>
    <w:lvl w:ilvl="6" w:tplc="D6D8B4DA" w:tentative="1">
      <w:start w:val="1"/>
      <w:numFmt w:val="bullet"/>
      <w:lvlText w:val="•"/>
      <w:lvlJc w:val="left"/>
      <w:pPr>
        <w:tabs>
          <w:tab w:val="num" w:pos="5040"/>
        </w:tabs>
        <w:ind w:left="5040" w:hanging="360"/>
      </w:pPr>
      <w:rPr>
        <w:rFonts w:ascii="Arial" w:hAnsi="Arial" w:hint="default"/>
      </w:rPr>
    </w:lvl>
    <w:lvl w:ilvl="7" w:tplc="B9FA65A8" w:tentative="1">
      <w:start w:val="1"/>
      <w:numFmt w:val="bullet"/>
      <w:lvlText w:val="•"/>
      <w:lvlJc w:val="left"/>
      <w:pPr>
        <w:tabs>
          <w:tab w:val="num" w:pos="5760"/>
        </w:tabs>
        <w:ind w:left="5760" w:hanging="360"/>
      </w:pPr>
      <w:rPr>
        <w:rFonts w:ascii="Arial" w:hAnsi="Arial" w:hint="default"/>
      </w:rPr>
    </w:lvl>
    <w:lvl w:ilvl="8" w:tplc="6D12BB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F40BC3"/>
    <w:multiLevelType w:val="hybridMultilevel"/>
    <w:tmpl w:val="B44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31F37"/>
    <w:multiLevelType w:val="hybridMultilevel"/>
    <w:tmpl w:val="6544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F2E49"/>
    <w:multiLevelType w:val="hybridMultilevel"/>
    <w:tmpl w:val="B414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D8E"/>
    <w:multiLevelType w:val="hybridMultilevel"/>
    <w:tmpl w:val="91AE4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33772"/>
    <w:multiLevelType w:val="hybridMultilevel"/>
    <w:tmpl w:val="AF0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4394F"/>
    <w:multiLevelType w:val="hybridMultilevel"/>
    <w:tmpl w:val="9BA4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D2BA0"/>
    <w:multiLevelType w:val="hybridMultilevel"/>
    <w:tmpl w:val="89F8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57997"/>
    <w:multiLevelType w:val="hybridMultilevel"/>
    <w:tmpl w:val="CD3A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D1C63"/>
    <w:multiLevelType w:val="hybridMultilevel"/>
    <w:tmpl w:val="505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E511A"/>
    <w:multiLevelType w:val="hybridMultilevel"/>
    <w:tmpl w:val="27DA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F1880"/>
    <w:multiLevelType w:val="hybridMultilevel"/>
    <w:tmpl w:val="280A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B0C93"/>
    <w:multiLevelType w:val="hybridMultilevel"/>
    <w:tmpl w:val="0824C6B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2B773FC6"/>
    <w:multiLevelType w:val="hybridMultilevel"/>
    <w:tmpl w:val="C134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13738"/>
    <w:multiLevelType w:val="hybridMultilevel"/>
    <w:tmpl w:val="299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A7530"/>
    <w:multiLevelType w:val="hybridMultilevel"/>
    <w:tmpl w:val="26D0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11EBB"/>
    <w:multiLevelType w:val="hybridMultilevel"/>
    <w:tmpl w:val="3EFEF9E4"/>
    <w:lvl w:ilvl="0" w:tplc="CD6C4EB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055FA"/>
    <w:multiLevelType w:val="hybridMultilevel"/>
    <w:tmpl w:val="305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15F7E"/>
    <w:multiLevelType w:val="hybridMultilevel"/>
    <w:tmpl w:val="F6AE1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41D7C"/>
    <w:multiLevelType w:val="hybridMultilevel"/>
    <w:tmpl w:val="8F960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1A3ADF"/>
    <w:multiLevelType w:val="hybridMultilevel"/>
    <w:tmpl w:val="2F56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26CE0"/>
    <w:multiLevelType w:val="hybridMultilevel"/>
    <w:tmpl w:val="3D82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20B9D"/>
    <w:multiLevelType w:val="hybridMultilevel"/>
    <w:tmpl w:val="8C92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A2CA7"/>
    <w:multiLevelType w:val="hybridMultilevel"/>
    <w:tmpl w:val="6DC2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20F4F"/>
    <w:multiLevelType w:val="hybridMultilevel"/>
    <w:tmpl w:val="0598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F61D7"/>
    <w:multiLevelType w:val="hybridMultilevel"/>
    <w:tmpl w:val="6DAC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756FD"/>
    <w:multiLevelType w:val="hybridMultilevel"/>
    <w:tmpl w:val="C53E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406DA"/>
    <w:multiLevelType w:val="hybridMultilevel"/>
    <w:tmpl w:val="1A4E6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FD5D51"/>
    <w:multiLevelType w:val="hybridMultilevel"/>
    <w:tmpl w:val="4F5A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D1123"/>
    <w:multiLevelType w:val="hybridMultilevel"/>
    <w:tmpl w:val="35FE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5239A"/>
    <w:multiLevelType w:val="hybridMultilevel"/>
    <w:tmpl w:val="032A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30481"/>
    <w:multiLevelType w:val="hybridMultilevel"/>
    <w:tmpl w:val="F732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636E6"/>
    <w:multiLevelType w:val="hybridMultilevel"/>
    <w:tmpl w:val="BED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678"/>
    <w:multiLevelType w:val="hybridMultilevel"/>
    <w:tmpl w:val="E6BA1112"/>
    <w:lvl w:ilvl="0" w:tplc="CD6C4EB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C7E3B"/>
    <w:multiLevelType w:val="hybridMultilevel"/>
    <w:tmpl w:val="DCA0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42C07"/>
    <w:multiLevelType w:val="hybridMultilevel"/>
    <w:tmpl w:val="AC2A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01B37"/>
    <w:multiLevelType w:val="hybridMultilevel"/>
    <w:tmpl w:val="66EE4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2D22B8"/>
    <w:multiLevelType w:val="hybridMultilevel"/>
    <w:tmpl w:val="548E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0"/>
  </w:num>
  <w:num w:numId="4">
    <w:abstractNumId w:val="34"/>
  </w:num>
  <w:num w:numId="5">
    <w:abstractNumId w:val="39"/>
  </w:num>
  <w:num w:numId="6">
    <w:abstractNumId w:val="13"/>
  </w:num>
  <w:num w:numId="7">
    <w:abstractNumId w:val="4"/>
  </w:num>
  <w:num w:numId="8">
    <w:abstractNumId w:val="22"/>
  </w:num>
  <w:num w:numId="9">
    <w:abstractNumId w:val="31"/>
  </w:num>
  <w:num w:numId="10">
    <w:abstractNumId w:val="41"/>
  </w:num>
  <w:num w:numId="11">
    <w:abstractNumId w:val="5"/>
  </w:num>
  <w:num w:numId="12">
    <w:abstractNumId w:val="2"/>
  </w:num>
  <w:num w:numId="13">
    <w:abstractNumId w:val="26"/>
  </w:num>
  <w:num w:numId="14">
    <w:abstractNumId w:val="3"/>
  </w:num>
  <w:num w:numId="15">
    <w:abstractNumId w:val="40"/>
  </w:num>
  <w:num w:numId="16">
    <w:abstractNumId w:val="0"/>
  </w:num>
  <w:num w:numId="17">
    <w:abstractNumId w:val="15"/>
  </w:num>
  <w:num w:numId="18">
    <w:abstractNumId w:val="1"/>
  </w:num>
  <w:num w:numId="19">
    <w:abstractNumId w:val="23"/>
  </w:num>
  <w:num w:numId="20">
    <w:abstractNumId w:val="36"/>
  </w:num>
  <w:num w:numId="21">
    <w:abstractNumId w:val="16"/>
  </w:num>
  <w:num w:numId="22">
    <w:abstractNumId w:val="25"/>
  </w:num>
  <w:num w:numId="23">
    <w:abstractNumId w:val="6"/>
  </w:num>
  <w:num w:numId="24">
    <w:abstractNumId w:val="32"/>
  </w:num>
  <w:num w:numId="25">
    <w:abstractNumId w:val="7"/>
  </w:num>
  <w:num w:numId="26">
    <w:abstractNumId w:val="24"/>
  </w:num>
  <w:num w:numId="27">
    <w:abstractNumId w:val="27"/>
  </w:num>
  <w:num w:numId="28">
    <w:abstractNumId w:val="14"/>
  </w:num>
  <w:num w:numId="29">
    <w:abstractNumId w:val="38"/>
  </w:num>
  <w:num w:numId="30">
    <w:abstractNumId w:val="10"/>
  </w:num>
  <w:num w:numId="31">
    <w:abstractNumId w:val="19"/>
  </w:num>
  <w:num w:numId="32">
    <w:abstractNumId w:val="21"/>
  </w:num>
  <w:num w:numId="33">
    <w:abstractNumId w:val="17"/>
  </w:num>
  <w:num w:numId="34">
    <w:abstractNumId w:val="29"/>
  </w:num>
  <w:num w:numId="35">
    <w:abstractNumId w:val="35"/>
  </w:num>
  <w:num w:numId="36">
    <w:abstractNumId w:val="37"/>
  </w:num>
  <w:num w:numId="37">
    <w:abstractNumId w:val="20"/>
  </w:num>
  <w:num w:numId="38">
    <w:abstractNumId w:val="28"/>
  </w:num>
  <w:num w:numId="39">
    <w:abstractNumId w:val="11"/>
  </w:num>
  <w:num w:numId="40">
    <w:abstractNumId w:val="33"/>
  </w:num>
  <w:num w:numId="41">
    <w:abstractNumId w:val="18"/>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47AB9"/>
    <w:rsid w:val="00052598"/>
    <w:rsid w:val="00057D20"/>
    <w:rsid w:val="00066C99"/>
    <w:rsid w:val="000A5C45"/>
    <w:rsid w:val="000B0FE0"/>
    <w:rsid w:val="000D7554"/>
    <w:rsid w:val="000E7F04"/>
    <w:rsid w:val="000F5515"/>
    <w:rsid w:val="001111B6"/>
    <w:rsid w:val="00141C1F"/>
    <w:rsid w:val="00164411"/>
    <w:rsid w:val="00170C5D"/>
    <w:rsid w:val="001735A8"/>
    <w:rsid w:val="001E36E2"/>
    <w:rsid w:val="001E6A3A"/>
    <w:rsid w:val="001E79CD"/>
    <w:rsid w:val="001F156E"/>
    <w:rsid w:val="00201832"/>
    <w:rsid w:val="00202625"/>
    <w:rsid w:val="00210B83"/>
    <w:rsid w:val="00240D91"/>
    <w:rsid w:val="002458A9"/>
    <w:rsid w:val="00246AEE"/>
    <w:rsid w:val="00286833"/>
    <w:rsid w:val="002C6F9D"/>
    <w:rsid w:val="002C7AEE"/>
    <w:rsid w:val="002D6545"/>
    <w:rsid w:val="002D68CA"/>
    <w:rsid w:val="002F1EB6"/>
    <w:rsid w:val="002F2391"/>
    <w:rsid w:val="00303EE5"/>
    <w:rsid w:val="00312FF0"/>
    <w:rsid w:val="00321A2C"/>
    <w:rsid w:val="00352C27"/>
    <w:rsid w:val="00356C0D"/>
    <w:rsid w:val="00377D26"/>
    <w:rsid w:val="003834FE"/>
    <w:rsid w:val="003C6C4B"/>
    <w:rsid w:val="003D2A8E"/>
    <w:rsid w:val="003D3DD2"/>
    <w:rsid w:val="003D4366"/>
    <w:rsid w:val="003F2325"/>
    <w:rsid w:val="003F5399"/>
    <w:rsid w:val="003F63DD"/>
    <w:rsid w:val="0040178F"/>
    <w:rsid w:val="004027F6"/>
    <w:rsid w:val="00415971"/>
    <w:rsid w:val="004164C2"/>
    <w:rsid w:val="00430791"/>
    <w:rsid w:val="00440B5B"/>
    <w:rsid w:val="00442F02"/>
    <w:rsid w:val="004629BF"/>
    <w:rsid w:val="004869C9"/>
    <w:rsid w:val="00497C37"/>
    <w:rsid w:val="004A432C"/>
    <w:rsid w:val="00510770"/>
    <w:rsid w:val="00513DDB"/>
    <w:rsid w:val="00522261"/>
    <w:rsid w:val="00535404"/>
    <w:rsid w:val="00556481"/>
    <w:rsid w:val="005600C3"/>
    <w:rsid w:val="00572D3B"/>
    <w:rsid w:val="00580F7D"/>
    <w:rsid w:val="00590664"/>
    <w:rsid w:val="00597304"/>
    <w:rsid w:val="005E1993"/>
    <w:rsid w:val="00606911"/>
    <w:rsid w:val="006223E2"/>
    <w:rsid w:val="00624D3F"/>
    <w:rsid w:val="00632E0A"/>
    <w:rsid w:val="00672A8A"/>
    <w:rsid w:val="0068626D"/>
    <w:rsid w:val="00691852"/>
    <w:rsid w:val="0069191B"/>
    <w:rsid w:val="006A02EF"/>
    <w:rsid w:val="006C7450"/>
    <w:rsid w:val="00705556"/>
    <w:rsid w:val="007317BE"/>
    <w:rsid w:val="00763177"/>
    <w:rsid w:val="00774E88"/>
    <w:rsid w:val="007A4AE7"/>
    <w:rsid w:val="007A57B7"/>
    <w:rsid w:val="007B3A3A"/>
    <w:rsid w:val="007B7464"/>
    <w:rsid w:val="0080275A"/>
    <w:rsid w:val="00822921"/>
    <w:rsid w:val="00841ED3"/>
    <w:rsid w:val="00845DDE"/>
    <w:rsid w:val="00863F0B"/>
    <w:rsid w:val="00872269"/>
    <w:rsid w:val="008923C1"/>
    <w:rsid w:val="008A6179"/>
    <w:rsid w:val="008B6DC9"/>
    <w:rsid w:val="008C057C"/>
    <w:rsid w:val="008D2C59"/>
    <w:rsid w:val="008D791D"/>
    <w:rsid w:val="008E43C6"/>
    <w:rsid w:val="008E4B30"/>
    <w:rsid w:val="008F45F5"/>
    <w:rsid w:val="008F7E6B"/>
    <w:rsid w:val="00900361"/>
    <w:rsid w:val="00911857"/>
    <w:rsid w:val="009224E8"/>
    <w:rsid w:val="009256A8"/>
    <w:rsid w:val="009378A5"/>
    <w:rsid w:val="00945C22"/>
    <w:rsid w:val="0095311E"/>
    <w:rsid w:val="00971BE2"/>
    <w:rsid w:val="00980B0D"/>
    <w:rsid w:val="00992E98"/>
    <w:rsid w:val="009A0271"/>
    <w:rsid w:val="009C2A22"/>
    <w:rsid w:val="009C7A98"/>
    <w:rsid w:val="009D14D0"/>
    <w:rsid w:val="009E4921"/>
    <w:rsid w:val="009F000D"/>
    <w:rsid w:val="009F1EAC"/>
    <w:rsid w:val="009F711B"/>
    <w:rsid w:val="00A000CA"/>
    <w:rsid w:val="00A15528"/>
    <w:rsid w:val="00A36E77"/>
    <w:rsid w:val="00A60FCC"/>
    <w:rsid w:val="00A618C0"/>
    <w:rsid w:val="00A6445E"/>
    <w:rsid w:val="00A83780"/>
    <w:rsid w:val="00AA5B4B"/>
    <w:rsid w:val="00AF2BE1"/>
    <w:rsid w:val="00AF331F"/>
    <w:rsid w:val="00B63019"/>
    <w:rsid w:val="00B7408E"/>
    <w:rsid w:val="00BA136F"/>
    <w:rsid w:val="00BD5E28"/>
    <w:rsid w:val="00BE54EA"/>
    <w:rsid w:val="00C04721"/>
    <w:rsid w:val="00C2006A"/>
    <w:rsid w:val="00C21C58"/>
    <w:rsid w:val="00C24EE4"/>
    <w:rsid w:val="00C34999"/>
    <w:rsid w:val="00C43F9D"/>
    <w:rsid w:val="00C55334"/>
    <w:rsid w:val="00C71D0E"/>
    <w:rsid w:val="00C728D2"/>
    <w:rsid w:val="00CB65CD"/>
    <w:rsid w:val="00CD6927"/>
    <w:rsid w:val="00D11820"/>
    <w:rsid w:val="00D4585C"/>
    <w:rsid w:val="00D678AB"/>
    <w:rsid w:val="00DC4EB9"/>
    <w:rsid w:val="00DC5F65"/>
    <w:rsid w:val="00DD232D"/>
    <w:rsid w:val="00DE261A"/>
    <w:rsid w:val="00DE3E14"/>
    <w:rsid w:val="00DE4774"/>
    <w:rsid w:val="00DF0DDF"/>
    <w:rsid w:val="00E0209C"/>
    <w:rsid w:val="00E02BA6"/>
    <w:rsid w:val="00E03CEA"/>
    <w:rsid w:val="00E14F14"/>
    <w:rsid w:val="00E16327"/>
    <w:rsid w:val="00E36941"/>
    <w:rsid w:val="00EA0D05"/>
    <w:rsid w:val="00EA1F10"/>
    <w:rsid w:val="00EB3E1D"/>
    <w:rsid w:val="00EB4089"/>
    <w:rsid w:val="00EE1A59"/>
    <w:rsid w:val="00EF3FE2"/>
    <w:rsid w:val="00EF42AB"/>
    <w:rsid w:val="00F06151"/>
    <w:rsid w:val="00F11CD7"/>
    <w:rsid w:val="00F26A82"/>
    <w:rsid w:val="00F276B9"/>
    <w:rsid w:val="00F6170F"/>
    <w:rsid w:val="00F965EB"/>
    <w:rsid w:val="00FC1A37"/>
    <w:rsid w:val="00FC2682"/>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C518"/>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78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3</cp:revision>
  <cp:lastPrinted>2018-09-07T20:22:00Z</cp:lastPrinted>
  <dcterms:created xsi:type="dcterms:W3CDTF">2019-05-08T13:42:00Z</dcterms:created>
  <dcterms:modified xsi:type="dcterms:W3CDTF">2019-05-08T14:57:00Z</dcterms:modified>
</cp:coreProperties>
</file>