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684" w:rsidRDefault="00146684" w:rsidP="00573549">
      <w:pPr>
        <w:autoSpaceDE w:val="0"/>
        <w:autoSpaceDN w:val="0"/>
        <w:adjustRightInd w:val="0"/>
      </w:pPr>
      <w:r w:rsidRPr="004F0B68">
        <w:rPr>
          <w:b/>
        </w:rPr>
        <w:t>5.2.1</w:t>
      </w:r>
      <w:r>
        <w:rPr>
          <w:b/>
        </w:rPr>
        <w:t xml:space="preserve">    </w:t>
      </w:r>
      <w:r w:rsidRPr="004F0B68">
        <w:rPr>
          <w:b/>
        </w:rPr>
        <w:t>Mobile Budgets (cont.)</w:t>
      </w:r>
    </w:p>
    <w:p w:rsidR="00533359" w:rsidRDefault="00146684">
      <w:pPr>
        <w:rPr>
          <w:szCs w:val="24"/>
        </w:rPr>
      </w:pPr>
      <w:r w:rsidRPr="004661EE">
        <w:rPr>
          <w:szCs w:val="24"/>
        </w:rPr>
        <w:t>As required by the transportation conformity rule, this maintenance plan establishes on-road mobile source emissions budgets for NO</w:t>
      </w:r>
      <w:r>
        <w:rPr>
          <w:szCs w:val="24"/>
          <w:vertAlign w:val="subscript"/>
        </w:rPr>
        <w:t>X</w:t>
      </w:r>
      <w:r w:rsidRPr="004661EE">
        <w:rPr>
          <w:szCs w:val="24"/>
        </w:rPr>
        <w:t xml:space="preserve"> and PM</w:t>
      </w:r>
      <w:r w:rsidRPr="004661EE">
        <w:rPr>
          <w:szCs w:val="24"/>
          <w:vertAlign w:val="subscript"/>
        </w:rPr>
        <w:t>2.5</w:t>
      </w:r>
      <w:r w:rsidRPr="004661EE">
        <w:rPr>
          <w:szCs w:val="24"/>
        </w:rPr>
        <w:t xml:space="preserve">.   These budgets represent the level of mobile source emissions that can be emitted in the area while supporting the air quality plan.  The mobile source budgets established by this plan are presented in </w:t>
      </w:r>
      <w:r>
        <w:rPr>
          <w:szCs w:val="24"/>
        </w:rPr>
        <w:t>Tab</w:t>
      </w:r>
      <w:r w:rsidRPr="00762495">
        <w:rPr>
          <w:szCs w:val="24"/>
        </w:rPr>
        <w:t xml:space="preserve">le </w:t>
      </w:r>
      <w:r w:rsidRPr="00762495">
        <w:rPr>
          <w:noProof/>
          <w:szCs w:val="24"/>
        </w:rPr>
        <w:t>5</w:t>
      </w:r>
      <w:r w:rsidRPr="00762495">
        <w:rPr>
          <w:noProof/>
          <w:szCs w:val="24"/>
        </w:rPr>
        <w:noBreakHyphen/>
      </w:r>
      <w:r>
        <w:rPr>
          <w:noProof/>
          <w:szCs w:val="24"/>
        </w:rPr>
        <w:t>4 and Table 5</w:t>
      </w:r>
      <w:r w:rsidRPr="00762495">
        <w:rPr>
          <w:noProof/>
          <w:szCs w:val="24"/>
        </w:rPr>
        <w:noBreakHyphen/>
      </w:r>
      <w:r>
        <w:rPr>
          <w:noProof/>
          <w:szCs w:val="24"/>
        </w:rPr>
        <w:t>5.</w:t>
      </w:r>
      <w:r w:rsidRPr="004661EE">
        <w:rPr>
          <w:szCs w:val="24"/>
        </w:rPr>
        <w:t xml:space="preserve">  </w:t>
      </w:r>
    </w:p>
    <w:p w:rsidR="00146684" w:rsidRDefault="00146684" w:rsidP="004F0B68">
      <w:pPr>
        <w:ind w:firstLine="720"/>
        <w:rPr>
          <w:szCs w:val="24"/>
        </w:rPr>
      </w:pPr>
    </w:p>
    <w:p w:rsidR="00146684" w:rsidRDefault="00146684" w:rsidP="00B6556B">
      <w:pPr>
        <w:rPr>
          <w:szCs w:val="24"/>
        </w:rPr>
      </w:pPr>
      <w:r>
        <w:rPr>
          <w:szCs w:val="24"/>
        </w:rPr>
        <w:t>This maintenance plan provides a</w:t>
      </w:r>
      <w:r w:rsidRPr="00E656EA">
        <w:rPr>
          <w:szCs w:val="24"/>
        </w:rPr>
        <w:t xml:space="preserve"> two-tiered approach </w:t>
      </w:r>
      <w:r>
        <w:rPr>
          <w:szCs w:val="24"/>
        </w:rPr>
        <w:t xml:space="preserve">for the </w:t>
      </w:r>
      <w:r w:rsidRPr="00E656EA">
        <w:rPr>
          <w:szCs w:val="24"/>
        </w:rPr>
        <w:t>motor vehicle emissions budgets (MVEBs)</w:t>
      </w:r>
      <w:r>
        <w:rPr>
          <w:szCs w:val="24"/>
        </w:rPr>
        <w:t xml:space="preserve">.  This approach will be applied in future conformity analyses supporting the </w:t>
      </w:r>
      <w:r w:rsidRPr="00E656EA">
        <w:rPr>
          <w:szCs w:val="24"/>
        </w:rPr>
        <w:t>1997 annual PM</w:t>
      </w:r>
      <w:r w:rsidR="00473177" w:rsidRPr="00473177">
        <w:rPr>
          <w:szCs w:val="24"/>
          <w:vertAlign w:val="subscript"/>
        </w:rPr>
        <w:t>2.5</w:t>
      </w:r>
      <w:r w:rsidRPr="00E656EA">
        <w:rPr>
          <w:szCs w:val="24"/>
        </w:rPr>
        <w:t xml:space="preserve"> standard</w:t>
      </w:r>
      <w:r w:rsidR="00E4762D">
        <w:rPr>
          <w:szCs w:val="24"/>
        </w:rPr>
        <w:t xml:space="preserve"> </w:t>
      </w:r>
      <w:r w:rsidR="00CC635B" w:rsidRPr="00CC635B">
        <w:rPr>
          <w:szCs w:val="24"/>
          <w:highlight w:val="yellow"/>
        </w:rPr>
        <w:t>and uses transportation buffers</w:t>
      </w:r>
      <w:r w:rsidR="00CC635B" w:rsidRPr="00CC635B">
        <w:rPr>
          <w:szCs w:val="24"/>
          <w:highlight w:val="yellow"/>
          <w:vertAlign w:val="superscript"/>
        </w:rPr>
        <w:t>1</w:t>
      </w:r>
      <w:r w:rsidR="00CC635B" w:rsidRPr="00CC635B">
        <w:rPr>
          <w:szCs w:val="24"/>
          <w:highlight w:val="yellow"/>
        </w:rPr>
        <w:t xml:space="preserve"> to accommodate future transportation conformity determinations.</w:t>
      </w:r>
    </w:p>
    <w:p w:rsidR="00146684" w:rsidRDefault="00146684" w:rsidP="004F0B68">
      <w:pPr>
        <w:ind w:firstLine="720"/>
        <w:rPr>
          <w:szCs w:val="24"/>
        </w:rPr>
      </w:pPr>
    </w:p>
    <w:p w:rsidR="00146684" w:rsidRDefault="00146684" w:rsidP="006A5115">
      <w:pPr>
        <w:rPr>
          <w:szCs w:val="24"/>
        </w:rPr>
      </w:pPr>
      <w:r w:rsidRPr="00077A02">
        <w:rPr>
          <w:szCs w:val="24"/>
        </w:rPr>
        <w:t xml:space="preserve">The initial </w:t>
      </w:r>
      <w:r>
        <w:rPr>
          <w:szCs w:val="24"/>
        </w:rPr>
        <w:t xml:space="preserve">Tier 1 </w:t>
      </w:r>
      <w:r w:rsidRPr="00077A02">
        <w:rPr>
          <w:szCs w:val="24"/>
        </w:rPr>
        <w:t>MVE</w:t>
      </w:r>
      <w:r>
        <w:rPr>
          <w:szCs w:val="24"/>
        </w:rPr>
        <w:t>B</w:t>
      </w:r>
      <w:r w:rsidRPr="00077A02">
        <w:rPr>
          <w:szCs w:val="24"/>
        </w:rPr>
        <w:t xml:space="preserve">s for </w:t>
      </w:r>
      <w:r w:rsidRPr="005060F0">
        <w:rPr>
          <w:szCs w:val="24"/>
        </w:rPr>
        <w:t>PM</w:t>
      </w:r>
      <w:r w:rsidRPr="005060F0">
        <w:rPr>
          <w:szCs w:val="24"/>
          <w:vertAlign w:val="subscript"/>
        </w:rPr>
        <w:t>2.5</w:t>
      </w:r>
      <w:r w:rsidRPr="00077A02">
        <w:rPr>
          <w:szCs w:val="24"/>
        </w:rPr>
        <w:t xml:space="preserve"> and the precursor NO</w:t>
      </w:r>
      <w:r>
        <w:rPr>
          <w:szCs w:val="24"/>
          <w:vertAlign w:val="subscript"/>
        </w:rPr>
        <w:t>X</w:t>
      </w:r>
      <w:r w:rsidRPr="00077A02">
        <w:rPr>
          <w:szCs w:val="24"/>
        </w:rPr>
        <w:t xml:space="preserve"> established for 2017 (interim year) and 2025 (out year) are based on mobile emissions inventory projections for 2017 and 2025. </w:t>
      </w:r>
      <w:r>
        <w:rPr>
          <w:szCs w:val="24"/>
        </w:rPr>
        <w:t xml:space="preserve"> </w:t>
      </w:r>
      <w:r w:rsidRPr="00D352D9">
        <w:rPr>
          <w:szCs w:val="24"/>
        </w:rPr>
        <w:t>One exception is the PM</w:t>
      </w:r>
      <w:r w:rsidR="00473177" w:rsidRPr="00473177">
        <w:rPr>
          <w:szCs w:val="24"/>
          <w:vertAlign w:val="subscript"/>
        </w:rPr>
        <w:t>2.5</w:t>
      </w:r>
      <w:r w:rsidRPr="00D352D9">
        <w:rPr>
          <w:szCs w:val="24"/>
        </w:rPr>
        <w:t xml:space="preserve"> budget for 2025</w:t>
      </w:r>
      <w:r w:rsidR="002A69FD">
        <w:rPr>
          <w:szCs w:val="24"/>
        </w:rPr>
        <w:t xml:space="preserve"> </w:t>
      </w:r>
      <w:r w:rsidR="00CC635B" w:rsidRPr="00CC635B">
        <w:rPr>
          <w:szCs w:val="24"/>
          <w:highlight w:val="yellow"/>
        </w:rPr>
        <w:t>which adds a transportation buffer of 28 tons of PM</w:t>
      </w:r>
      <w:r w:rsidR="00CC635B" w:rsidRPr="00CC635B">
        <w:rPr>
          <w:szCs w:val="24"/>
          <w:highlight w:val="yellow"/>
          <w:vertAlign w:val="subscript"/>
        </w:rPr>
        <w:t>2.5</w:t>
      </w:r>
      <w:r w:rsidR="00CC635B" w:rsidRPr="00CC635B">
        <w:rPr>
          <w:szCs w:val="24"/>
          <w:highlight w:val="yellow"/>
        </w:rPr>
        <w:t xml:space="preserve"> emissions to the budget to accommodate</w:t>
      </w:r>
      <w:r w:rsidR="002A69FD">
        <w:rPr>
          <w:szCs w:val="24"/>
        </w:rPr>
        <w:t xml:space="preserve"> current</w:t>
      </w:r>
      <w:r w:rsidRPr="00D352D9">
        <w:rPr>
          <w:szCs w:val="24"/>
        </w:rPr>
        <w:t xml:space="preserve"> inventory projections for 2040.</w:t>
      </w:r>
      <w:r w:rsidR="002459D5">
        <w:rPr>
          <w:szCs w:val="24"/>
        </w:rPr>
        <w:t xml:space="preserve">  </w:t>
      </w:r>
      <w:r w:rsidR="00CC635B" w:rsidRPr="00CC635B">
        <w:rPr>
          <w:szCs w:val="24"/>
          <w:highlight w:val="yellow"/>
        </w:rPr>
        <w:t>The Tier 1 MVEBs will be in effect once the maintenance plan budgets are determined to be adequate.</w:t>
      </w:r>
    </w:p>
    <w:p w:rsidR="00146684" w:rsidRDefault="00146684" w:rsidP="006A5115">
      <w:pPr>
        <w:rPr>
          <w:szCs w:val="24"/>
        </w:rPr>
      </w:pPr>
    </w:p>
    <w:p w:rsidR="00146684" w:rsidRDefault="00146684" w:rsidP="00982C81">
      <w:pPr>
        <w:rPr>
          <w:szCs w:val="24"/>
        </w:rPr>
      </w:pPr>
      <w:r w:rsidRPr="00CE7836">
        <w:rPr>
          <w:szCs w:val="24"/>
        </w:rPr>
        <w:t xml:space="preserve">The </w:t>
      </w:r>
      <w:r>
        <w:rPr>
          <w:szCs w:val="24"/>
        </w:rPr>
        <w:t xml:space="preserve">Tier 2 </w:t>
      </w:r>
      <w:r w:rsidRPr="00CE7836">
        <w:rPr>
          <w:szCs w:val="24"/>
        </w:rPr>
        <w:t xml:space="preserve">MVEBs </w:t>
      </w:r>
      <w:r>
        <w:rPr>
          <w:szCs w:val="24"/>
        </w:rPr>
        <w:t xml:space="preserve">have been </w:t>
      </w:r>
      <w:r w:rsidRPr="00CE7836">
        <w:rPr>
          <w:szCs w:val="24"/>
        </w:rPr>
        <w:t xml:space="preserve">developed by adding </w:t>
      </w:r>
      <w:r>
        <w:rPr>
          <w:szCs w:val="24"/>
        </w:rPr>
        <w:t xml:space="preserve">a </w:t>
      </w:r>
      <w:r w:rsidRPr="00CE7836">
        <w:rPr>
          <w:szCs w:val="24"/>
        </w:rPr>
        <w:t xml:space="preserve">20% transportation buffer to </w:t>
      </w:r>
      <w:r>
        <w:rPr>
          <w:szCs w:val="24"/>
        </w:rPr>
        <w:t xml:space="preserve">the mobile emissions inventory projections for </w:t>
      </w:r>
      <w:r w:rsidRPr="00CE7836">
        <w:rPr>
          <w:szCs w:val="24"/>
        </w:rPr>
        <w:t>PM</w:t>
      </w:r>
      <w:r w:rsidRPr="006A079D">
        <w:rPr>
          <w:szCs w:val="24"/>
          <w:vertAlign w:val="subscript"/>
        </w:rPr>
        <w:t>2.5</w:t>
      </w:r>
      <w:r w:rsidRPr="00CE7836">
        <w:rPr>
          <w:szCs w:val="24"/>
        </w:rPr>
        <w:t xml:space="preserve"> and NO</w:t>
      </w:r>
      <w:r>
        <w:rPr>
          <w:szCs w:val="24"/>
          <w:vertAlign w:val="subscript"/>
        </w:rPr>
        <w:t>X</w:t>
      </w:r>
      <w:r w:rsidRPr="00CE7836">
        <w:rPr>
          <w:szCs w:val="24"/>
        </w:rPr>
        <w:t xml:space="preserve"> </w:t>
      </w:r>
      <w:r>
        <w:rPr>
          <w:szCs w:val="24"/>
        </w:rPr>
        <w:t>in</w:t>
      </w:r>
      <w:r w:rsidRPr="00CE7836">
        <w:rPr>
          <w:szCs w:val="24"/>
        </w:rPr>
        <w:t xml:space="preserve"> 2017 and 2025</w:t>
      </w:r>
      <w:r>
        <w:rPr>
          <w:szCs w:val="24"/>
        </w:rPr>
        <w:t xml:space="preserve">. </w:t>
      </w:r>
      <w:r w:rsidRPr="00CE7836">
        <w:rPr>
          <w:szCs w:val="24"/>
        </w:rPr>
        <w:t xml:space="preserve"> </w:t>
      </w:r>
      <w:r w:rsidR="00CC635B" w:rsidRPr="00CC635B">
        <w:rPr>
          <w:szCs w:val="24"/>
          <w:highlight w:val="yellow"/>
        </w:rPr>
        <w:t xml:space="preserve">The transportation buffers come from a portion of </w:t>
      </w:r>
      <w:r w:rsidR="00022BB3">
        <w:rPr>
          <w:szCs w:val="24"/>
          <w:highlight w:val="yellow"/>
        </w:rPr>
        <w:t xml:space="preserve">the </w:t>
      </w:r>
      <w:r w:rsidR="00CC635B" w:rsidRPr="00CC635B">
        <w:rPr>
          <w:szCs w:val="24"/>
          <w:highlight w:val="yellow"/>
        </w:rPr>
        <w:t>emission reductions below the Maintenance year cap that are available in the interim year (2017) and the out year (2025) emission inventories.  The buffers will add 357 tons of PM</w:t>
      </w:r>
      <w:r w:rsidR="00CC635B" w:rsidRPr="00CC635B">
        <w:rPr>
          <w:szCs w:val="24"/>
          <w:highlight w:val="yellow"/>
          <w:vertAlign w:val="subscript"/>
        </w:rPr>
        <w:t>2.5</w:t>
      </w:r>
      <w:r w:rsidR="00CC635B" w:rsidRPr="00CC635B">
        <w:rPr>
          <w:szCs w:val="24"/>
          <w:highlight w:val="yellow"/>
        </w:rPr>
        <w:t xml:space="preserve"> and 8,342 tons of NO</w:t>
      </w:r>
      <w:r w:rsidR="00CC635B" w:rsidRPr="00CC635B">
        <w:rPr>
          <w:szCs w:val="24"/>
          <w:highlight w:val="yellow"/>
          <w:vertAlign w:val="subscript"/>
        </w:rPr>
        <w:t>X</w:t>
      </w:r>
      <w:r w:rsidR="00CC635B" w:rsidRPr="00CC635B">
        <w:rPr>
          <w:szCs w:val="24"/>
          <w:highlight w:val="yellow"/>
        </w:rPr>
        <w:t xml:space="preserve"> to the 2017 budgets, and 264 tons of PM</w:t>
      </w:r>
      <w:r w:rsidR="00CC635B" w:rsidRPr="00CC635B">
        <w:rPr>
          <w:szCs w:val="24"/>
          <w:highlight w:val="yellow"/>
          <w:vertAlign w:val="subscript"/>
        </w:rPr>
        <w:t>2.5</w:t>
      </w:r>
      <w:r w:rsidR="00CC635B" w:rsidRPr="00CC635B">
        <w:rPr>
          <w:szCs w:val="24"/>
          <w:highlight w:val="yellow"/>
        </w:rPr>
        <w:t xml:space="preserve"> and 5,480 tons of NO</w:t>
      </w:r>
      <w:r w:rsidR="00CC635B" w:rsidRPr="00CC635B">
        <w:rPr>
          <w:szCs w:val="24"/>
          <w:highlight w:val="yellow"/>
          <w:vertAlign w:val="subscript"/>
        </w:rPr>
        <w:t>X</w:t>
      </w:r>
      <w:r w:rsidR="00CC635B" w:rsidRPr="00CC635B">
        <w:rPr>
          <w:szCs w:val="24"/>
          <w:highlight w:val="yellow"/>
        </w:rPr>
        <w:t xml:space="preserve"> to the 2025 budgets.</w:t>
      </w:r>
      <w:r w:rsidR="000B092A">
        <w:rPr>
          <w:szCs w:val="24"/>
        </w:rPr>
        <w:t xml:space="preserve">  </w:t>
      </w:r>
      <w:r w:rsidRPr="00C108A5">
        <w:rPr>
          <w:szCs w:val="24"/>
        </w:rPr>
        <w:t xml:space="preserve">In the near term, mobile source emissions are rapidly decreasing due to the implementation of the NLEV, and HDDV rules, even as VMT continues to grow.  Once these rules have sufficiently penetrated the fleet, growth in VMT begins to push mobile emissions back on an upward trend. </w:t>
      </w:r>
      <w:r>
        <w:rPr>
          <w:szCs w:val="24"/>
        </w:rPr>
        <w:t xml:space="preserve"> </w:t>
      </w:r>
      <w:r w:rsidRPr="00C108A5">
        <w:rPr>
          <w:szCs w:val="24"/>
        </w:rPr>
        <w:t xml:space="preserve">The transportation buffers </w:t>
      </w:r>
      <w:r>
        <w:rPr>
          <w:szCs w:val="24"/>
        </w:rPr>
        <w:t>are</w:t>
      </w:r>
      <w:r w:rsidRPr="00C108A5">
        <w:rPr>
          <w:szCs w:val="24"/>
        </w:rPr>
        <w:t xml:space="preserve"> provided to accommodate </w:t>
      </w:r>
      <w:r>
        <w:rPr>
          <w:szCs w:val="24"/>
        </w:rPr>
        <w:t xml:space="preserve">technical </w:t>
      </w:r>
      <w:r w:rsidRPr="00C108A5">
        <w:rPr>
          <w:szCs w:val="24"/>
        </w:rPr>
        <w:t xml:space="preserve">uncertainties </w:t>
      </w:r>
      <w:r>
        <w:rPr>
          <w:szCs w:val="24"/>
        </w:rPr>
        <w:t xml:space="preserve">primarily </w:t>
      </w:r>
      <w:r w:rsidRPr="00C108A5">
        <w:rPr>
          <w:szCs w:val="24"/>
        </w:rPr>
        <w:t>due to model changes and to vehicle fleet turnover</w:t>
      </w:r>
      <w:r>
        <w:rPr>
          <w:szCs w:val="24"/>
        </w:rPr>
        <w:t xml:space="preserve"> that may affect future motor vehicle emissions inventories. Tier 2 MVEBs become effective </w:t>
      </w:r>
      <w:r w:rsidR="00CC635B" w:rsidRPr="00CC635B">
        <w:rPr>
          <w:szCs w:val="24"/>
          <w:highlight w:val="yellow"/>
        </w:rPr>
        <w:t>if it is determined that one or more of</w:t>
      </w:r>
      <w:r w:rsidR="002459D5">
        <w:rPr>
          <w:szCs w:val="24"/>
        </w:rPr>
        <w:t xml:space="preserve"> </w:t>
      </w:r>
      <w:r>
        <w:rPr>
          <w:szCs w:val="24"/>
        </w:rPr>
        <w:t>these uncertainties lead to motor vehicle emissions estimates above the Tier 1 MVEBs.</w:t>
      </w:r>
      <w:r w:rsidR="002459D5">
        <w:rPr>
          <w:szCs w:val="24"/>
        </w:rPr>
        <w:t xml:space="preserve">  </w:t>
      </w:r>
      <w:r w:rsidR="00CC635B" w:rsidRPr="00CC635B">
        <w:rPr>
          <w:szCs w:val="24"/>
          <w:highlight w:val="yellow"/>
        </w:rPr>
        <w:t>This determination will be made through the interagency consultation process and will be fully documented in the first conformity analysis that utilizes the Tier 2 budgets.</w:t>
      </w:r>
      <w:r>
        <w:rPr>
          <w:szCs w:val="24"/>
        </w:rPr>
        <w:t xml:space="preserve">  </w:t>
      </w:r>
    </w:p>
    <w:p w:rsidR="00146684" w:rsidRDefault="00146684" w:rsidP="00982C81">
      <w:pPr>
        <w:rPr>
          <w:szCs w:val="24"/>
        </w:rPr>
      </w:pPr>
    </w:p>
    <w:p w:rsidR="00146684" w:rsidRPr="00146684" w:rsidRDefault="00146684" w:rsidP="0013520C">
      <w:pPr>
        <w:pStyle w:val="Caption"/>
        <w:rPr>
          <w:b w:val="0"/>
          <w:i w:val="0"/>
          <w:sz w:val="24"/>
          <w:szCs w:val="24"/>
        </w:rPr>
      </w:pPr>
      <w:bookmarkStart w:id="0" w:name="_Ref308178564"/>
      <w:bookmarkStart w:id="1" w:name="_Ref308178556"/>
      <w:bookmarkStart w:id="2" w:name="_Toc311793372"/>
      <w:r>
        <w:rPr>
          <w:b w:val="0"/>
          <w:i w:val="0"/>
          <w:sz w:val="24"/>
          <w:szCs w:val="24"/>
        </w:rPr>
        <w:t>Table 5-4 provides details of the Tier 1 MVEBs for PM</w:t>
      </w:r>
      <w:r w:rsidRPr="00042373">
        <w:rPr>
          <w:b w:val="0"/>
          <w:i w:val="0"/>
          <w:sz w:val="24"/>
          <w:szCs w:val="24"/>
          <w:vertAlign w:val="subscript"/>
        </w:rPr>
        <w:t>2.5</w:t>
      </w:r>
      <w:r>
        <w:rPr>
          <w:b w:val="0"/>
          <w:i w:val="0"/>
          <w:sz w:val="24"/>
          <w:szCs w:val="24"/>
        </w:rPr>
        <w:t xml:space="preserve"> and </w:t>
      </w:r>
      <w:proofErr w:type="spellStart"/>
      <w:r>
        <w:rPr>
          <w:b w:val="0"/>
          <w:i w:val="0"/>
          <w:sz w:val="24"/>
          <w:szCs w:val="24"/>
        </w:rPr>
        <w:t>NO</w:t>
      </w:r>
      <w:r w:rsidRPr="00142DB8">
        <w:rPr>
          <w:b w:val="0"/>
          <w:i w:val="0"/>
          <w:sz w:val="24"/>
          <w:szCs w:val="24"/>
          <w:vertAlign w:val="subscript"/>
        </w:rPr>
        <w:t>x</w:t>
      </w:r>
      <w:proofErr w:type="spellEnd"/>
      <w:r>
        <w:rPr>
          <w:b w:val="0"/>
          <w:i w:val="0"/>
          <w:sz w:val="24"/>
          <w:szCs w:val="24"/>
        </w:rPr>
        <w:t xml:space="preserve"> for 2007, 2017, and 2025.  Table 5-5 provides details of the Tier 2 MVEBs for PM</w:t>
      </w:r>
      <w:r w:rsidRPr="00042373">
        <w:rPr>
          <w:b w:val="0"/>
          <w:i w:val="0"/>
          <w:sz w:val="24"/>
          <w:szCs w:val="24"/>
          <w:vertAlign w:val="subscript"/>
        </w:rPr>
        <w:t>2.5</w:t>
      </w:r>
      <w:r>
        <w:rPr>
          <w:b w:val="0"/>
          <w:i w:val="0"/>
          <w:sz w:val="24"/>
          <w:szCs w:val="24"/>
        </w:rPr>
        <w:t xml:space="preserve"> and </w:t>
      </w:r>
      <w:proofErr w:type="spellStart"/>
      <w:r>
        <w:rPr>
          <w:b w:val="0"/>
          <w:i w:val="0"/>
          <w:sz w:val="24"/>
          <w:szCs w:val="24"/>
        </w:rPr>
        <w:t>NO</w:t>
      </w:r>
      <w:r w:rsidRPr="00142DB8">
        <w:rPr>
          <w:b w:val="0"/>
          <w:i w:val="0"/>
          <w:sz w:val="24"/>
          <w:szCs w:val="24"/>
          <w:vertAlign w:val="subscript"/>
        </w:rPr>
        <w:t>x</w:t>
      </w:r>
      <w:proofErr w:type="spellEnd"/>
      <w:r>
        <w:rPr>
          <w:b w:val="0"/>
          <w:i w:val="0"/>
          <w:sz w:val="24"/>
          <w:szCs w:val="24"/>
        </w:rPr>
        <w:t xml:space="preserve"> for 2007, 2017, and 2025.  </w:t>
      </w:r>
      <w:r w:rsidR="00473177" w:rsidRPr="00473177">
        <w:rPr>
          <w:b w:val="0"/>
          <w:i w:val="0"/>
          <w:sz w:val="24"/>
          <w:szCs w:val="24"/>
        </w:rPr>
        <w:t xml:space="preserve">The transportation buffers listed in the tables </w:t>
      </w:r>
      <w:r>
        <w:rPr>
          <w:b w:val="0"/>
          <w:i w:val="0"/>
          <w:sz w:val="24"/>
          <w:szCs w:val="24"/>
        </w:rPr>
        <w:t xml:space="preserve">below use </w:t>
      </w:r>
      <w:r w:rsidR="00473177" w:rsidRPr="00473177">
        <w:rPr>
          <w:b w:val="0"/>
          <w:i w:val="0"/>
          <w:sz w:val="24"/>
          <w:szCs w:val="24"/>
        </w:rPr>
        <w:t xml:space="preserve">emission reductions achieved </w:t>
      </w:r>
      <w:r>
        <w:rPr>
          <w:b w:val="0"/>
          <w:i w:val="0"/>
          <w:sz w:val="24"/>
          <w:szCs w:val="24"/>
        </w:rPr>
        <w:t xml:space="preserve">but not needed to maintain compliance with the standard </w:t>
      </w:r>
      <w:r w:rsidR="00473177" w:rsidRPr="00473177">
        <w:rPr>
          <w:b w:val="0"/>
          <w:i w:val="0"/>
          <w:sz w:val="24"/>
          <w:szCs w:val="24"/>
        </w:rPr>
        <w:t>after the attainment year.</w:t>
      </w:r>
    </w:p>
    <w:bookmarkEnd w:id="0"/>
    <w:bookmarkEnd w:id="1"/>
    <w:bookmarkEnd w:id="2"/>
    <w:p w:rsidR="00146684" w:rsidRPr="00146684" w:rsidRDefault="00146684" w:rsidP="00604939">
      <w:pPr>
        <w:ind w:firstLine="720"/>
        <w:rPr>
          <w:color w:val="4F81BD"/>
          <w:sz w:val="20"/>
          <w:szCs w:val="20"/>
        </w:rPr>
      </w:pPr>
    </w:p>
    <w:p w:rsidR="00146684" w:rsidRPr="005060F0" w:rsidRDefault="00146684" w:rsidP="00604939">
      <w:pPr>
        <w:pStyle w:val="Caption"/>
        <w:jc w:val="center"/>
        <w:rPr>
          <w:sz w:val="20"/>
          <w:szCs w:val="20"/>
        </w:rPr>
      </w:pPr>
      <w:r>
        <w:rPr>
          <w:sz w:val="20"/>
          <w:szCs w:val="20"/>
        </w:rPr>
        <w:t>Table 5</w:t>
      </w:r>
      <w:r>
        <w:rPr>
          <w:sz w:val="20"/>
          <w:szCs w:val="20"/>
        </w:rPr>
        <w:noBreakHyphen/>
        <w:t xml:space="preserve">4:  Washington DC-MD-VA Maintenance Plan Tier 1 On-Road </w:t>
      </w:r>
      <w:smartTag w:uri="urn:schemas-microsoft-com:office:smarttags" w:element="place">
        <w:r>
          <w:rPr>
            <w:sz w:val="20"/>
            <w:szCs w:val="20"/>
          </w:rPr>
          <w:t>Mobile</w:t>
        </w:r>
      </w:smartTag>
      <w:r>
        <w:rPr>
          <w:sz w:val="20"/>
          <w:szCs w:val="20"/>
        </w:rPr>
        <w:t xml:space="preserve"> Source Emissions Budgets</w:t>
      </w: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24"/>
        <w:gridCol w:w="2550"/>
        <w:gridCol w:w="2430"/>
      </w:tblGrid>
      <w:tr w:rsidR="00146684" w:rsidRPr="00490B44" w:rsidTr="00681214">
        <w:trPr>
          <w:trHeight w:val="360"/>
          <w:jc w:val="center"/>
        </w:trPr>
        <w:tc>
          <w:tcPr>
            <w:tcW w:w="2724" w:type="dxa"/>
            <w:tcBorders>
              <w:top w:val="single" w:sz="18" w:space="0" w:color="auto"/>
              <w:left w:val="single" w:sz="18" w:space="0" w:color="auto"/>
              <w:bottom w:val="single" w:sz="18" w:space="0" w:color="auto"/>
            </w:tcBorders>
            <w:shd w:val="clear" w:color="auto" w:fill="BFBFBF"/>
            <w:vAlign w:val="center"/>
          </w:tcPr>
          <w:p w:rsidR="00146684" w:rsidRPr="00604939" w:rsidRDefault="00146684" w:rsidP="00681214">
            <w:pPr>
              <w:jc w:val="center"/>
              <w:rPr>
                <w:b/>
              </w:rPr>
            </w:pPr>
            <w:r w:rsidRPr="00604939">
              <w:rPr>
                <w:b/>
                <w:sz w:val="22"/>
              </w:rPr>
              <w:t>Year</w:t>
            </w:r>
          </w:p>
        </w:tc>
        <w:tc>
          <w:tcPr>
            <w:tcW w:w="2550" w:type="dxa"/>
            <w:tcBorders>
              <w:top w:val="single" w:sz="18" w:space="0" w:color="auto"/>
              <w:bottom w:val="single" w:sz="18" w:space="0" w:color="auto"/>
            </w:tcBorders>
            <w:shd w:val="clear" w:color="auto" w:fill="BFBFBF"/>
            <w:vAlign w:val="center"/>
          </w:tcPr>
          <w:p w:rsidR="00146684" w:rsidRPr="00604939" w:rsidRDefault="00146684" w:rsidP="00681214">
            <w:pPr>
              <w:jc w:val="center"/>
              <w:rPr>
                <w:b/>
              </w:rPr>
            </w:pPr>
            <w:r w:rsidRPr="00604939">
              <w:rPr>
                <w:b/>
                <w:sz w:val="22"/>
              </w:rPr>
              <w:t>NO</w:t>
            </w:r>
            <w:r w:rsidRPr="00604939">
              <w:rPr>
                <w:b/>
                <w:sz w:val="22"/>
                <w:vertAlign w:val="subscript"/>
              </w:rPr>
              <w:t>X</w:t>
            </w:r>
            <w:r w:rsidRPr="00604939">
              <w:rPr>
                <w:b/>
                <w:sz w:val="22"/>
              </w:rPr>
              <w:t xml:space="preserve"> On-Road </w:t>
            </w:r>
          </w:p>
          <w:p w:rsidR="00146684" w:rsidRPr="00604939" w:rsidRDefault="00146684" w:rsidP="00681214">
            <w:pPr>
              <w:jc w:val="center"/>
              <w:rPr>
                <w:b/>
              </w:rPr>
            </w:pPr>
            <w:r w:rsidRPr="00604939">
              <w:rPr>
                <w:b/>
                <w:sz w:val="22"/>
              </w:rPr>
              <w:t>Emissions (</w:t>
            </w:r>
            <w:proofErr w:type="spellStart"/>
            <w:r w:rsidRPr="00604939">
              <w:rPr>
                <w:b/>
                <w:sz w:val="22"/>
              </w:rPr>
              <w:t>tpy</w:t>
            </w:r>
            <w:proofErr w:type="spellEnd"/>
            <w:r w:rsidRPr="00604939">
              <w:rPr>
                <w:b/>
                <w:sz w:val="22"/>
              </w:rPr>
              <w:t>)</w:t>
            </w:r>
          </w:p>
        </w:tc>
        <w:tc>
          <w:tcPr>
            <w:tcW w:w="2430" w:type="dxa"/>
            <w:tcBorders>
              <w:top w:val="single" w:sz="18" w:space="0" w:color="auto"/>
              <w:bottom w:val="single" w:sz="18" w:space="0" w:color="auto"/>
              <w:right w:val="single" w:sz="18" w:space="0" w:color="auto"/>
            </w:tcBorders>
            <w:shd w:val="clear" w:color="auto" w:fill="BFBFBF"/>
            <w:vAlign w:val="center"/>
          </w:tcPr>
          <w:p w:rsidR="00146684" w:rsidRPr="00604939" w:rsidRDefault="00146684" w:rsidP="00681214">
            <w:pPr>
              <w:jc w:val="center"/>
              <w:rPr>
                <w:b/>
              </w:rPr>
            </w:pPr>
            <w:r w:rsidRPr="00604939">
              <w:rPr>
                <w:b/>
                <w:sz w:val="22"/>
              </w:rPr>
              <w:t>PM</w:t>
            </w:r>
            <w:r w:rsidRPr="00604939">
              <w:rPr>
                <w:b/>
                <w:sz w:val="22"/>
                <w:vertAlign w:val="subscript"/>
              </w:rPr>
              <w:t>2.5</w:t>
            </w:r>
            <w:r w:rsidRPr="00604939">
              <w:rPr>
                <w:b/>
                <w:sz w:val="22"/>
              </w:rPr>
              <w:t xml:space="preserve"> On-Road Emissions (</w:t>
            </w:r>
            <w:proofErr w:type="spellStart"/>
            <w:r w:rsidRPr="00604939">
              <w:rPr>
                <w:b/>
                <w:sz w:val="22"/>
              </w:rPr>
              <w:t>tpy</w:t>
            </w:r>
            <w:proofErr w:type="spellEnd"/>
            <w:r w:rsidRPr="00604939">
              <w:rPr>
                <w:b/>
                <w:sz w:val="22"/>
              </w:rPr>
              <w:t>)</w:t>
            </w:r>
          </w:p>
        </w:tc>
      </w:tr>
      <w:tr w:rsidR="00146684" w:rsidRPr="00490B44" w:rsidTr="00681214">
        <w:trPr>
          <w:trHeight w:val="360"/>
          <w:jc w:val="center"/>
        </w:trPr>
        <w:tc>
          <w:tcPr>
            <w:tcW w:w="2724" w:type="dxa"/>
            <w:tcBorders>
              <w:top w:val="single" w:sz="18" w:space="0" w:color="auto"/>
              <w:left w:val="single" w:sz="18" w:space="0" w:color="auto"/>
              <w:bottom w:val="single" w:sz="18" w:space="0" w:color="auto"/>
            </w:tcBorders>
            <w:shd w:val="clear" w:color="auto" w:fill="F2F2F2"/>
            <w:vAlign w:val="center"/>
          </w:tcPr>
          <w:p w:rsidR="00146684" w:rsidRPr="00604939" w:rsidRDefault="00146684" w:rsidP="00681214">
            <w:pPr>
              <w:jc w:val="center"/>
              <w:rPr>
                <w:b/>
              </w:rPr>
            </w:pPr>
            <w:r w:rsidRPr="00604939">
              <w:rPr>
                <w:b/>
                <w:sz w:val="22"/>
              </w:rPr>
              <w:t>2007 Attainment Year</w:t>
            </w:r>
          </w:p>
        </w:tc>
        <w:tc>
          <w:tcPr>
            <w:tcW w:w="2550" w:type="dxa"/>
            <w:tcBorders>
              <w:top w:val="single" w:sz="18" w:space="0" w:color="auto"/>
              <w:bottom w:val="single" w:sz="18" w:space="0" w:color="auto"/>
            </w:tcBorders>
            <w:shd w:val="clear" w:color="auto" w:fill="F2F2F2"/>
            <w:vAlign w:val="center"/>
          </w:tcPr>
          <w:p w:rsidR="00146684" w:rsidRPr="00604939" w:rsidRDefault="00146684" w:rsidP="00681214">
            <w:pPr>
              <w:jc w:val="center"/>
            </w:pPr>
            <w:r w:rsidRPr="00604939">
              <w:rPr>
                <w:sz w:val="22"/>
              </w:rPr>
              <w:t>91,639</w:t>
            </w:r>
          </w:p>
        </w:tc>
        <w:tc>
          <w:tcPr>
            <w:tcW w:w="2430" w:type="dxa"/>
            <w:tcBorders>
              <w:top w:val="single" w:sz="18" w:space="0" w:color="auto"/>
              <w:bottom w:val="single" w:sz="18" w:space="0" w:color="auto"/>
              <w:right w:val="single" w:sz="18" w:space="0" w:color="auto"/>
            </w:tcBorders>
            <w:shd w:val="clear" w:color="auto" w:fill="F2F2F2"/>
            <w:vAlign w:val="center"/>
          </w:tcPr>
          <w:p w:rsidR="00146684" w:rsidRPr="00604939" w:rsidRDefault="00146684" w:rsidP="00681214">
            <w:pPr>
              <w:jc w:val="center"/>
            </w:pPr>
            <w:r w:rsidRPr="00604939">
              <w:rPr>
                <w:sz w:val="22"/>
              </w:rPr>
              <w:t>3,452</w:t>
            </w:r>
          </w:p>
        </w:tc>
      </w:tr>
      <w:tr w:rsidR="00146684" w:rsidRPr="00490B44" w:rsidTr="00681214">
        <w:trPr>
          <w:trHeight w:val="360"/>
          <w:jc w:val="center"/>
        </w:trPr>
        <w:tc>
          <w:tcPr>
            <w:tcW w:w="2724" w:type="dxa"/>
            <w:tcBorders>
              <w:top w:val="single" w:sz="18" w:space="0" w:color="auto"/>
              <w:left w:val="single" w:sz="18" w:space="0" w:color="auto"/>
              <w:bottom w:val="single" w:sz="18" w:space="0" w:color="auto"/>
            </w:tcBorders>
            <w:shd w:val="clear" w:color="auto" w:fill="F2F2F2"/>
            <w:vAlign w:val="center"/>
          </w:tcPr>
          <w:p w:rsidR="00146684" w:rsidRPr="00604939" w:rsidRDefault="00146684" w:rsidP="00681214">
            <w:pPr>
              <w:jc w:val="center"/>
              <w:rPr>
                <w:b/>
              </w:rPr>
            </w:pPr>
            <w:r w:rsidRPr="00604939">
              <w:rPr>
                <w:b/>
                <w:sz w:val="22"/>
              </w:rPr>
              <w:t>2017 Interim Budget</w:t>
            </w:r>
          </w:p>
        </w:tc>
        <w:tc>
          <w:tcPr>
            <w:tcW w:w="2550" w:type="dxa"/>
            <w:tcBorders>
              <w:top w:val="single" w:sz="18" w:space="0" w:color="auto"/>
              <w:bottom w:val="single" w:sz="18" w:space="0" w:color="auto"/>
            </w:tcBorders>
            <w:shd w:val="clear" w:color="auto" w:fill="F2F2F2"/>
            <w:vAlign w:val="center"/>
          </w:tcPr>
          <w:p w:rsidR="00146684" w:rsidRPr="00604939" w:rsidRDefault="00146684" w:rsidP="00681214">
            <w:pPr>
              <w:jc w:val="center"/>
            </w:pPr>
            <w:r w:rsidRPr="00604939">
              <w:rPr>
                <w:sz w:val="22"/>
              </w:rPr>
              <w:t>41,709</w:t>
            </w:r>
          </w:p>
        </w:tc>
        <w:tc>
          <w:tcPr>
            <w:tcW w:w="2430" w:type="dxa"/>
            <w:tcBorders>
              <w:top w:val="single" w:sz="18" w:space="0" w:color="auto"/>
              <w:bottom w:val="single" w:sz="18" w:space="0" w:color="auto"/>
              <w:right w:val="single" w:sz="18" w:space="0" w:color="auto"/>
            </w:tcBorders>
            <w:shd w:val="clear" w:color="auto" w:fill="F2F2F2"/>
            <w:vAlign w:val="center"/>
          </w:tcPr>
          <w:p w:rsidR="00146684" w:rsidRPr="00604939" w:rsidRDefault="00146684" w:rsidP="00681214">
            <w:pPr>
              <w:jc w:val="center"/>
            </w:pPr>
            <w:r w:rsidRPr="00604939">
              <w:rPr>
                <w:sz w:val="22"/>
              </w:rPr>
              <w:t>1,787</w:t>
            </w:r>
          </w:p>
        </w:tc>
      </w:tr>
      <w:tr w:rsidR="00146684" w:rsidRPr="00490B44" w:rsidTr="00681214">
        <w:trPr>
          <w:trHeight w:val="360"/>
          <w:jc w:val="center"/>
        </w:trPr>
        <w:tc>
          <w:tcPr>
            <w:tcW w:w="2724" w:type="dxa"/>
            <w:tcBorders>
              <w:top w:val="single" w:sz="18" w:space="0" w:color="auto"/>
              <w:left w:val="single" w:sz="18" w:space="0" w:color="auto"/>
            </w:tcBorders>
            <w:vAlign w:val="center"/>
          </w:tcPr>
          <w:p w:rsidR="00146684" w:rsidRPr="00604939" w:rsidRDefault="00146684" w:rsidP="00681214">
            <w:pPr>
              <w:jc w:val="center"/>
            </w:pPr>
            <w:r w:rsidRPr="00604939">
              <w:rPr>
                <w:sz w:val="22"/>
              </w:rPr>
              <w:t>2025 Predicted Emissions</w:t>
            </w:r>
          </w:p>
        </w:tc>
        <w:tc>
          <w:tcPr>
            <w:tcW w:w="2550" w:type="dxa"/>
            <w:tcBorders>
              <w:top w:val="single" w:sz="18" w:space="0" w:color="auto"/>
            </w:tcBorders>
            <w:vAlign w:val="center"/>
          </w:tcPr>
          <w:p w:rsidR="00146684" w:rsidRPr="00604939" w:rsidRDefault="00146684" w:rsidP="00681214">
            <w:pPr>
              <w:jc w:val="center"/>
            </w:pPr>
            <w:r w:rsidRPr="00604939">
              <w:rPr>
                <w:sz w:val="22"/>
              </w:rPr>
              <w:t>27,400</w:t>
            </w:r>
          </w:p>
        </w:tc>
        <w:tc>
          <w:tcPr>
            <w:tcW w:w="2430" w:type="dxa"/>
            <w:tcBorders>
              <w:top w:val="single" w:sz="18" w:space="0" w:color="auto"/>
              <w:right w:val="single" w:sz="18" w:space="0" w:color="auto"/>
            </w:tcBorders>
            <w:vAlign w:val="center"/>
          </w:tcPr>
          <w:p w:rsidR="00146684" w:rsidRPr="00604939" w:rsidRDefault="00146684" w:rsidP="00681214">
            <w:pPr>
              <w:jc w:val="center"/>
            </w:pPr>
            <w:r w:rsidRPr="00604939">
              <w:rPr>
                <w:sz w:val="22"/>
              </w:rPr>
              <w:t>1,322</w:t>
            </w:r>
          </w:p>
        </w:tc>
      </w:tr>
      <w:tr w:rsidR="00146684" w:rsidRPr="00490B44" w:rsidTr="00681214">
        <w:trPr>
          <w:trHeight w:val="360"/>
          <w:jc w:val="center"/>
        </w:trPr>
        <w:tc>
          <w:tcPr>
            <w:tcW w:w="2724" w:type="dxa"/>
            <w:tcBorders>
              <w:left w:val="single" w:sz="18" w:space="0" w:color="auto"/>
              <w:bottom w:val="single" w:sz="18" w:space="0" w:color="auto"/>
            </w:tcBorders>
            <w:vAlign w:val="center"/>
          </w:tcPr>
          <w:p w:rsidR="00146684" w:rsidRPr="00604939" w:rsidRDefault="00146684" w:rsidP="0055392F">
            <w:pPr>
              <w:jc w:val="center"/>
            </w:pPr>
            <w:r>
              <w:rPr>
                <w:sz w:val="22"/>
              </w:rPr>
              <w:lastRenderedPageBreak/>
              <w:t>Transportation Buffer</w:t>
            </w:r>
          </w:p>
        </w:tc>
        <w:tc>
          <w:tcPr>
            <w:tcW w:w="2550" w:type="dxa"/>
            <w:tcBorders>
              <w:bottom w:val="single" w:sz="18" w:space="0" w:color="auto"/>
            </w:tcBorders>
            <w:vAlign w:val="center"/>
          </w:tcPr>
          <w:p w:rsidR="00146684" w:rsidRPr="00604939" w:rsidRDefault="00146684" w:rsidP="00681214">
            <w:pPr>
              <w:jc w:val="center"/>
            </w:pPr>
            <w:r w:rsidRPr="00604939">
              <w:rPr>
                <w:sz w:val="22"/>
              </w:rPr>
              <w:t>---</w:t>
            </w:r>
          </w:p>
        </w:tc>
        <w:tc>
          <w:tcPr>
            <w:tcW w:w="2430" w:type="dxa"/>
            <w:tcBorders>
              <w:bottom w:val="single" w:sz="18" w:space="0" w:color="auto"/>
              <w:right w:val="single" w:sz="18" w:space="0" w:color="auto"/>
            </w:tcBorders>
            <w:vAlign w:val="center"/>
          </w:tcPr>
          <w:p w:rsidR="00146684" w:rsidRPr="00604939" w:rsidRDefault="00146684" w:rsidP="00681214">
            <w:pPr>
              <w:jc w:val="center"/>
            </w:pPr>
            <w:r w:rsidRPr="00604939">
              <w:rPr>
                <w:sz w:val="22"/>
              </w:rPr>
              <w:t>28</w:t>
            </w:r>
          </w:p>
        </w:tc>
      </w:tr>
      <w:tr w:rsidR="00146684" w:rsidRPr="00490B44" w:rsidTr="00681214">
        <w:trPr>
          <w:trHeight w:val="342"/>
          <w:jc w:val="center"/>
        </w:trPr>
        <w:tc>
          <w:tcPr>
            <w:tcW w:w="2724" w:type="dxa"/>
            <w:tcBorders>
              <w:top w:val="single" w:sz="18" w:space="0" w:color="auto"/>
              <w:left w:val="single" w:sz="18" w:space="0" w:color="auto"/>
              <w:bottom w:val="single" w:sz="18" w:space="0" w:color="auto"/>
            </w:tcBorders>
            <w:shd w:val="clear" w:color="auto" w:fill="F2F2F2"/>
            <w:vAlign w:val="center"/>
          </w:tcPr>
          <w:p w:rsidR="00146684" w:rsidRPr="00604939" w:rsidRDefault="00146684" w:rsidP="00681214">
            <w:pPr>
              <w:jc w:val="center"/>
              <w:rPr>
                <w:b/>
              </w:rPr>
            </w:pPr>
            <w:r w:rsidRPr="00604939">
              <w:rPr>
                <w:b/>
                <w:sz w:val="22"/>
              </w:rPr>
              <w:t>2025 Final Budget</w:t>
            </w:r>
          </w:p>
        </w:tc>
        <w:tc>
          <w:tcPr>
            <w:tcW w:w="2550" w:type="dxa"/>
            <w:tcBorders>
              <w:top w:val="single" w:sz="18" w:space="0" w:color="auto"/>
              <w:bottom w:val="single" w:sz="18" w:space="0" w:color="auto"/>
            </w:tcBorders>
            <w:shd w:val="clear" w:color="auto" w:fill="F2F2F2"/>
            <w:vAlign w:val="center"/>
          </w:tcPr>
          <w:p w:rsidR="00146684" w:rsidRPr="00604939" w:rsidRDefault="00146684" w:rsidP="00681214">
            <w:pPr>
              <w:jc w:val="center"/>
            </w:pPr>
            <w:r w:rsidRPr="00604939">
              <w:rPr>
                <w:sz w:val="22"/>
              </w:rPr>
              <w:t>27,400</w:t>
            </w:r>
          </w:p>
        </w:tc>
        <w:tc>
          <w:tcPr>
            <w:tcW w:w="2430" w:type="dxa"/>
            <w:tcBorders>
              <w:top w:val="single" w:sz="18" w:space="0" w:color="auto"/>
              <w:bottom w:val="single" w:sz="18" w:space="0" w:color="auto"/>
              <w:right w:val="single" w:sz="18" w:space="0" w:color="auto"/>
            </w:tcBorders>
            <w:shd w:val="clear" w:color="auto" w:fill="F2F2F2"/>
            <w:vAlign w:val="center"/>
          </w:tcPr>
          <w:p w:rsidR="00146684" w:rsidRPr="00604939" w:rsidRDefault="00146684" w:rsidP="00681214">
            <w:pPr>
              <w:jc w:val="center"/>
            </w:pPr>
            <w:r w:rsidRPr="00604939">
              <w:rPr>
                <w:sz w:val="22"/>
              </w:rPr>
              <w:t>1,350</w:t>
            </w:r>
          </w:p>
        </w:tc>
      </w:tr>
    </w:tbl>
    <w:p w:rsidR="00146684" w:rsidRPr="00146684" w:rsidRDefault="00146684" w:rsidP="00604939">
      <w:pPr>
        <w:ind w:firstLine="720"/>
        <w:rPr>
          <w:color w:val="4F81BD"/>
          <w:sz w:val="20"/>
          <w:szCs w:val="20"/>
        </w:rPr>
      </w:pPr>
    </w:p>
    <w:p w:rsidR="00146684" w:rsidRPr="005060F0" w:rsidRDefault="00146684" w:rsidP="00604939">
      <w:pPr>
        <w:pStyle w:val="Caption"/>
        <w:jc w:val="center"/>
        <w:rPr>
          <w:sz w:val="20"/>
          <w:szCs w:val="20"/>
        </w:rPr>
      </w:pPr>
      <w:r>
        <w:rPr>
          <w:sz w:val="20"/>
          <w:szCs w:val="20"/>
        </w:rPr>
        <w:t>Table 5</w:t>
      </w:r>
      <w:r>
        <w:rPr>
          <w:sz w:val="20"/>
          <w:szCs w:val="20"/>
        </w:rPr>
        <w:noBreakHyphen/>
        <w:t xml:space="preserve">5:  Washington DC-MD-VA Maintenance Plan Tier 2 On-Road </w:t>
      </w:r>
      <w:smartTag w:uri="urn:schemas-microsoft-com:office:smarttags" w:element="place">
        <w:r>
          <w:rPr>
            <w:sz w:val="20"/>
            <w:szCs w:val="20"/>
          </w:rPr>
          <w:t>Mobile</w:t>
        </w:r>
      </w:smartTag>
      <w:r>
        <w:rPr>
          <w:sz w:val="20"/>
          <w:szCs w:val="20"/>
        </w:rPr>
        <w:t xml:space="preserve"> Source Emissions Budgets</w:t>
      </w: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24"/>
        <w:gridCol w:w="2550"/>
        <w:gridCol w:w="2430"/>
      </w:tblGrid>
      <w:tr w:rsidR="00146684" w:rsidRPr="00490B44" w:rsidTr="00681214">
        <w:trPr>
          <w:trHeight w:val="360"/>
          <w:jc w:val="center"/>
        </w:trPr>
        <w:tc>
          <w:tcPr>
            <w:tcW w:w="2724" w:type="dxa"/>
            <w:tcBorders>
              <w:top w:val="single" w:sz="18" w:space="0" w:color="auto"/>
              <w:left w:val="single" w:sz="18" w:space="0" w:color="auto"/>
              <w:bottom w:val="single" w:sz="18" w:space="0" w:color="auto"/>
            </w:tcBorders>
            <w:shd w:val="clear" w:color="auto" w:fill="BFBFBF"/>
            <w:vAlign w:val="center"/>
          </w:tcPr>
          <w:p w:rsidR="00146684" w:rsidRPr="006578C6" w:rsidRDefault="00146684" w:rsidP="00681214">
            <w:pPr>
              <w:jc w:val="center"/>
              <w:rPr>
                <w:b/>
              </w:rPr>
            </w:pPr>
            <w:r w:rsidRPr="006578C6">
              <w:rPr>
                <w:b/>
                <w:sz w:val="22"/>
              </w:rPr>
              <w:t>Year</w:t>
            </w:r>
          </w:p>
        </w:tc>
        <w:tc>
          <w:tcPr>
            <w:tcW w:w="2550" w:type="dxa"/>
            <w:tcBorders>
              <w:top w:val="single" w:sz="18" w:space="0" w:color="auto"/>
              <w:bottom w:val="single" w:sz="18" w:space="0" w:color="auto"/>
            </w:tcBorders>
            <w:shd w:val="clear" w:color="auto" w:fill="BFBFBF"/>
            <w:vAlign w:val="center"/>
          </w:tcPr>
          <w:p w:rsidR="00146684" w:rsidRPr="006578C6" w:rsidRDefault="00146684" w:rsidP="00681214">
            <w:pPr>
              <w:jc w:val="center"/>
              <w:rPr>
                <w:b/>
              </w:rPr>
            </w:pPr>
            <w:r w:rsidRPr="006578C6">
              <w:rPr>
                <w:b/>
                <w:sz w:val="22"/>
              </w:rPr>
              <w:t>NO</w:t>
            </w:r>
            <w:r w:rsidRPr="006578C6">
              <w:rPr>
                <w:b/>
                <w:sz w:val="22"/>
                <w:vertAlign w:val="subscript"/>
              </w:rPr>
              <w:t>X</w:t>
            </w:r>
            <w:r w:rsidRPr="006578C6">
              <w:rPr>
                <w:b/>
                <w:sz w:val="22"/>
              </w:rPr>
              <w:t xml:space="preserve"> On-Road </w:t>
            </w:r>
          </w:p>
          <w:p w:rsidR="00146684" w:rsidRPr="006578C6" w:rsidRDefault="00146684" w:rsidP="00681214">
            <w:pPr>
              <w:jc w:val="center"/>
              <w:rPr>
                <w:b/>
              </w:rPr>
            </w:pPr>
            <w:r w:rsidRPr="006578C6">
              <w:rPr>
                <w:b/>
                <w:sz w:val="22"/>
              </w:rPr>
              <w:t>Emissions (</w:t>
            </w:r>
            <w:proofErr w:type="spellStart"/>
            <w:r w:rsidRPr="006578C6">
              <w:rPr>
                <w:b/>
                <w:sz w:val="22"/>
              </w:rPr>
              <w:t>tpy</w:t>
            </w:r>
            <w:proofErr w:type="spellEnd"/>
            <w:r w:rsidRPr="006578C6">
              <w:rPr>
                <w:b/>
                <w:sz w:val="22"/>
              </w:rPr>
              <w:t>)</w:t>
            </w:r>
          </w:p>
        </w:tc>
        <w:tc>
          <w:tcPr>
            <w:tcW w:w="2430" w:type="dxa"/>
            <w:tcBorders>
              <w:top w:val="single" w:sz="18" w:space="0" w:color="auto"/>
              <w:bottom w:val="single" w:sz="18" w:space="0" w:color="auto"/>
              <w:right w:val="single" w:sz="18" w:space="0" w:color="auto"/>
            </w:tcBorders>
            <w:shd w:val="clear" w:color="auto" w:fill="BFBFBF"/>
            <w:vAlign w:val="center"/>
          </w:tcPr>
          <w:p w:rsidR="00146684" w:rsidRPr="006578C6" w:rsidRDefault="00146684" w:rsidP="00681214">
            <w:pPr>
              <w:jc w:val="center"/>
              <w:rPr>
                <w:b/>
              </w:rPr>
            </w:pPr>
            <w:r w:rsidRPr="006578C6">
              <w:rPr>
                <w:b/>
                <w:sz w:val="22"/>
              </w:rPr>
              <w:t>PM</w:t>
            </w:r>
            <w:r w:rsidRPr="006578C6">
              <w:rPr>
                <w:b/>
                <w:sz w:val="22"/>
                <w:vertAlign w:val="subscript"/>
              </w:rPr>
              <w:t>2.5</w:t>
            </w:r>
            <w:r w:rsidRPr="006578C6">
              <w:rPr>
                <w:b/>
                <w:sz w:val="22"/>
              </w:rPr>
              <w:t xml:space="preserve"> On-Road Emissions (</w:t>
            </w:r>
            <w:proofErr w:type="spellStart"/>
            <w:r w:rsidRPr="006578C6">
              <w:rPr>
                <w:b/>
                <w:sz w:val="22"/>
              </w:rPr>
              <w:t>tpy</w:t>
            </w:r>
            <w:proofErr w:type="spellEnd"/>
            <w:r w:rsidRPr="006578C6">
              <w:rPr>
                <w:b/>
                <w:sz w:val="22"/>
              </w:rPr>
              <w:t>)</w:t>
            </w:r>
          </w:p>
        </w:tc>
      </w:tr>
      <w:tr w:rsidR="00146684" w:rsidRPr="00490B44" w:rsidTr="00681214">
        <w:trPr>
          <w:trHeight w:val="360"/>
          <w:jc w:val="center"/>
        </w:trPr>
        <w:tc>
          <w:tcPr>
            <w:tcW w:w="2724" w:type="dxa"/>
            <w:tcBorders>
              <w:top w:val="single" w:sz="18" w:space="0" w:color="auto"/>
              <w:left w:val="single" w:sz="18" w:space="0" w:color="auto"/>
              <w:bottom w:val="single" w:sz="18" w:space="0" w:color="auto"/>
            </w:tcBorders>
            <w:shd w:val="clear" w:color="auto" w:fill="D9D9D9"/>
            <w:vAlign w:val="center"/>
          </w:tcPr>
          <w:p w:rsidR="00146684" w:rsidRPr="006578C6" w:rsidRDefault="00146684" w:rsidP="00681214">
            <w:pPr>
              <w:jc w:val="center"/>
              <w:rPr>
                <w:b/>
              </w:rPr>
            </w:pPr>
            <w:r w:rsidRPr="006578C6">
              <w:rPr>
                <w:b/>
                <w:sz w:val="22"/>
              </w:rPr>
              <w:t>2007 Attainment Year</w:t>
            </w:r>
          </w:p>
        </w:tc>
        <w:tc>
          <w:tcPr>
            <w:tcW w:w="2550" w:type="dxa"/>
            <w:tcBorders>
              <w:top w:val="single" w:sz="18" w:space="0" w:color="auto"/>
              <w:bottom w:val="single" w:sz="18" w:space="0" w:color="auto"/>
            </w:tcBorders>
            <w:shd w:val="clear" w:color="auto" w:fill="D9D9D9"/>
            <w:vAlign w:val="center"/>
          </w:tcPr>
          <w:p w:rsidR="00146684" w:rsidRPr="006578C6" w:rsidRDefault="00146684" w:rsidP="00681214">
            <w:pPr>
              <w:jc w:val="center"/>
              <w:rPr>
                <w:sz w:val="20"/>
                <w:szCs w:val="20"/>
              </w:rPr>
            </w:pPr>
            <w:r w:rsidRPr="006578C6">
              <w:rPr>
                <w:sz w:val="20"/>
                <w:szCs w:val="20"/>
              </w:rPr>
              <w:t>91,639</w:t>
            </w:r>
          </w:p>
        </w:tc>
        <w:tc>
          <w:tcPr>
            <w:tcW w:w="2430" w:type="dxa"/>
            <w:tcBorders>
              <w:top w:val="single" w:sz="18" w:space="0" w:color="auto"/>
              <w:bottom w:val="single" w:sz="18" w:space="0" w:color="auto"/>
              <w:right w:val="single" w:sz="18" w:space="0" w:color="auto"/>
            </w:tcBorders>
            <w:shd w:val="clear" w:color="auto" w:fill="D9D9D9"/>
            <w:vAlign w:val="center"/>
          </w:tcPr>
          <w:p w:rsidR="00146684" w:rsidRPr="006578C6" w:rsidRDefault="00146684" w:rsidP="00681214">
            <w:pPr>
              <w:jc w:val="center"/>
              <w:rPr>
                <w:sz w:val="20"/>
                <w:szCs w:val="20"/>
              </w:rPr>
            </w:pPr>
            <w:r w:rsidRPr="006578C6">
              <w:rPr>
                <w:sz w:val="20"/>
                <w:szCs w:val="20"/>
              </w:rPr>
              <w:t>3,452</w:t>
            </w:r>
          </w:p>
        </w:tc>
      </w:tr>
      <w:tr w:rsidR="00146684" w:rsidRPr="00490B44" w:rsidTr="00681214">
        <w:trPr>
          <w:trHeight w:val="360"/>
          <w:jc w:val="center"/>
        </w:trPr>
        <w:tc>
          <w:tcPr>
            <w:tcW w:w="2724" w:type="dxa"/>
            <w:tcBorders>
              <w:top w:val="single" w:sz="18" w:space="0" w:color="auto"/>
              <w:left w:val="single" w:sz="18" w:space="0" w:color="auto"/>
            </w:tcBorders>
            <w:vAlign w:val="center"/>
          </w:tcPr>
          <w:p w:rsidR="00146684" w:rsidRPr="006578C6" w:rsidRDefault="00146684" w:rsidP="00681214">
            <w:pPr>
              <w:jc w:val="center"/>
            </w:pPr>
            <w:r w:rsidRPr="006578C6">
              <w:rPr>
                <w:sz w:val="22"/>
              </w:rPr>
              <w:t>2017 Predicted Emissions</w:t>
            </w:r>
          </w:p>
        </w:tc>
        <w:tc>
          <w:tcPr>
            <w:tcW w:w="2550" w:type="dxa"/>
            <w:tcBorders>
              <w:top w:val="single" w:sz="18" w:space="0" w:color="auto"/>
            </w:tcBorders>
            <w:vAlign w:val="center"/>
          </w:tcPr>
          <w:p w:rsidR="00146684" w:rsidRPr="006578C6" w:rsidRDefault="00146684" w:rsidP="00681214">
            <w:pPr>
              <w:jc w:val="center"/>
              <w:rPr>
                <w:sz w:val="20"/>
                <w:szCs w:val="20"/>
              </w:rPr>
            </w:pPr>
            <w:r w:rsidRPr="006578C6">
              <w:rPr>
                <w:sz w:val="20"/>
                <w:szCs w:val="20"/>
              </w:rPr>
              <w:t>41,709</w:t>
            </w:r>
          </w:p>
        </w:tc>
        <w:tc>
          <w:tcPr>
            <w:tcW w:w="2430" w:type="dxa"/>
            <w:tcBorders>
              <w:top w:val="single" w:sz="18" w:space="0" w:color="auto"/>
              <w:right w:val="single" w:sz="18" w:space="0" w:color="auto"/>
            </w:tcBorders>
            <w:vAlign w:val="center"/>
          </w:tcPr>
          <w:p w:rsidR="00146684" w:rsidRPr="006578C6" w:rsidRDefault="00146684" w:rsidP="00681214">
            <w:pPr>
              <w:jc w:val="center"/>
              <w:rPr>
                <w:sz w:val="20"/>
                <w:szCs w:val="20"/>
              </w:rPr>
            </w:pPr>
            <w:r w:rsidRPr="006578C6">
              <w:rPr>
                <w:sz w:val="20"/>
                <w:szCs w:val="20"/>
              </w:rPr>
              <w:t>1,787</w:t>
            </w:r>
          </w:p>
        </w:tc>
      </w:tr>
      <w:tr w:rsidR="00146684" w:rsidRPr="00490B44" w:rsidTr="00681214">
        <w:trPr>
          <w:trHeight w:val="360"/>
          <w:jc w:val="center"/>
        </w:trPr>
        <w:tc>
          <w:tcPr>
            <w:tcW w:w="2724" w:type="dxa"/>
            <w:tcBorders>
              <w:left w:val="single" w:sz="18" w:space="0" w:color="auto"/>
              <w:bottom w:val="single" w:sz="18" w:space="0" w:color="auto"/>
            </w:tcBorders>
            <w:vAlign w:val="center"/>
          </w:tcPr>
          <w:p w:rsidR="00146684" w:rsidRPr="006578C6" w:rsidRDefault="00146684" w:rsidP="00681214">
            <w:pPr>
              <w:jc w:val="center"/>
            </w:pPr>
            <w:r w:rsidRPr="006578C6">
              <w:rPr>
                <w:sz w:val="22"/>
              </w:rPr>
              <w:t>Transportation Buffer</w:t>
            </w:r>
          </w:p>
        </w:tc>
        <w:tc>
          <w:tcPr>
            <w:tcW w:w="2550" w:type="dxa"/>
            <w:tcBorders>
              <w:bottom w:val="single" w:sz="18" w:space="0" w:color="auto"/>
            </w:tcBorders>
            <w:vAlign w:val="center"/>
          </w:tcPr>
          <w:p w:rsidR="00146684" w:rsidRPr="006578C6" w:rsidRDefault="00146684" w:rsidP="00681214">
            <w:pPr>
              <w:jc w:val="center"/>
              <w:rPr>
                <w:sz w:val="20"/>
                <w:szCs w:val="20"/>
              </w:rPr>
            </w:pPr>
            <w:r w:rsidRPr="006578C6">
              <w:rPr>
                <w:sz w:val="20"/>
                <w:szCs w:val="20"/>
              </w:rPr>
              <w:t>8,342</w:t>
            </w:r>
          </w:p>
        </w:tc>
        <w:tc>
          <w:tcPr>
            <w:tcW w:w="2430" w:type="dxa"/>
            <w:tcBorders>
              <w:bottom w:val="single" w:sz="18" w:space="0" w:color="auto"/>
              <w:right w:val="single" w:sz="18" w:space="0" w:color="auto"/>
            </w:tcBorders>
            <w:vAlign w:val="center"/>
          </w:tcPr>
          <w:p w:rsidR="00146684" w:rsidRPr="006578C6" w:rsidRDefault="00146684" w:rsidP="00681214">
            <w:pPr>
              <w:jc w:val="center"/>
              <w:rPr>
                <w:sz w:val="20"/>
                <w:szCs w:val="20"/>
              </w:rPr>
            </w:pPr>
            <w:r w:rsidRPr="006578C6">
              <w:rPr>
                <w:sz w:val="20"/>
                <w:szCs w:val="20"/>
              </w:rPr>
              <w:t>357</w:t>
            </w:r>
          </w:p>
        </w:tc>
      </w:tr>
      <w:tr w:rsidR="00146684" w:rsidRPr="00490B44" w:rsidTr="00681214">
        <w:trPr>
          <w:trHeight w:val="360"/>
          <w:jc w:val="center"/>
        </w:trPr>
        <w:tc>
          <w:tcPr>
            <w:tcW w:w="2724" w:type="dxa"/>
            <w:tcBorders>
              <w:top w:val="single" w:sz="18" w:space="0" w:color="auto"/>
              <w:left w:val="single" w:sz="18" w:space="0" w:color="auto"/>
              <w:bottom w:val="single" w:sz="18" w:space="0" w:color="auto"/>
            </w:tcBorders>
            <w:shd w:val="clear" w:color="auto" w:fill="D9D9D9"/>
            <w:vAlign w:val="center"/>
          </w:tcPr>
          <w:p w:rsidR="00146684" w:rsidRPr="006578C6" w:rsidRDefault="00146684" w:rsidP="00681214">
            <w:pPr>
              <w:jc w:val="center"/>
              <w:rPr>
                <w:b/>
              </w:rPr>
            </w:pPr>
            <w:r w:rsidRPr="006578C6">
              <w:rPr>
                <w:b/>
                <w:sz w:val="22"/>
              </w:rPr>
              <w:t>2017 Interim Budget</w:t>
            </w:r>
          </w:p>
        </w:tc>
        <w:tc>
          <w:tcPr>
            <w:tcW w:w="2550" w:type="dxa"/>
            <w:tcBorders>
              <w:top w:val="single" w:sz="18" w:space="0" w:color="auto"/>
              <w:bottom w:val="single" w:sz="18" w:space="0" w:color="auto"/>
            </w:tcBorders>
            <w:shd w:val="clear" w:color="auto" w:fill="D9D9D9"/>
            <w:vAlign w:val="center"/>
          </w:tcPr>
          <w:p w:rsidR="00146684" w:rsidRPr="006578C6" w:rsidRDefault="00146684" w:rsidP="00681214">
            <w:pPr>
              <w:jc w:val="center"/>
              <w:rPr>
                <w:sz w:val="20"/>
                <w:szCs w:val="20"/>
              </w:rPr>
            </w:pPr>
            <w:r w:rsidRPr="006578C6">
              <w:rPr>
                <w:sz w:val="20"/>
                <w:szCs w:val="20"/>
              </w:rPr>
              <w:t>50,051</w:t>
            </w:r>
          </w:p>
        </w:tc>
        <w:tc>
          <w:tcPr>
            <w:tcW w:w="2430" w:type="dxa"/>
            <w:tcBorders>
              <w:top w:val="single" w:sz="18" w:space="0" w:color="auto"/>
              <w:bottom w:val="single" w:sz="18" w:space="0" w:color="auto"/>
              <w:right w:val="single" w:sz="18" w:space="0" w:color="auto"/>
            </w:tcBorders>
            <w:shd w:val="clear" w:color="auto" w:fill="D9D9D9"/>
            <w:vAlign w:val="center"/>
          </w:tcPr>
          <w:p w:rsidR="00146684" w:rsidRPr="006578C6" w:rsidRDefault="00146684" w:rsidP="00681214">
            <w:pPr>
              <w:jc w:val="center"/>
              <w:rPr>
                <w:sz w:val="20"/>
                <w:szCs w:val="20"/>
              </w:rPr>
            </w:pPr>
            <w:r w:rsidRPr="006578C6">
              <w:rPr>
                <w:sz w:val="20"/>
                <w:szCs w:val="20"/>
              </w:rPr>
              <w:t>2,144</w:t>
            </w:r>
          </w:p>
        </w:tc>
      </w:tr>
      <w:tr w:rsidR="00146684" w:rsidRPr="00490B44" w:rsidTr="00681214">
        <w:trPr>
          <w:trHeight w:val="360"/>
          <w:jc w:val="center"/>
        </w:trPr>
        <w:tc>
          <w:tcPr>
            <w:tcW w:w="2724" w:type="dxa"/>
            <w:tcBorders>
              <w:top w:val="single" w:sz="18" w:space="0" w:color="auto"/>
              <w:left w:val="single" w:sz="18" w:space="0" w:color="auto"/>
            </w:tcBorders>
            <w:vAlign w:val="center"/>
          </w:tcPr>
          <w:p w:rsidR="00146684" w:rsidRPr="006578C6" w:rsidRDefault="00146684" w:rsidP="00681214">
            <w:pPr>
              <w:jc w:val="center"/>
            </w:pPr>
            <w:r w:rsidRPr="006578C6">
              <w:rPr>
                <w:sz w:val="22"/>
              </w:rPr>
              <w:t>2025 Predicted Emissions</w:t>
            </w:r>
          </w:p>
        </w:tc>
        <w:tc>
          <w:tcPr>
            <w:tcW w:w="2550" w:type="dxa"/>
            <w:tcBorders>
              <w:top w:val="single" w:sz="18" w:space="0" w:color="auto"/>
            </w:tcBorders>
            <w:vAlign w:val="center"/>
          </w:tcPr>
          <w:p w:rsidR="00146684" w:rsidRPr="006578C6" w:rsidRDefault="00146684" w:rsidP="00681214">
            <w:pPr>
              <w:jc w:val="center"/>
              <w:rPr>
                <w:sz w:val="20"/>
                <w:szCs w:val="20"/>
              </w:rPr>
            </w:pPr>
            <w:r w:rsidRPr="006578C6">
              <w:rPr>
                <w:sz w:val="20"/>
                <w:szCs w:val="20"/>
              </w:rPr>
              <w:t>27,400</w:t>
            </w:r>
          </w:p>
        </w:tc>
        <w:tc>
          <w:tcPr>
            <w:tcW w:w="2430" w:type="dxa"/>
            <w:tcBorders>
              <w:top w:val="single" w:sz="18" w:space="0" w:color="auto"/>
              <w:right w:val="single" w:sz="18" w:space="0" w:color="auto"/>
            </w:tcBorders>
            <w:vAlign w:val="center"/>
          </w:tcPr>
          <w:p w:rsidR="00146684" w:rsidRPr="006578C6" w:rsidRDefault="00146684" w:rsidP="00681214">
            <w:pPr>
              <w:jc w:val="center"/>
              <w:rPr>
                <w:sz w:val="20"/>
                <w:szCs w:val="20"/>
              </w:rPr>
            </w:pPr>
            <w:r w:rsidRPr="006578C6">
              <w:rPr>
                <w:sz w:val="20"/>
                <w:szCs w:val="20"/>
              </w:rPr>
              <w:t>1,322</w:t>
            </w:r>
          </w:p>
        </w:tc>
      </w:tr>
      <w:tr w:rsidR="00146684" w:rsidRPr="00490B44" w:rsidTr="00681214">
        <w:trPr>
          <w:trHeight w:val="360"/>
          <w:jc w:val="center"/>
        </w:trPr>
        <w:tc>
          <w:tcPr>
            <w:tcW w:w="2724" w:type="dxa"/>
            <w:tcBorders>
              <w:left w:val="single" w:sz="18" w:space="0" w:color="auto"/>
              <w:bottom w:val="single" w:sz="18" w:space="0" w:color="auto"/>
            </w:tcBorders>
            <w:vAlign w:val="center"/>
          </w:tcPr>
          <w:p w:rsidR="00146684" w:rsidRPr="006578C6" w:rsidRDefault="00146684" w:rsidP="00681214">
            <w:pPr>
              <w:jc w:val="center"/>
            </w:pPr>
            <w:r w:rsidRPr="006578C6">
              <w:rPr>
                <w:sz w:val="22"/>
              </w:rPr>
              <w:t>Transportation Buffer</w:t>
            </w:r>
          </w:p>
        </w:tc>
        <w:tc>
          <w:tcPr>
            <w:tcW w:w="2550" w:type="dxa"/>
            <w:tcBorders>
              <w:bottom w:val="single" w:sz="18" w:space="0" w:color="auto"/>
            </w:tcBorders>
            <w:vAlign w:val="center"/>
          </w:tcPr>
          <w:p w:rsidR="00146684" w:rsidRPr="006578C6" w:rsidRDefault="00146684" w:rsidP="00681214">
            <w:pPr>
              <w:jc w:val="center"/>
              <w:rPr>
                <w:sz w:val="20"/>
                <w:szCs w:val="20"/>
              </w:rPr>
            </w:pPr>
            <w:r w:rsidRPr="006578C6">
              <w:rPr>
                <w:sz w:val="20"/>
                <w:szCs w:val="20"/>
              </w:rPr>
              <w:t>5,480</w:t>
            </w:r>
          </w:p>
        </w:tc>
        <w:tc>
          <w:tcPr>
            <w:tcW w:w="2430" w:type="dxa"/>
            <w:tcBorders>
              <w:bottom w:val="single" w:sz="18" w:space="0" w:color="auto"/>
              <w:right w:val="single" w:sz="18" w:space="0" w:color="auto"/>
            </w:tcBorders>
            <w:vAlign w:val="center"/>
          </w:tcPr>
          <w:p w:rsidR="00146684" w:rsidRPr="006578C6" w:rsidRDefault="00146684" w:rsidP="00681214">
            <w:pPr>
              <w:jc w:val="center"/>
              <w:rPr>
                <w:sz w:val="20"/>
                <w:szCs w:val="20"/>
              </w:rPr>
            </w:pPr>
            <w:r w:rsidRPr="006578C6">
              <w:rPr>
                <w:sz w:val="20"/>
                <w:szCs w:val="20"/>
              </w:rPr>
              <w:t>264</w:t>
            </w:r>
          </w:p>
        </w:tc>
      </w:tr>
      <w:tr w:rsidR="00146684" w:rsidRPr="00490B44" w:rsidTr="00681214">
        <w:trPr>
          <w:trHeight w:val="342"/>
          <w:jc w:val="center"/>
        </w:trPr>
        <w:tc>
          <w:tcPr>
            <w:tcW w:w="2724" w:type="dxa"/>
            <w:tcBorders>
              <w:top w:val="single" w:sz="18" w:space="0" w:color="auto"/>
              <w:left w:val="single" w:sz="18" w:space="0" w:color="auto"/>
              <w:bottom w:val="single" w:sz="18" w:space="0" w:color="auto"/>
            </w:tcBorders>
            <w:shd w:val="clear" w:color="auto" w:fill="D9D9D9"/>
            <w:vAlign w:val="center"/>
          </w:tcPr>
          <w:p w:rsidR="00146684" w:rsidRPr="006578C6" w:rsidRDefault="00146684" w:rsidP="00681214">
            <w:pPr>
              <w:jc w:val="center"/>
              <w:rPr>
                <w:b/>
              </w:rPr>
            </w:pPr>
            <w:r w:rsidRPr="006578C6">
              <w:rPr>
                <w:b/>
                <w:sz w:val="22"/>
              </w:rPr>
              <w:t>2025 Final Budget</w:t>
            </w:r>
          </w:p>
        </w:tc>
        <w:tc>
          <w:tcPr>
            <w:tcW w:w="2550" w:type="dxa"/>
            <w:tcBorders>
              <w:top w:val="single" w:sz="18" w:space="0" w:color="auto"/>
              <w:bottom w:val="single" w:sz="18" w:space="0" w:color="auto"/>
            </w:tcBorders>
            <w:shd w:val="clear" w:color="auto" w:fill="D9D9D9"/>
            <w:vAlign w:val="center"/>
          </w:tcPr>
          <w:p w:rsidR="00146684" w:rsidRPr="006578C6" w:rsidRDefault="00146684" w:rsidP="00681214">
            <w:pPr>
              <w:jc w:val="center"/>
              <w:rPr>
                <w:sz w:val="20"/>
                <w:szCs w:val="20"/>
              </w:rPr>
            </w:pPr>
            <w:r w:rsidRPr="006578C6">
              <w:rPr>
                <w:sz w:val="20"/>
                <w:szCs w:val="20"/>
              </w:rPr>
              <w:t>32,880</w:t>
            </w:r>
          </w:p>
        </w:tc>
        <w:tc>
          <w:tcPr>
            <w:tcW w:w="2430" w:type="dxa"/>
            <w:tcBorders>
              <w:top w:val="single" w:sz="18" w:space="0" w:color="auto"/>
              <w:bottom w:val="single" w:sz="18" w:space="0" w:color="auto"/>
              <w:right w:val="single" w:sz="18" w:space="0" w:color="auto"/>
            </w:tcBorders>
            <w:shd w:val="clear" w:color="auto" w:fill="D9D9D9"/>
            <w:vAlign w:val="center"/>
          </w:tcPr>
          <w:p w:rsidR="00146684" w:rsidRPr="006578C6" w:rsidRDefault="00146684" w:rsidP="00681214">
            <w:pPr>
              <w:jc w:val="center"/>
              <w:rPr>
                <w:sz w:val="20"/>
                <w:szCs w:val="20"/>
              </w:rPr>
            </w:pPr>
            <w:r w:rsidRPr="006578C6">
              <w:rPr>
                <w:sz w:val="20"/>
                <w:szCs w:val="20"/>
              </w:rPr>
              <w:t>1,586</w:t>
            </w:r>
          </w:p>
        </w:tc>
      </w:tr>
    </w:tbl>
    <w:p w:rsidR="00146684" w:rsidRDefault="00146684" w:rsidP="00604939">
      <w:pPr>
        <w:rPr>
          <w:color w:val="4F81BD"/>
          <w:sz w:val="22"/>
        </w:rPr>
      </w:pPr>
    </w:p>
    <w:p w:rsidR="00146684" w:rsidRDefault="00146684"/>
    <w:p w:rsidR="00146684" w:rsidRDefault="00146684">
      <w:r w:rsidRPr="00894A8D">
        <w:t>Calculated</w:t>
      </w:r>
      <w:r>
        <w:t xml:space="preserve"> as a percentage of total emissions, the transportation buffer for the 2017 Tier 2 </w:t>
      </w:r>
      <w:r w:rsidRPr="004661EE">
        <w:rPr>
          <w:szCs w:val="24"/>
        </w:rPr>
        <w:t>PM</w:t>
      </w:r>
      <w:r w:rsidRPr="004661EE">
        <w:rPr>
          <w:szCs w:val="24"/>
          <w:vertAlign w:val="subscript"/>
        </w:rPr>
        <w:t>2.5</w:t>
      </w:r>
      <w:r>
        <w:rPr>
          <w:szCs w:val="24"/>
          <w:vertAlign w:val="subscript"/>
        </w:rPr>
        <w:t xml:space="preserve"> </w:t>
      </w:r>
      <w:r>
        <w:t xml:space="preserve">MVEB is 1.9% of the total </w:t>
      </w:r>
      <w:r w:rsidRPr="004661EE">
        <w:rPr>
          <w:szCs w:val="24"/>
        </w:rPr>
        <w:t>PM</w:t>
      </w:r>
      <w:r w:rsidRPr="004661EE">
        <w:rPr>
          <w:szCs w:val="24"/>
          <w:vertAlign w:val="subscript"/>
        </w:rPr>
        <w:t>2.5</w:t>
      </w:r>
      <w:r>
        <w:rPr>
          <w:szCs w:val="24"/>
          <w:vertAlign w:val="subscript"/>
        </w:rPr>
        <w:t xml:space="preserve"> </w:t>
      </w:r>
      <w:r>
        <w:t xml:space="preserve">inventory and for the 2017 Tier 2 </w:t>
      </w:r>
      <w:proofErr w:type="spellStart"/>
      <w:r>
        <w:t>NO</w:t>
      </w:r>
      <w:r w:rsidRPr="0099010C">
        <w:rPr>
          <w:vertAlign w:val="subscript"/>
        </w:rPr>
        <w:t>x</w:t>
      </w:r>
      <w:proofErr w:type="spellEnd"/>
      <w:r>
        <w:t xml:space="preserve"> MVEB is 9.2% of the total </w:t>
      </w:r>
      <w:proofErr w:type="spellStart"/>
      <w:r>
        <w:t>NO</w:t>
      </w:r>
      <w:r w:rsidRPr="0099010C">
        <w:rPr>
          <w:vertAlign w:val="subscript"/>
        </w:rPr>
        <w:t>x</w:t>
      </w:r>
      <w:proofErr w:type="spellEnd"/>
      <w:r>
        <w:t xml:space="preserve"> inventory.  For 2025, the transportation buffer for the Tier 2 </w:t>
      </w:r>
      <w:r w:rsidRPr="004661EE">
        <w:rPr>
          <w:szCs w:val="24"/>
        </w:rPr>
        <w:t>PM</w:t>
      </w:r>
      <w:r w:rsidRPr="004661EE">
        <w:rPr>
          <w:szCs w:val="24"/>
          <w:vertAlign w:val="subscript"/>
        </w:rPr>
        <w:t>2.5</w:t>
      </w:r>
      <w:r>
        <w:rPr>
          <w:szCs w:val="24"/>
          <w:vertAlign w:val="subscript"/>
        </w:rPr>
        <w:t xml:space="preserve"> </w:t>
      </w:r>
      <w:r>
        <w:t xml:space="preserve">MVEB is 1.5% of the total </w:t>
      </w:r>
      <w:r w:rsidRPr="004661EE">
        <w:rPr>
          <w:szCs w:val="24"/>
        </w:rPr>
        <w:t>PM</w:t>
      </w:r>
      <w:r w:rsidRPr="004661EE">
        <w:rPr>
          <w:szCs w:val="24"/>
          <w:vertAlign w:val="subscript"/>
        </w:rPr>
        <w:t>2.5</w:t>
      </w:r>
      <w:r>
        <w:t xml:space="preserve"> inventory and for </w:t>
      </w:r>
      <w:proofErr w:type="spellStart"/>
      <w:r>
        <w:t>NO</w:t>
      </w:r>
      <w:r w:rsidRPr="0099010C">
        <w:rPr>
          <w:vertAlign w:val="subscript"/>
        </w:rPr>
        <w:t>x</w:t>
      </w:r>
      <w:proofErr w:type="spellEnd"/>
      <w:r>
        <w:t xml:space="preserve"> is 7.4% of the total </w:t>
      </w:r>
      <w:proofErr w:type="spellStart"/>
      <w:r>
        <w:t>NO</w:t>
      </w:r>
      <w:r w:rsidRPr="00797238">
        <w:rPr>
          <w:vertAlign w:val="subscript"/>
        </w:rPr>
        <w:t>x</w:t>
      </w:r>
      <w:proofErr w:type="spellEnd"/>
      <w:r>
        <w:t xml:space="preserve"> inventory.</w:t>
      </w:r>
    </w:p>
    <w:p w:rsidR="00146684" w:rsidRDefault="00146684"/>
    <w:p w:rsidR="00146684" w:rsidRPr="00936924" w:rsidRDefault="00146684" w:rsidP="00936924">
      <w:pPr>
        <w:autoSpaceDE w:val="0"/>
        <w:autoSpaceDN w:val="0"/>
        <w:adjustRightInd w:val="0"/>
        <w:rPr>
          <w:rFonts w:cs="Calibri"/>
        </w:rPr>
      </w:pPr>
      <w:r w:rsidRPr="00936924">
        <w:rPr>
          <w:rFonts w:cs="Calibri"/>
        </w:rPr>
        <w:t>The Washington DC-MD-VA area commits to evaluating and submitting, as a revision to the 1997 PM</w:t>
      </w:r>
      <w:r w:rsidRPr="00936924">
        <w:rPr>
          <w:rFonts w:cs="Calibri"/>
          <w:vertAlign w:val="subscript"/>
        </w:rPr>
        <w:t xml:space="preserve">2.5 </w:t>
      </w:r>
      <w:r w:rsidRPr="00936924">
        <w:rPr>
          <w:rFonts w:cs="Calibri"/>
        </w:rPr>
        <w:t xml:space="preserve">NAAQS maintenance plan, updated annual 2017 and 2025 MVEBs for </w:t>
      </w:r>
      <w:proofErr w:type="spellStart"/>
      <w:r w:rsidRPr="00936924">
        <w:rPr>
          <w:rFonts w:cs="Calibri"/>
        </w:rPr>
        <w:t>NOx</w:t>
      </w:r>
      <w:proofErr w:type="spellEnd"/>
      <w:r w:rsidRPr="00936924">
        <w:rPr>
          <w:rFonts w:cs="Calibri"/>
        </w:rPr>
        <w:t xml:space="preserve"> and PM</w:t>
      </w:r>
      <w:r w:rsidRPr="00936924">
        <w:rPr>
          <w:rFonts w:cs="Calibri"/>
          <w:vertAlign w:val="subscript"/>
        </w:rPr>
        <w:t xml:space="preserve">2.5 </w:t>
      </w:r>
      <w:r w:rsidRPr="00936924">
        <w:rPr>
          <w:rFonts w:cs="Calibri"/>
        </w:rPr>
        <w:t xml:space="preserve">by the end of 2015. </w:t>
      </w:r>
    </w:p>
    <w:p w:rsidR="00146684" w:rsidRPr="00894A8D" w:rsidRDefault="00146684"/>
    <w:p w:rsidR="00146684" w:rsidRDefault="00146684">
      <w:pPr>
        <w:rPr>
          <w:b/>
        </w:rPr>
      </w:pPr>
    </w:p>
    <w:p w:rsidR="00146684" w:rsidRDefault="00146684">
      <w:pPr>
        <w:rPr>
          <w:b/>
        </w:rPr>
      </w:pPr>
      <w:r>
        <w:rPr>
          <w:b/>
        </w:rPr>
        <w:t>5.2.2.4</w:t>
      </w:r>
      <w:r>
        <w:rPr>
          <w:b/>
        </w:rPr>
        <w:tab/>
        <w:t xml:space="preserve">   Future Control Strategies</w:t>
      </w:r>
    </w:p>
    <w:p w:rsidR="00533359" w:rsidRDefault="00146684">
      <w:pPr>
        <w:rPr>
          <w:szCs w:val="24"/>
        </w:rPr>
      </w:pPr>
      <w:r w:rsidRPr="00725EA3">
        <w:t xml:space="preserve">The Washington DC-MD-VA area commits to begin planning to identify appropriate strategies to help the area achieve and maintain compliance with a potential bump-up of the region to a moderate </w:t>
      </w:r>
      <w:r>
        <w:t>classification</w:t>
      </w:r>
      <w:r w:rsidRPr="00725EA3">
        <w:t xml:space="preserve"> </w:t>
      </w:r>
      <w:r>
        <w:t xml:space="preserve">for the 2008 ozone NAAQS, </w:t>
      </w:r>
      <w:r w:rsidRPr="00725EA3">
        <w:t xml:space="preserve">and </w:t>
      </w:r>
      <w:r>
        <w:t xml:space="preserve">with any </w:t>
      </w:r>
      <w:r w:rsidRPr="00725EA3">
        <w:t>future ozone NAAQS</w:t>
      </w:r>
      <w:r>
        <w:t xml:space="preserve">.  This planning process will </w:t>
      </w:r>
      <w:r w:rsidRPr="00725EA3">
        <w:t>includ</w:t>
      </w:r>
      <w:r>
        <w:t>e,</w:t>
      </w:r>
      <w:r w:rsidRPr="00725EA3">
        <w:t xml:space="preserve"> but </w:t>
      </w:r>
      <w:r>
        <w:t xml:space="preserve">is </w:t>
      </w:r>
      <w:r w:rsidRPr="00725EA3">
        <w:t>not limited to</w:t>
      </w:r>
      <w:r>
        <w:t>,</w:t>
      </w:r>
      <w:r w:rsidRPr="00725EA3">
        <w:t xml:space="preserve"> the development of a preliminary 15% Rate of Progress Plan</w:t>
      </w:r>
      <w:r>
        <w:t xml:space="preserve"> for the 2008 ozone NAAQS</w:t>
      </w:r>
      <w:r w:rsidRPr="00725EA3">
        <w:t>.</w:t>
      </w:r>
    </w:p>
    <w:p w:rsidR="00146684" w:rsidRDefault="00146684" w:rsidP="00725EA3">
      <w:pPr>
        <w:rPr>
          <w:szCs w:val="24"/>
        </w:rPr>
      </w:pPr>
    </w:p>
    <w:p w:rsidR="00146684" w:rsidRPr="00725EA3" w:rsidRDefault="00146684" w:rsidP="00725EA3">
      <w:pPr>
        <w:rPr>
          <w:szCs w:val="24"/>
        </w:rPr>
      </w:pPr>
      <w:r w:rsidRPr="00725EA3">
        <w:rPr>
          <w:szCs w:val="24"/>
        </w:rPr>
        <w:t>The Washington DC-MD-VA area will work with jurisdictions and EPA to demonstrate the feasibility of (and get SIP credit for) achieving reductions across the entire region from market forces that will result in cleaner products being distributed across the entire region even when the regulations driving the cleaner products have only been adopted in a part of the region.</w:t>
      </w:r>
    </w:p>
    <w:p w:rsidR="00146684" w:rsidRDefault="00146684" w:rsidP="00725EA3">
      <w:pPr>
        <w:rPr>
          <w:szCs w:val="24"/>
        </w:rPr>
      </w:pPr>
    </w:p>
    <w:p w:rsidR="00146684" w:rsidRDefault="00146684" w:rsidP="00725EA3">
      <w:pPr>
        <w:rPr>
          <w:szCs w:val="24"/>
        </w:rPr>
      </w:pPr>
      <w:r w:rsidRPr="00725EA3">
        <w:rPr>
          <w:szCs w:val="24"/>
        </w:rPr>
        <w:t>Maryland and the District of Columbia will work to pursue</w:t>
      </w:r>
      <w:r>
        <w:rPr>
          <w:szCs w:val="24"/>
        </w:rPr>
        <w:t xml:space="preserve"> </w:t>
      </w:r>
      <w:r w:rsidR="005E622C">
        <w:rPr>
          <w:szCs w:val="24"/>
        </w:rPr>
        <w:t xml:space="preserve">at least </w:t>
      </w:r>
      <w:r w:rsidR="00220BF2">
        <w:rPr>
          <w:szCs w:val="24"/>
        </w:rPr>
        <w:t xml:space="preserve">five </w:t>
      </w:r>
      <w:r w:rsidRPr="00725EA3">
        <w:rPr>
          <w:szCs w:val="24"/>
        </w:rPr>
        <w:t xml:space="preserve">new regulations to insure that, to the extent the </w:t>
      </w:r>
      <w:r>
        <w:rPr>
          <w:szCs w:val="24"/>
        </w:rPr>
        <w:t>transportation buffers</w:t>
      </w:r>
      <w:r w:rsidRPr="00725EA3">
        <w:rPr>
          <w:szCs w:val="24"/>
        </w:rPr>
        <w:t xml:space="preserve"> are needed, there is no </w:t>
      </w:r>
      <w:r>
        <w:rPr>
          <w:szCs w:val="24"/>
        </w:rPr>
        <w:t xml:space="preserve">degradation </w:t>
      </w:r>
      <w:r w:rsidRPr="00725EA3">
        <w:rPr>
          <w:szCs w:val="24"/>
        </w:rPr>
        <w:t xml:space="preserve">of environmental protection in the Maryland </w:t>
      </w:r>
      <w:r>
        <w:rPr>
          <w:szCs w:val="24"/>
        </w:rPr>
        <w:t xml:space="preserve">and District of Columbia </w:t>
      </w:r>
      <w:r w:rsidRPr="00725EA3">
        <w:rPr>
          <w:szCs w:val="24"/>
        </w:rPr>
        <w:t xml:space="preserve">portion of the nonattainment area. </w:t>
      </w:r>
      <w:r>
        <w:rPr>
          <w:szCs w:val="24"/>
        </w:rPr>
        <w:t xml:space="preserve">These new measures will also begin the process of further reducing ozone and fine particle levels in the region to ensure that public health is protected.  Maryland </w:t>
      </w:r>
      <w:r w:rsidR="00220BF2">
        <w:rPr>
          <w:szCs w:val="24"/>
        </w:rPr>
        <w:t xml:space="preserve">and the District </w:t>
      </w:r>
      <w:r>
        <w:rPr>
          <w:szCs w:val="24"/>
        </w:rPr>
        <w:t xml:space="preserve">agree with the </w:t>
      </w:r>
      <w:r>
        <w:rPr>
          <w:szCs w:val="24"/>
        </w:rPr>
        <w:lastRenderedPageBreak/>
        <w:t xml:space="preserve">scientific community who believe that more stringent ozone and fine particle standards are needed. </w:t>
      </w:r>
      <w:r w:rsidRPr="00725EA3">
        <w:rPr>
          <w:szCs w:val="24"/>
        </w:rPr>
        <w:t>The new regulatory programs include low sulfur home heating fuel, enhancements to current controls on consumer products and industrial adhesives, off-road idling</w:t>
      </w:r>
      <w:r>
        <w:rPr>
          <w:szCs w:val="24"/>
        </w:rPr>
        <w:t>,</w:t>
      </w:r>
      <w:r w:rsidRPr="00725EA3">
        <w:rPr>
          <w:szCs w:val="24"/>
        </w:rPr>
        <w:t xml:space="preserve"> and tougher requirements for smaller diesel generators.</w:t>
      </w:r>
      <w:r w:rsidR="000062D7">
        <w:rPr>
          <w:szCs w:val="24"/>
        </w:rPr>
        <w:t xml:space="preserve">  </w:t>
      </w:r>
      <w:r w:rsidR="00CC635B" w:rsidRPr="00CC635B">
        <w:rPr>
          <w:szCs w:val="24"/>
          <w:highlight w:val="yellow"/>
        </w:rPr>
        <w:t>Virginia will pursue measures that are necessary to attain and maintain current and future air quality standards.</w:t>
      </w:r>
      <w:r w:rsidR="000062D7">
        <w:rPr>
          <w:szCs w:val="24"/>
        </w:rPr>
        <w:t xml:space="preserve">  </w:t>
      </w:r>
      <w:r w:rsidR="00B23B47">
        <w:rPr>
          <w:szCs w:val="24"/>
        </w:rPr>
        <w:t>The commitments made by Maryland and the District will not be construed to infringe upon any prerogative of the Commonwealth of Virginia.</w:t>
      </w:r>
    </w:p>
    <w:p w:rsidR="002A69FD" w:rsidRDefault="002A69FD" w:rsidP="00725EA3">
      <w:pPr>
        <w:rPr>
          <w:szCs w:val="24"/>
        </w:rPr>
      </w:pPr>
    </w:p>
    <w:p w:rsidR="002A69FD" w:rsidRPr="002A69FD" w:rsidRDefault="00CC635B" w:rsidP="00725EA3">
      <w:pPr>
        <w:rPr>
          <w:szCs w:val="24"/>
        </w:rPr>
      </w:pPr>
      <w:r w:rsidRPr="00CC635B">
        <w:rPr>
          <w:szCs w:val="24"/>
          <w:highlight w:val="yellow"/>
          <w:vertAlign w:val="superscript"/>
        </w:rPr>
        <w:t>1</w:t>
      </w:r>
      <w:r w:rsidRPr="00CC635B">
        <w:rPr>
          <w:szCs w:val="24"/>
          <w:highlight w:val="yellow"/>
        </w:rPr>
        <w:t xml:space="preserve"> Section 93.124(a) of the Code of Federal Regulations (CFR) allows for the use of conformity buffers (or safety margins) in setting motor vehicle emissions budgets.</w:t>
      </w:r>
    </w:p>
    <w:sectPr w:rsidR="002A69FD" w:rsidRPr="002A69FD" w:rsidSect="00F176F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454" w:rsidRDefault="003A4454" w:rsidP="00FC624C">
      <w:r>
        <w:separator/>
      </w:r>
    </w:p>
  </w:endnote>
  <w:endnote w:type="continuationSeparator" w:id="0">
    <w:p w:rsidR="003A4454" w:rsidRDefault="003A4454" w:rsidP="00FC62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454" w:rsidRDefault="003A4454" w:rsidP="00FC624C">
      <w:r>
        <w:separator/>
      </w:r>
    </w:p>
  </w:footnote>
  <w:footnote w:type="continuationSeparator" w:id="0">
    <w:p w:rsidR="003A4454" w:rsidRDefault="003A4454" w:rsidP="00FC62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79B" w:rsidRDefault="007F679B">
    <w:pPr>
      <w:pStyle w:val="Header"/>
    </w:pPr>
    <w:r>
      <w:t>PM2.5 Maintenance Plan DRAFT Motor Vehicle Emissions Budgets</w:t>
    </w:r>
  </w:p>
  <w:sdt>
    <w:sdtPr>
      <w:id w:val="232835284"/>
      <w:docPartObj>
        <w:docPartGallery w:val="Watermarks"/>
        <w:docPartUnique/>
      </w:docPartObj>
    </w:sdtPr>
    <w:sdtContent>
      <w:p w:rsidR="00FC624C" w:rsidRDefault="00C0007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853802" o:spid="_x0000_s2049" type="#_x0000_t136" style="position:absolute;margin-left:0;margin-top:0;width:412.4pt;height:247.4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hdrShapeDefaults>
    <o:shapedefaults v:ext="edit" spidmax="20482"/>
    <o:shapelayout v:ext="edit">
      <o:idmap v:ext="edit" data="2"/>
    </o:shapelayout>
  </w:hdrShapeDefaults>
  <w:footnotePr>
    <w:footnote w:id="-1"/>
    <w:footnote w:id="0"/>
  </w:footnotePr>
  <w:endnotePr>
    <w:endnote w:id="-1"/>
    <w:endnote w:id="0"/>
  </w:endnotePr>
  <w:compat/>
  <w:rsids>
    <w:rsidRoot w:val="006033A0"/>
    <w:rsid w:val="000062D7"/>
    <w:rsid w:val="000076AD"/>
    <w:rsid w:val="00013789"/>
    <w:rsid w:val="00022BB3"/>
    <w:rsid w:val="00025902"/>
    <w:rsid w:val="00042373"/>
    <w:rsid w:val="0004303E"/>
    <w:rsid w:val="00047491"/>
    <w:rsid w:val="000569A4"/>
    <w:rsid w:val="00077A02"/>
    <w:rsid w:val="000A45DD"/>
    <w:rsid w:val="000B0245"/>
    <w:rsid w:val="000B092A"/>
    <w:rsid w:val="000D61B4"/>
    <w:rsid w:val="000E0E83"/>
    <w:rsid w:val="00103298"/>
    <w:rsid w:val="001130F1"/>
    <w:rsid w:val="0011761F"/>
    <w:rsid w:val="0013520C"/>
    <w:rsid w:val="001373F9"/>
    <w:rsid w:val="00142DB8"/>
    <w:rsid w:val="00143F1D"/>
    <w:rsid w:val="00145233"/>
    <w:rsid w:val="00146684"/>
    <w:rsid w:val="001625F2"/>
    <w:rsid w:val="001646EF"/>
    <w:rsid w:val="00184D86"/>
    <w:rsid w:val="001A048E"/>
    <w:rsid w:val="001A24B1"/>
    <w:rsid w:val="001A5D31"/>
    <w:rsid w:val="001F694C"/>
    <w:rsid w:val="002203C3"/>
    <w:rsid w:val="00220BF2"/>
    <w:rsid w:val="00222C89"/>
    <w:rsid w:val="00227C1D"/>
    <w:rsid w:val="002327E8"/>
    <w:rsid w:val="002459D5"/>
    <w:rsid w:val="00272798"/>
    <w:rsid w:val="00275C89"/>
    <w:rsid w:val="00297525"/>
    <w:rsid w:val="002A69FD"/>
    <w:rsid w:val="002B6C8E"/>
    <w:rsid w:val="002C029D"/>
    <w:rsid w:val="002C60A0"/>
    <w:rsid w:val="002E52BD"/>
    <w:rsid w:val="002F1A4C"/>
    <w:rsid w:val="00332FC4"/>
    <w:rsid w:val="003711E0"/>
    <w:rsid w:val="00394A09"/>
    <w:rsid w:val="003A4454"/>
    <w:rsid w:val="003B4BA6"/>
    <w:rsid w:val="003B5C43"/>
    <w:rsid w:val="003C3BE8"/>
    <w:rsid w:val="003D4CB3"/>
    <w:rsid w:val="003E1B5C"/>
    <w:rsid w:val="003E6B21"/>
    <w:rsid w:val="003F166A"/>
    <w:rsid w:val="004049D3"/>
    <w:rsid w:val="00432254"/>
    <w:rsid w:val="004661EE"/>
    <w:rsid w:val="00466C16"/>
    <w:rsid w:val="00473177"/>
    <w:rsid w:val="004816FA"/>
    <w:rsid w:val="00485D75"/>
    <w:rsid w:val="00490B44"/>
    <w:rsid w:val="004A10BF"/>
    <w:rsid w:val="004A4982"/>
    <w:rsid w:val="004B0AB8"/>
    <w:rsid w:val="004C5B7E"/>
    <w:rsid w:val="004C7643"/>
    <w:rsid w:val="004D1A64"/>
    <w:rsid w:val="004D34CF"/>
    <w:rsid w:val="004D3503"/>
    <w:rsid w:val="004E1663"/>
    <w:rsid w:val="004E2A97"/>
    <w:rsid w:val="004F0B68"/>
    <w:rsid w:val="004F6B56"/>
    <w:rsid w:val="005060F0"/>
    <w:rsid w:val="00507185"/>
    <w:rsid w:val="0051789E"/>
    <w:rsid w:val="00533359"/>
    <w:rsid w:val="00545423"/>
    <w:rsid w:val="0055392F"/>
    <w:rsid w:val="0057130F"/>
    <w:rsid w:val="00573549"/>
    <w:rsid w:val="005737BE"/>
    <w:rsid w:val="00581B20"/>
    <w:rsid w:val="00581E8E"/>
    <w:rsid w:val="005854C9"/>
    <w:rsid w:val="00592610"/>
    <w:rsid w:val="005933BF"/>
    <w:rsid w:val="0059430A"/>
    <w:rsid w:val="005A53E5"/>
    <w:rsid w:val="005C00A9"/>
    <w:rsid w:val="005E622C"/>
    <w:rsid w:val="006033A0"/>
    <w:rsid w:val="00604939"/>
    <w:rsid w:val="00630DAD"/>
    <w:rsid w:val="00647260"/>
    <w:rsid w:val="006578C6"/>
    <w:rsid w:val="006578C8"/>
    <w:rsid w:val="006578D0"/>
    <w:rsid w:val="00666A5D"/>
    <w:rsid w:val="00681214"/>
    <w:rsid w:val="006A079D"/>
    <w:rsid w:val="006A27F0"/>
    <w:rsid w:val="006A5115"/>
    <w:rsid w:val="006B3765"/>
    <w:rsid w:val="006C1408"/>
    <w:rsid w:val="006D2B52"/>
    <w:rsid w:val="006F1C0C"/>
    <w:rsid w:val="006F6337"/>
    <w:rsid w:val="0070007D"/>
    <w:rsid w:val="0071077C"/>
    <w:rsid w:val="007242D0"/>
    <w:rsid w:val="00725EA3"/>
    <w:rsid w:val="00755991"/>
    <w:rsid w:val="00762495"/>
    <w:rsid w:val="00786FE6"/>
    <w:rsid w:val="007957E8"/>
    <w:rsid w:val="00797238"/>
    <w:rsid w:val="007B7B30"/>
    <w:rsid w:val="007C75C8"/>
    <w:rsid w:val="007D0577"/>
    <w:rsid w:val="007D3800"/>
    <w:rsid w:val="007E0AE6"/>
    <w:rsid w:val="007E3E3B"/>
    <w:rsid w:val="007F5C5A"/>
    <w:rsid w:val="007F679B"/>
    <w:rsid w:val="00803B15"/>
    <w:rsid w:val="00807961"/>
    <w:rsid w:val="0084624A"/>
    <w:rsid w:val="00860173"/>
    <w:rsid w:val="00863FD2"/>
    <w:rsid w:val="008715FF"/>
    <w:rsid w:val="0088065A"/>
    <w:rsid w:val="00894A8D"/>
    <w:rsid w:val="008A40F0"/>
    <w:rsid w:val="008B3259"/>
    <w:rsid w:val="008C03C3"/>
    <w:rsid w:val="008D48EB"/>
    <w:rsid w:val="00914D31"/>
    <w:rsid w:val="0093151D"/>
    <w:rsid w:val="00936924"/>
    <w:rsid w:val="0094556B"/>
    <w:rsid w:val="009468F3"/>
    <w:rsid w:val="009530F3"/>
    <w:rsid w:val="00982C81"/>
    <w:rsid w:val="00987CD0"/>
    <w:rsid w:val="0099010C"/>
    <w:rsid w:val="009B3957"/>
    <w:rsid w:val="009B5C8E"/>
    <w:rsid w:val="009C527C"/>
    <w:rsid w:val="009E047C"/>
    <w:rsid w:val="009E6EC8"/>
    <w:rsid w:val="009E7DF6"/>
    <w:rsid w:val="009F1326"/>
    <w:rsid w:val="00A21F50"/>
    <w:rsid w:val="00A30F2F"/>
    <w:rsid w:val="00A37CC7"/>
    <w:rsid w:val="00A667B1"/>
    <w:rsid w:val="00A81603"/>
    <w:rsid w:val="00A8508B"/>
    <w:rsid w:val="00A97672"/>
    <w:rsid w:val="00AC0B7A"/>
    <w:rsid w:val="00AC2BC4"/>
    <w:rsid w:val="00AC4E92"/>
    <w:rsid w:val="00AE022C"/>
    <w:rsid w:val="00AF2E1D"/>
    <w:rsid w:val="00B05894"/>
    <w:rsid w:val="00B23B47"/>
    <w:rsid w:val="00B37F19"/>
    <w:rsid w:val="00B41D20"/>
    <w:rsid w:val="00B6556B"/>
    <w:rsid w:val="00B6728C"/>
    <w:rsid w:val="00B676AA"/>
    <w:rsid w:val="00B729E7"/>
    <w:rsid w:val="00B85E1D"/>
    <w:rsid w:val="00B92B41"/>
    <w:rsid w:val="00BA491D"/>
    <w:rsid w:val="00BA7653"/>
    <w:rsid w:val="00BB00E2"/>
    <w:rsid w:val="00BB2568"/>
    <w:rsid w:val="00BB3C00"/>
    <w:rsid w:val="00BB7CAC"/>
    <w:rsid w:val="00BC7DE6"/>
    <w:rsid w:val="00BE450F"/>
    <w:rsid w:val="00BF2678"/>
    <w:rsid w:val="00C0007E"/>
    <w:rsid w:val="00C06DE7"/>
    <w:rsid w:val="00C108A5"/>
    <w:rsid w:val="00C27E62"/>
    <w:rsid w:val="00C30F92"/>
    <w:rsid w:val="00C422E3"/>
    <w:rsid w:val="00C45035"/>
    <w:rsid w:val="00C64E32"/>
    <w:rsid w:val="00C76062"/>
    <w:rsid w:val="00C77AF1"/>
    <w:rsid w:val="00C84436"/>
    <w:rsid w:val="00CC635B"/>
    <w:rsid w:val="00CE7836"/>
    <w:rsid w:val="00D167B2"/>
    <w:rsid w:val="00D30A09"/>
    <w:rsid w:val="00D352D9"/>
    <w:rsid w:val="00D43A21"/>
    <w:rsid w:val="00D75220"/>
    <w:rsid w:val="00D918E2"/>
    <w:rsid w:val="00D93559"/>
    <w:rsid w:val="00DB1494"/>
    <w:rsid w:val="00DB21FB"/>
    <w:rsid w:val="00DC3605"/>
    <w:rsid w:val="00DD0BD7"/>
    <w:rsid w:val="00DE60DF"/>
    <w:rsid w:val="00E140B1"/>
    <w:rsid w:val="00E17BF2"/>
    <w:rsid w:val="00E435CB"/>
    <w:rsid w:val="00E44F84"/>
    <w:rsid w:val="00E4762D"/>
    <w:rsid w:val="00E56A1B"/>
    <w:rsid w:val="00E62A0F"/>
    <w:rsid w:val="00E656EA"/>
    <w:rsid w:val="00E80C81"/>
    <w:rsid w:val="00E81E36"/>
    <w:rsid w:val="00EA13C7"/>
    <w:rsid w:val="00EB32C4"/>
    <w:rsid w:val="00EB7A20"/>
    <w:rsid w:val="00EC5527"/>
    <w:rsid w:val="00ED0BD5"/>
    <w:rsid w:val="00ED45EC"/>
    <w:rsid w:val="00F12AF1"/>
    <w:rsid w:val="00F16EB6"/>
    <w:rsid w:val="00F176F5"/>
    <w:rsid w:val="00F365C1"/>
    <w:rsid w:val="00F42568"/>
    <w:rsid w:val="00F4548A"/>
    <w:rsid w:val="00F5366F"/>
    <w:rsid w:val="00F60082"/>
    <w:rsid w:val="00F76E75"/>
    <w:rsid w:val="00F82BD0"/>
    <w:rsid w:val="00F839ED"/>
    <w:rsid w:val="00F8569C"/>
    <w:rsid w:val="00FA6E96"/>
    <w:rsid w:val="00FC61AF"/>
    <w:rsid w:val="00FC624C"/>
    <w:rsid w:val="00FC68B6"/>
    <w:rsid w:val="00FD31E3"/>
    <w:rsid w:val="00FD470F"/>
    <w:rsid w:val="00FF49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3A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6033A0"/>
    <w:pPr>
      <w:spacing w:after="200"/>
    </w:pPr>
    <w:rPr>
      <w:b/>
      <w:bCs/>
      <w:i/>
      <w:color w:val="000000"/>
      <w:sz w:val="18"/>
      <w:szCs w:val="18"/>
    </w:rPr>
  </w:style>
  <w:style w:type="table" w:styleId="TableGrid">
    <w:name w:val="Table Grid"/>
    <w:basedOn w:val="TableNormal"/>
    <w:uiPriority w:val="99"/>
    <w:rsid w:val="006033A0"/>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033A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33A0"/>
    <w:rPr>
      <w:rFonts w:ascii="Tahoma" w:hAnsi="Tahoma" w:cs="Tahoma"/>
      <w:sz w:val="16"/>
      <w:szCs w:val="16"/>
    </w:rPr>
  </w:style>
  <w:style w:type="paragraph" w:styleId="ListParagraph">
    <w:name w:val="List Paragraph"/>
    <w:basedOn w:val="Normal"/>
    <w:uiPriority w:val="99"/>
    <w:qFormat/>
    <w:rsid w:val="0093151D"/>
    <w:pPr>
      <w:spacing w:after="200"/>
      <w:ind w:left="720"/>
      <w:contextualSpacing/>
    </w:pPr>
    <w:rPr>
      <w:rFonts w:ascii="Calibri" w:hAnsi="Calibri"/>
      <w:sz w:val="22"/>
    </w:rPr>
  </w:style>
  <w:style w:type="paragraph" w:styleId="Header">
    <w:name w:val="header"/>
    <w:basedOn w:val="Normal"/>
    <w:link w:val="HeaderChar"/>
    <w:uiPriority w:val="99"/>
    <w:unhideWhenUsed/>
    <w:rsid w:val="00FC624C"/>
    <w:pPr>
      <w:tabs>
        <w:tab w:val="center" w:pos="4680"/>
        <w:tab w:val="right" w:pos="9360"/>
      </w:tabs>
    </w:pPr>
  </w:style>
  <w:style w:type="character" w:customStyle="1" w:styleId="HeaderChar">
    <w:name w:val="Header Char"/>
    <w:basedOn w:val="DefaultParagraphFont"/>
    <w:link w:val="Header"/>
    <w:uiPriority w:val="99"/>
    <w:rsid w:val="00FC624C"/>
    <w:rPr>
      <w:rFonts w:ascii="Times New Roman" w:hAnsi="Times New Roman"/>
      <w:sz w:val="24"/>
    </w:rPr>
  </w:style>
  <w:style w:type="paragraph" w:styleId="Footer">
    <w:name w:val="footer"/>
    <w:basedOn w:val="Normal"/>
    <w:link w:val="FooterChar"/>
    <w:uiPriority w:val="99"/>
    <w:unhideWhenUsed/>
    <w:rsid w:val="00FC624C"/>
    <w:pPr>
      <w:tabs>
        <w:tab w:val="center" w:pos="4680"/>
        <w:tab w:val="right" w:pos="9360"/>
      </w:tabs>
    </w:pPr>
  </w:style>
  <w:style w:type="character" w:customStyle="1" w:styleId="FooterChar">
    <w:name w:val="Footer Char"/>
    <w:basedOn w:val="DefaultParagraphFont"/>
    <w:link w:val="Footer"/>
    <w:uiPriority w:val="99"/>
    <w:rsid w:val="00FC624C"/>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5</vt:lpstr>
    </vt:vector>
  </TitlesOfParts>
  <Company/>
  <LinksUpToDate>false</LinksUpToDate>
  <CharactersWithSpaces>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jrohlfs</dc:creator>
  <cp:lastModifiedBy>Owner</cp:lastModifiedBy>
  <cp:revision>4</cp:revision>
  <cp:lastPrinted>2012-10-05T13:05:00Z</cp:lastPrinted>
  <dcterms:created xsi:type="dcterms:W3CDTF">2012-10-05T17:33:00Z</dcterms:created>
  <dcterms:modified xsi:type="dcterms:W3CDTF">2012-10-05T17:34:00Z</dcterms:modified>
</cp:coreProperties>
</file>