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F8C" w:rsidRPr="00467231" w:rsidRDefault="00E54F8C" w:rsidP="00E54F8C">
      <w:pPr>
        <w:rPr>
          <w:rFonts w:cs="Verdana"/>
          <w:b/>
          <w:bCs/>
          <w:color w:val="004AC3"/>
          <w:sz w:val="24"/>
          <w:szCs w:val="24"/>
        </w:rPr>
      </w:pPr>
      <w:r w:rsidRPr="00E54F8C">
        <w:rPr>
          <w:rFonts w:cs="Verdana"/>
          <w:b/>
          <w:bCs/>
          <w:noProof/>
          <w:color w:val="004AC3"/>
          <w:sz w:val="24"/>
          <w:szCs w:val="24"/>
        </w:rPr>
        <w:drawing>
          <wp:inline distT="0" distB="0" distL="0" distR="0">
            <wp:extent cx="670560" cy="512350"/>
            <wp:effectExtent l="19050" t="0" r="0" b="0"/>
            <wp:docPr id="1"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cstate="print"/>
                    <a:srcRect/>
                    <a:stretch>
                      <a:fillRect/>
                    </a:stretch>
                  </pic:blipFill>
                  <pic:spPr bwMode="auto">
                    <a:xfrm>
                      <a:off x="0" y="0"/>
                      <a:ext cx="670560" cy="512350"/>
                    </a:xfrm>
                    <a:prstGeom prst="rect">
                      <a:avLst/>
                    </a:prstGeom>
                    <a:noFill/>
                    <a:ln w="9525">
                      <a:noFill/>
                      <a:miter lim="800000"/>
                      <a:headEnd/>
                      <a:tailEnd/>
                    </a:ln>
                  </pic:spPr>
                </pic:pic>
              </a:graphicData>
            </a:graphic>
          </wp:inline>
        </w:drawing>
      </w:r>
      <w:r w:rsidR="00467231">
        <w:rPr>
          <w:rFonts w:cs="Verdana"/>
          <w:b/>
          <w:bCs/>
          <w:color w:val="004AC3"/>
          <w:sz w:val="24"/>
          <w:szCs w:val="24"/>
        </w:rPr>
        <w:tab/>
      </w:r>
      <w:r w:rsidR="00467231">
        <w:rPr>
          <w:rFonts w:cs="Verdana"/>
          <w:b/>
          <w:bCs/>
          <w:color w:val="004AC3"/>
          <w:sz w:val="24"/>
          <w:szCs w:val="24"/>
        </w:rPr>
        <w:tab/>
      </w:r>
      <w:r w:rsidR="00EC41D0">
        <w:rPr>
          <w:b/>
          <w:sz w:val="24"/>
          <w:szCs w:val="24"/>
        </w:rPr>
        <w:t>COG’s Preliminary MD Phase II WIP Plan Analysis</w:t>
      </w:r>
    </w:p>
    <w:p w:rsidR="00EF0F8B" w:rsidRPr="00EF0F8B" w:rsidRDefault="00046617" w:rsidP="00E54F8C">
      <w:pPr>
        <w:rPr>
          <w:sz w:val="24"/>
          <w:szCs w:val="24"/>
        </w:rPr>
      </w:pPr>
      <w:r>
        <w:rPr>
          <w:sz w:val="24"/>
          <w:szCs w:val="24"/>
        </w:rPr>
        <w:t xml:space="preserve">COG staff </w:t>
      </w:r>
      <w:r w:rsidR="00E54F8C" w:rsidRPr="00EF0F8B">
        <w:rPr>
          <w:sz w:val="24"/>
          <w:szCs w:val="24"/>
        </w:rPr>
        <w:t xml:space="preserve">conducted a preliminary analysis for COG member jurisdictions of the urban stormwater and septic system portions of the overall data that MDE issued at the end of March to align county WIP team submissions with the final 2025 targets it has computed for county/source sector.  </w:t>
      </w:r>
      <w:r w:rsidR="00EF0F8B" w:rsidRPr="00EF0F8B">
        <w:rPr>
          <w:sz w:val="24"/>
          <w:szCs w:val="24"/>
        </w:rPr>
        <w:t xml:space="preserve">Below is </w:t>
      </w:r>
      <w:r>
        <w:rPr>
          <w:sz w:val="24"/>
          <w:szCs w:val="24"/>
        </w:rPr>
        <w:t>a table of “percent reductions”</w:t>
      </w:r>
      <w:r w:rsidR="00EF0F8B" w:rsidRPr="00EF0F8B">
        <w:rPr>
          <w:sz w:val="24"/>
          <w:szCs w:val="24"/>
        </w:rPr>
        <w:t xml:space="preserve"> </w:t>
      </w:r>
      <w:r>
        <w:rPr>
          <w:sz w:val="24"/>
          <w:szCs w:val="24"/>
        </w:rPr>
        <w:t xml:space="preserve">extracted by COG staff from the Maryland data, </w:t>
      </w:r>
      <w:r w:rsidR="00EF0F8B" w:rsidRPr="00EF0F8B">
        <w:rPr>
          <w:sz w:val="24"/>
          <w:szCs w:val="24"/>
        </w:rPr>
        <w:t>a link to MDE’</w:t>
      </w:r>
      <w:r>
        <w:rPr>
          <w:sz w:val="24"/>
          <w:szCs w:val="24"/>
        </w:rPr>
        <w:t xml:space="preserve">s website for more information and </w:t>
      </w:r>
      <w:r w:rsidR="00EF0F8B" w:rsidRPr="00EF0F8B">
        <w:rPr>
          <w:sz w:val="24"/>
          <w:szCs w:val="24"/>
        </w:rPr>
        <w:t xml:space="preserve">three charts showing </w:t>
      </w:r>
      <w:r>
        <w:rPr>
          <w:sz w:val="24"/>
          <w:szCs w:val="24"/>
        </w:rPr>
        <w:t>breakdowns for planned reductions by source sectors.</w:t>
      </w:r>
    </w:p>
    <w:p w:rsidR="00046617" w:rsidRDefault="00E54F8C" w:rsidP="00E54F8C">
      <w:pPr>
        <w:rPr>
          <w:sz w:val="24"/>
          <w:szCs w:val="24"/>
        </w:rPr>
      </w:pPr>
      <w:r w:rsidRPr="00EF0F8B">
        <w:rPr>
          <w:sz w:val="24"/>
          <w:szCs w:val="24"/>
        </w:rPr>
        <w:t>The data indicates that the WIP teams’ submitted scenarios for stormwater practices to be impleme</w:t>
      </w:r>
      <w:r w:rsidR="00046617">
        <w:rPr>
          <w:sz w:val="24"/>
          <w:szCs w:val="24"/>
        </w:rPr>
        <w:t xml:space="preserve">nted by 2025 did not necessarily meet </w:t>
      </w:r>
      <w:r w:rsidRPr="00EF0F8B">
        <w:rPr>
          <w:sz w:val="24"/>
          <w:szCs w:val="24"/>
        </w:rPr>
        <w:t xml:space="preserve">state target numbers. </w:t>
      </w:r>
      <w:r w:rsidR="00046617">
        <w:rPr>
          <w:sz w:val="24"/>
          <w:szCs w:val="24"/>
        </w:rPr>
        <w:t xml:space="preserve">However, it is important to note that </w:t>
      </w:r>
      <w:r w:rsidR="00B36E99">
        <w:rPr>
          <w:sz w:val="24"/>
          <w:szCs w:val="24"/>
        </w:rPr>
        <w:t>county-wide totals include target load obligations for lands outside county control, such as state, federal and Phase II municipality land. Also, these numbers are based on current watershed model estimates, which are subject to</w:t>
      </w:r>
      <w:r w:rsidR="00467231">
        <w:rPr>
          <w:sz w:val="24"/>
          <w:szCs w:val="24"/>
        </w:rPr>
        <w:t xml:space="preserve"> future change and may be signi</w:t>
      </w:r>
      <w:r w:rsidR="00B36E99">
        <w:rPr>
          <w:sz w:val="24"/>
          <w:szCs w:val="24"/>
        </w:rPr>
        <w:t>ficantly inaccurate, such as in the septic sector.</w:t>
      </w:r>
    </w:p>
    <w:p w:rsidR="00E54F8C" w:rsidRPr="00EF0F8B" w:rsidRDefault="00B36E99" w:rsidP="00E54F8C">
      <w:pPr>
        <w:rPr>
          <w:sz w:val="24"/>
          <w:szCs w:val="24"/>
        </w:rPr>
      </w:pPr>
      <w:r>
        <w:rPr>
          <w:sz w:val="24"/>
          <w:szCs w:val="24"/>
        </w:rPr>
        <w:t>Nevertheless, MDE, u</w:t>
      </w:r>
      <w:r w:rsidR="00E54F8C" w:rsidRPr="00EF0F8B">
        <w:rPr>
          <w:sz w:val="24"/>
          <w:szCs w:val="24"/>
        </w:rPr>
        <w:t>sing MAST out</w:t>
      </w:r>
      <w:r>
        <w:rPr>
          <w:sz w:val="24"/>
          <w:szCs w:val="24"/>
        </w:rPr>
        <w:t xml:space="preserve">put, has </w:t>
      </w:r>
      <w:r w:rsidR="00E54F8C" w:rsidRPr="00EF0F8B">
        <w:rPr>
          <w:sz w:val="24"/>
          <w:szCs w:val="24"/>
        </w:rPr>
        <w:t>updated the WIP team scenarios (see results under the 2025 Final Strategy column) to achieve the target reductions</w:t>
      </w:r>
      <w:r>
        <w:rPr>
          <w:sz w:val="24"/>
          <w:szCs w:val="24"/>
        </w:rPr>
        <w:t xml:space="preserve"> it has calculated for each sector</w:t>
      </w:r>
      <w:r w:rsidR="00E54F8C" w:rsidRPr="00EF0F8B">
        <w:rPr>
          <w:sz w:val="24"/>
          <w:szCs w:val="24"/>
        </w:rPr>
        <w:t>. According to Lee Currey of MDE, for the urban stormwater sector, this generally involved adding additional acres of certain BMPs until the</w:t>
      </w:r>
      <w:r w:rsidR="00EF0F8B" w:rsidRPr="00EF0F8B">
        <w:rPr>
          <w:sz w:val="24"/>
          <w:szCs w:val="24"/>
        </w:rPr>
        <w:t xml:space="preserve"> phosphorus target was achieved (</w:t>
      </w:r>
      <w:r w:rsidR="00E54F8C" w:rsidRPr="00EF0F8B">
        <w:rPr>
          <w:sz w:val="24"/>
          <w:szCs w:val="24"/>
        </w:rPr>
        <w:t>i.e., achieving the phosphorus target was more difficult than achieving the nitrogen target</w:t>
      </w:r>
      <w:r w:rsidR="00EF0F8B" w:rsidRPr="00EF0F8B">
        <w:rPr>
          <w:sz w:val="24"/>
          <w:szCs w:val="24"/>
        </w:rPr>
        <w:t>)</w:t>
      </w:r>
      <w:r w:rsidR="00E54F8C" w:rsidRPr="00EF0F8B">
        <w:rPr>
          <w:sz w:val="24"/>
          <w:szCs w:val="24"/>
        </w:rPr>
        <w:t>. However, since the new practices added by the state also reduce nitrogen, there are additional reductions from the 2025 WIP Team</w:t>
      </w:r>
      <w:r w:rsidR="00EF0F8B" w:rsidRPr="00EF0F8B">
        <w:rPr>
          <w:sz w:val="24"/>
          <w:szCs w:val="24"/>
        </w:rPr>
        <w:t xml:space="preserve"> Column to the 2025 Final Strategy Column</w:t>
      </w:r>
      <w:r w:rsidR="00E54F8C" w:rsidRPr="00EF0F8B">
        <w:rPr>
          <w:sz w:val="24"/>
          <w:szCs w:val="24"/>
        </w:rPr>
        <w:t xml:space="preserve"> for nitrogen as well. In fact, in many cases the 2025 Final Strategy nitrogen total is lower than the Final Target nitrogen total.</w:t>
      </w:r>
    </w:p>
    <w:p w:rsidR="00E54F8C" w:rsidRPr="00EF0F8B" w:rsidRDefault="00E54F8C" w:rsidP="00E54F8C">
      <w:pPr>
        <w:rPr>
          <w:sz w:val="24"/>
          <w:szCs w:val="24"/>
        </w:rPr>
      </w:pPr>
      <w:r w:rsidRPr="00EF0F8B">
        <w:rPr>
          <w:sz w:val="24"/>
          <w:szCs w:val="24"/>
        </w:rPr>
        <w:t>In the case of septic systems, none of the WIP team scenarios addressed load reductions in this sector, so MDE added denitrification retrofits of existing systems to reach the final target load.</w:t>
      </w:r>
    </w:p>
    <w:p w:rsidR="00EF0F8B" w:rsidRDefault="00E54F8C" w:rsidP="00C839CC">
      <w:pPr>
        <w:rPr>
          <w:sz w:val="24"/>
          <w:szCs w:val="24"/>
        </w:rPr>
      </w:pPr>
      <w:r w:rsidRPr="00EF0F8B">
        <w:rPr>
          <w:sz w:val="24"/>
          <w:szCs w:val="24"/>
        </w:rPr>
        <w:t xml:space="preserve">Currey said that the state numbers are preliminary and MDE does not necessarily expect that counties will be able to achieve these BMP totals by 2025. However, they provide a basis for counties to plan future implementation and determine where trading and other adjustments may be necessary. </w:t>
      </w:r>
    </w:p>
    <w:p w:rsidR="00B36E99" w:rsidRDefault="00B36E99" w:rsidP="00C839CC">
      <w:pPr>
        <w:rPr>
          <w:sz w:val="24"/>
          <w:szCs w:val="24"/>
        </w:rPr>
      </w:pPr>
    </w:p>
    <w:p w:rsidR="00467231" w:rsidRDefault="00467231" w:rsidP="00C839CC">
      <w:pPr>
        <w:rPr>
          <w:sz w:val="24"/>
          <w:szCs w:val="24"/>
        </w:rPr>
      </w:pPr>
    </w:p>
    <w:p w:rsidR="0032073A" w:rsidRPr="0032073A" w:rsidRDefault="00B36E99">
      <w:pPr>
        <w:rPr>
          <w:sz w:val="24"/>
          <w:szCs w:val="24"/>
        </w:rPr>
      </w:pPr>
      <w:r>
        <w:rPr>
          <w:rFonts w:cs="Verdana"/>
          <w:b/>
          <w:bCs/>
          <w:sz w:val="24"/>
          <w:szCs w:val="24"/>
        </w:rPr>
        <w:t>Percent reduction data derived from</w:t>
      </w:r>
      <w:r w:rsidR="0032073A" w:rsidRPr="00EF0F8B">
        <w:rPr>
          <w:rFonts w:cs="Verdana"/>
          <w:b/>
          <w:bCs/>
          <w:sz w:val="24"/>
          <w:szCs w:val="24"/>
        </w:rPr>
        <w:t xml:space="preserve">: </w:t>
      </w:r>
      <w:hyperlink r:id="rId10" w:history="1">
        <w:r w:rsidR="0032073A">
          <w:rPr>
            <w:rStyle w:val="Hyperlink"/>
          </w:rPr>
          <w:t>http://www.mde.state.md.us/programs/Water/TMDL/TMDLImplementation/Pages/WIP_Phase_II_County_Strategy_Summaries.aspx</w:t>
        </w:r>
      </w:hyperlink>
      <w:r w:rsidR="00467231">
        <w:t>*</w:t>
      </w:r>
    </w:p>
    <w:tbl>
      <w:tblPr>
        <w:tblW w:w="9581" w:type="dxa"/>
        <w:tblInd w:w="-23" w:type="dxa"/>
        <w:tblCellMar>
          <w:left w:w="0" w:type="dxa"/>
          <w:right w:w="0" w:type="dxa"/>
        </w:tblCellMar>
        <w:tblLook w:val="04A0"/>
      </w:tblPr>
      <w:tblGrid>
        <w:gridCol w:w="739"/>
        <w:gridCol w:w="2272"/>
        <w:gridCol w:w="2160"/>
        <w:gridCol w:w="2160"/>
        <w:gridCol w:w="2250"/>
      </w:tblGrid>
      <w:tr w:rsidR="00EC0014" w:rsidTr="002740A8">
        <w:trPr>
          <w:trHeight w:val="1500"/>
        </w:trPr>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C0014" w:rsidRDefault="00EC0014">
            <w:pPr>
              <w:rPr>
                <w:rFonts w:ascii="Calibri" w:hAnsi="Calibri"/>
                <w:color w:val="000000"/>
              </w:rPr>
            </w:pPr>
            <w:r>
              <w:rPr>
                <w:color w:val="000000"/>
              </w:rPr>
              <w:t> </w:t>
            </w:r>
          </w:p>
        </w:tc>
        <w:tc>
          <w:tcPr>
            <w:tcW w:w="22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C0014" w:rsidRDefault="00EC0014">
            <w:pPr>
              <w:rPr>
                <w:rFonts w:ascii="Calibri" w:hAnsi="Calibri"/>
                <w:color w:val="000000"/>
              </w:rPr>
            </w:pPr>
            <w:r>
              <w:rPr>
                <w:color w:val="000000"/>
              </w:rPr>
              <w:t> </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C0014" w:rsidRDefault="00EC0014">
            <w:pPr>
              <w:rPr>
                <w:rFonts w:ascii="Calibri" w:hAnsi="Calibri"/>
                <w:b/>
                <w:bCs/>
                <w:color w:val="000000"/>
              </w:rPr>
            </w:pPr>
            <w:r>
              <w:rPr>
                <w:b/>
                <w:bCs/>
                <w:color w:val="000000"/>
              </w:rPr>
              <w:t>Percent Reduction 2010</w:t>
            </w:r>
            <w:r w:rsidR="00B36E99">
              <w:rPr>
                <w:b/>
                <w:bCs/>
                <w:color w:val="000000"/>
              </w:rPr>
              <w:t xml:space="preserve"> Progress</w:t>
            </w:r>
            <w:r>
              <w:rPr>
                <w:b/>
                <w:bCs/>
                <w:color w:val="000000"/>
              </w:rPr>
              <w:t xml:space="preserve"> to 2025 Final</w:t>
            </w:r>
            <w:r w:rsidR="00B36E99">
              <w:rPr>
                <w:b/>
                <w:bCs/>
                <w:color w:val="000000"/>
              </w:rPr>
              <w:t xml:space="preserve"> Strategy</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C0014" w:rsidRDefault="00EC0014">
            <w:pPr>
              <w:rPr>
                <w:rFonts w:ascii="Calibri" w:hAnsi="Calibri"/>
                <w:b/>
                <w:bCs/>
                <w:color w:val="000000"/>
              </w:rPr>
            </w:pPr>
            <w:r>
              <w:rPr>
                <w:b/>
                <w:bCs/>
                <w:color w:val="000000"/>
              </w:rPr>
              <w:t xml:space="preserve">Percent Reduction 2010 </w:t>
            </w:r>
            <w:r w:rsidR="00B36E99">
              <w:rPr>
                <w:b/>
                <w:bCs/>
                <w:color w:val="000000"/>
              </w:rPr>
              <w:t xml:space="preserve">Progress </w:t>
            </w:r>
            <w:r>
              <w:rPr>
                <w:b/>
                <w:bCs/>
                <w:color w:val="000000"/>
              </w:rPr>
              <w:t>to 2025 WIP Team</w:t>
            </w:r>
            <w:r w:rsidR="00046617">
              <w:rPr>
                <w:rStyle w:val="FootnoteReference"/>
                <w:b/>
                <w:bCs/>
                <w:color w:val="000000"/>
              </w:rPr>
              <w:footnoteReference w:id="1"/>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C0014" w:rsidRDefault="00EC0014">
            <w:pPr>
              <w:rPr>
                <w:rFonts w:ascii="Calibri" w:hAnsi="Calibri"/>
                <w:b/>
                <w:bCs/>
                <w:color w:val="000000"/>
              </w:rPr>
            </w:pPr>
            <w:r>
              <w:rPr>
                <w:b/>
                <w:bCs/>
                <w:color w:val="000000"/>
              </w:rPr>
              <w:t>Percent Reduction 2025 WIP Team to 2025 Final</w:t>
            </w:r>
            <w:r w:rsidR="00B36E99">
              <w:rPr>
                <w:b/>
                <w:bCs/>
                <w:color w:val="000000"/>
              </w:rPr>
              <w:t xml:space="preserve"> Strategy</w:t>
            </w:r>
          </w:p>
        </w:tc>
      </w:tr>
      <w:tr w:rsidR="00EC0014" w:rsidTr="002740A8">
        <w:trPr>
          <w:trHeight w:val="682"/>
        </w:trPr>
        <w:tc>
          <w:tcPr>
            <w:tcW w:w="739"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extDirection w:val="btLr"/>
            <w:vAlign w:val="bottom"/>
            <w:hideMark/>
          </w:tcPr>
          <w:p w:rsidR="00EC0014" w:rsidRDefault="00EC0014">
            <w:pPr>
              <w:jc w:val="center"/>
              <w:rPr>
                <w:rFonts w:ascii="Calibri" w:hAnsi="Calibri"/>
                <w:color w:val="000000"/>
              </w:rPr>
            </w:pPr>
            <w:r>
              <w:rPr>
                <w:color w:val="000000"/>
              </w:rPr>
              <w:t>Frederick</w:t>
            </w:r>
          </w:p>
        </w:tc>
        <w:tc>
          <w:tcPr>
            <w:tcW w:w="227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2740A8">
            <w:pPr>
              <w:rPr>
                <w:rFonts w:ascii="Calibri" w:hAnsi="Calibri"/>
                <w:color w:val="000000"/>
              </w:rPr>
            </w:pPr>
            <w:r>
              <w:rPr>
                <w:color w:val="000000"/>
              </w:rPr>
              <w:t>TN Urban Stormw</w:t>
            </w:r>
            <w:r w:rsidR="00EC0014">
              <w:rPr>
                <w:color w:val="000000"/>
              </w:rPr>
              <w:t>ater</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FB4D7C" w:rsidP="002740A8">
            <w:pPr>
              <w:jc w:val="center"/>
              <w:rPr>
                <w:rFonts w:ascii="Calibri" w:hAnsi="Calibri"/>
                <w:color w:val="000000"/>
              </w:rPr>
            </w:pPr>
            <w:r>
              <w:rPr>
                <w:color w:val="000000"/>
              </w:rPr>
              <w:t>12.0</w:t>
            </w:r>
            <w:r w:rsidR="00EC0014">
              <w:rPr>
                <w:color w:val="000000"/>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EC0014" w:rsidP="002740A8">
            <w:pPr>
              <w:jc w:val="center"/>
              <w:rPr>
                <w:rFonts w:ascii="Calibri" w:hAnsi="Calibri"/>
                <w:color w:val="000000"/>
              </w:rPr>
            </w:pPr>
            <w:r>
              <w:rPr>
                <w:color w:val="000000"/>
              </w:rPr>
              <w:t>1.54%</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FB4D7C" w:rsidP="002740A8">
            <w:pPr>
              <w:jc w:val="center"/>
              <w:rPr>
                <w:rFonts w:ascii="Calibri" w:hAnsi="Calibri"/>
                <w:color w:val="000000"/>
              </w:rPr>
            </w:pPr>
            <w:r>
              <w:rPr>
                <w:color w:val="000000"/>
              </w:rPr>
              <w:t>10.6</w:t>
            </w:r>
            <w:r w:rsidR="00EC0014">
              <w:rPr>
                <w:color w:val="000000"/>
              </w:rPr>
              <w:t>%</w:t>
            </w:r>
          </w:p>
        </w:tc>
      </w:tr>
      <w:tr w:rsidR="00EC0014" w:rsidTr="002740A8">
        <w:trPr>
          <w:trHeight w:val="610"/>
        </w:trPr>
        <w:tc>
          <w:tcPr>
            <w:tcW w:w="0" w:type="auto"/>
            <w:vMerge/>
            <w:tcBorders>
              <w:top w:val="nil"/>
              <w:left w:val="single" w:sz="8" w:space="0" w:color="auto"/>
              <w:bottom w:val="single" w:sz="8" w:space="0" w:color="000000"/>
              <w:right w:val="single" w:sz="8" w:space="0" w:color="auto"/>
            </w:tcBorders>
            <w:vAlign w:val="center"/>
            <w:hideMark/>
          </w:tcPr>
          <w:p w:rsidR="00EC0014" w:rsidRDefault="00EC0014">
            <w:pPr>
              <w:rPr>
                <w:rFonts w:ascii="Calibri" w:hAnsi="Calibri"/>
                <w:color w:val="000000"/>
              </w:rPr>
            </w:pPr>
          </w:p>
        </w:tc>
        <w:tc>
          <w:tcPr>
            <w:tcW w:w="227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2740A8">
            <w:pPr>
              <w:rPr>
                <w:rFonts w:ascii="Calibri" w:hAnsi="Calibri"/>
                <w:color w:val="000000"/>
              </w:rPr>
            </w:pPr>
            <w:r>
              <w:rPr>
                <w:color w:val="000000"/>
              </w:rPr>
              <w:t>TP Urban Stormw</w:t>
            </w:r>
            <w:r w:rsidR="00EC0014">
              <w:rPr>
                <w:color w:val="000000"/>
              </w:rPr>
              <w:t>ater</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FB4D7C" w:rsidP="002740A8">
            <w:pPr>
              <w:jc w:val="center"/>
              <w:rPr>
                <w:rFonts w:ascii="Calibri" w:hAnsi="Calibri"/>
                <w:color w:val="000000"/>
              </w:rPr>
            </w:pPr>
            <w:r>
              <w:rPr>
                <w:color w:val="000000"/>
              </w:rPr>
              <w:t>14.3</w:t>
            </w:r>
            <w:r w:rsidR="00EC0014">
              <w:rPr>
                <w:color w:val="000000"/>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FB4D7C" w:rsidP="002740A8">
            <w:pPr>
              <w:jc w:val="center"/>
              <w:rPr>
                <w:rFonts w:ascii="Calibri" w:hAnsi="Calibri"/>
                <w:color w:val="000000"/>
              </w:rPr>
            </w:pPr>
            <w:r>
              <w:rPr>
                <w:color w:val="000000"/>
              </w:rPr>
              <w:t>0.0</w:t>
            </w:r>
            <w:r w:rsidR="00EC0014">
              <w:rPr>
                <w:color w:val="000000"/>
              </w:rPr>
              <w:t>%</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FB4D7C" w:rsidP="002740A8">
            <w:pPr>
              <w:jc w:val="center"/>
              <w:rPr>
                <w:rFonts w:ascii="Calibri" w:hAnsi="Calibri"/>
                <w:color w:val="000000"/>
              </w:rPr>
            </w:pPr>
            <w:r>
              <w:rPr>
                <w:color w:val="000000"/>
              </w:rPr>
              <w:t>14.3</w:t>
            </w:r>
            <w:r w:rsidR="00EC0014">
              <w:rPr>
                <w:color w:val="000000"/>
              </w:rPr>
              <w:t>%</w:t>
            </w:r>
          </w:p>
        </w:tc>
      </w:tr>
      <w:tr w:rsidR="00EC0014" w:rsidTr="002740A8">
        <w:trPr>
          <w:trHeight w:val="600"/>
        </w:trPr>
        <w:tc>
          <w:tcPr>
            <w:tcW w:w="0" w:type="auto"/>
            <w:vMerge/>
            <w:tcBorders>
              <w:top w:val="nil"/>
              <w:left w:val="single" w:sz="8" w:space="0" w:color="auto"/>
              <w:bottom w:val="single" w:sz="8" w:space="0" w:color="000000"/>
              <w:right w:val="single" w:sz="8" w:space="0" w:color="auto"/>
            </w:tcBorders>
            <w:vAlign w:val="center"/>
            <w:hideMark/>
          </w:tcPr>
          <w:p w:rsidR="00EC0014" w:rsidRDefault="00EC0014">
            <w:pPr>
              <w:rPr>
                <w:rFonts w:ascii="Calibri" w:hAnsi="Calibri"/>
                <w:color w:val="000000"/>
              </w:rPr>
            </w:pPr>
          </w:p>
        </w:tc>
        <w:tc>
          <w:tcPr>
            <w:tcW w:w="227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EC0014">
            <w:pPr>
              <w:rPr>
                <w:rFonts w:ascii="Calibri" w:hAnsi="Calibri"/>
                <w:color w:val="000000"/>
              </w:rPr>
            </w:pPr>
            <w:r>
              <w:rPr>
                <w:color w:val="000000"/>
              </w:rPr>
              <w:t>TN Septic</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FB4D7C" w:rsidP="002740A8">
            <w:pPr>
              <w:jc w:val="center"/>
              <w:rPr>
                <w:rFonts w:ascii="Calibri" w:hAnsi="Calibri"/>
                <w:color w:val="000000"/>
              </w:rPr>
            </w:pPr>
            <w:r>
              <w:rPr>
                <w:color w:val="000000"/>
              </w:rPr>
              <w:t>24.5</w:t>
            </w:r>
            <w:r w:rsidR="00EC0014">
              <w:rPr>
                <w:color w:val="000000"/>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FB4D7C" w:rsidP="002740A8">
            <w:pPr>
              <w:jc w:val="center"/>
              <w:rPr>
                <w:rFonts w:ascii="Calibri" w:hAnsi="Calibri"/>
                <w:color w:val="000000"/>
              </w:rPr>
            </w:pPr>
            <w:r>
              <w:rPr>
                <w:color w:val="000000"/>
              </w:rPr>
              <w:t>0.0</w:t>
            </w:r>
            <w:r w:rsidR="00EC0014">
              <w:rPr>
                <w:color w:val="000000"/>
              </w:rPr>
              <w:t>%</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FB4D7C" w:rsidP="002740A8">
            <w:pPr>
              <w:jc w:val="center"/>
              <w:rPr>
                <w:rFonts w:ascii="Calibri" w:hAnsi="Calibri"/>
                <w:color w:val="000000"/>
              </w:rPr>
            </w:pPr>
            <w:r>
              <w:rPr>
                <w:color w:val="000000"/>
              </w:rPr>
              <w:t>24.5</w:t>
            </w:r>
            <w:r w:rsidR="00EC0014">
              <w:rPr>
                <w:color w:val="000000"/>
              </w:rPr>
              <w:t>%</w:t>
            </w:r>
          </w:p>
        </w:tc>
      </w:tr>
      <w:tr w:rsidR="00EC0014" w:rsidTr="002740A8">
        <w:trPr>
          <w:trHeight w:val="718"/>
        </w:trPr>
        <w:tc>
          <w:tcPr>
            <w:tcW w:w="739"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extDirection w:val="btLr"/>
            <w:vAlign w:val="bottom"/>
            <w:hideMark/>
          </w:tcPr>
          <w:p w:rsidR="00EC0014" w:rsidRDefault="00EC0014">
            <w:pPr>
              <w:jc w:val="center"/>
              <w:rPr>
                <w:rFonts w:ascii="Calibri" w:hAnsi="Calibri"/>
                <w:color w:val="000000"/>
              </w:rPr>
            </w:pPr>
            <w:r>
              <w:rPr>
                <w:color w:val="000000"/>
              </w:rPr>
              <w:t>Charles</w:t>
            </w:r>
          </w:p>
        </w:tc>
        <w:tc>
          <w:tcPr>
            <w:tcW w:w="227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2740A8">
            <w:pPr>
              <w:rPr>
                <w:rFonts w:ascii="Calibri" w:hAnsi="Calibri"/>
                <w:color w:val="000000"/>
              </w:rPr>
            </w:pPr>
            <w:r>
              <w:rPr>
                <w:color w:val="000000"/>
              </w:rPr>
              <w:t>TN Urban Stormw</w:t>
            </w:r>
            <w:r w:rsidR="00EC0014">
              <w:rPr>
                <w:color w:val="000000"/>
              </w:rPr>
              <w:t>ater</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A35426" w:rsidP="002740A8">
            <w:pPr>
              <w:jc w:val="center"/>
              <w:rPr>
                <w:rFonts w:ascii="Calibri" w:hAnsi="Calibri"/>
                <w:color w:val="000000"/>
              </w:rPr>
            </w:pPr>
            <w:r>
              <w:rPr>
                <w:color w:val="000000"/>
              </w:rPr>
              <w:t>20.9</w:t>
            </w:r>
            <w:r w:rsidR="00EC0014">
              <w:rPr>
                <w:color w:val="000000"/>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EC0014" w:rsidP="002740A8">
            <w:pPr>
              <w:jc w:val="center"/>
              <w:rPr>
                <w:rFonts w:ascii="Calibri" w:hAnsi="Calibri"/>
                <w:color w:val="000000"/>
              </w:rPr>
            </w:pPr>
            <w:r>
              <w:rPr>
                <w:color w:val="000000"/>
              </w:rPr>
              <w:t>0.84%</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A35426" w:rsidP="002740A8">
            <w:pPr>
              <w:jc w:val="center"/>
              <w:rPr>
                <w:rFonts w:ascii="Calibri" w:hAnsi="Calibri"/>
                <w:color w:val="000000"/>
              </w:rPr>
            </w:pPr>
            <w:r>
              <w:rPr>
                <w:color w:val="000000"/>
              </w:rPr>
              <w:t>20.3</w:t>
            </w:r>
            <w:r w:rsidR="00EC0014">
              <w:rPr>
                <w:color w:val="000000"/>
              </w:rPr>
              <w:t>%</w:t>
            </w:r>
          </w:p>
        </w:tc>
      </w:tr>
      <w:tr w:rsidR="00EC0014" w:rsidTr="002740A8">
        <w:trPr>
          <w:trHeight w:val="682"/>
        </w:trPr>
        <w:tc>
          <w:tcPr>
            <w:tcW w:w="0" w:type="auto"/>
            <w:vMerge/>
            <w:tcBorders>
              <w:top w:val="nil"/>
              <w:left w:val="single" w:sz="8" w:space="0" w:color="auto"/>
              <w:bottom w:val="single" w:sz="8" w:space="0" w:color="000000"/>
              <w:right w:val="single" w:sz="8" w:space="0" w:color="auto"/>
            </w:tcBorders>
            <w:vAlign w:val="center"/>
            <w:hideMark/>
          </w:tcPr>
          <w:p w:rsidR="00EC0014" w:rsidRDefault="00EC0014">
            <w:pPr>
              <w:rPr>
                <w:rFonts w:ascii="Calibri" w:hAnsi="Calibri"/>
                <w:color w:val="000000"/>
              </w:rPr>
            </w:pPr>
          </w:p>
        </w:tc>
        <w:tc>
          <w:tcPr>
            <w:tcW w:w="227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2740A8">
            <w:pPr>
              <w:rPr>
                <w:rFonts w:ascii="Calibri" w:hAnsi="Calibri"/>
                <w:color w:val="000000"/>
              </w:rPr>
            </w:pPr>
            <w:r>
              <w:rPr>
                <w:color w:val="000000"/>
              </w:rPr>
              <w:t>TP Urban Stormw</w:t>
            </w:r>
            <w:r w:rsidR="00EC0014">
              <w:rPr>
                <w:color w:val="000000"/>
              </w:rPr>
              <w:t>ater</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A35426" w:rsidP="002740A8">
            <w:pPr>
              <w:jc w:val="center"/>
              <w:rPr>
                <w:rFonts w:ascii="Calibri" w:hAnsi="Calibri"/>
                <w:color w:val="000000"/>
              </w:rPr>
            </w:pPr>
            <w:r>
              <w:rPr>
                <w:color w:val="000000"/>
              </w:rPr>
              <w:t>20.0</w:t>
            </w:r>
            <w:r w:rsidR="00EC0014">
              <w:rPr>
                <w:color w:val="000000"/>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A35426" w:rsidP="002740A8">
            <w:pPr>
              <w:jc w:val="center"/>
              <w:rPr>
                <w:rFonts w:ascii="Calibri" w:hAnsi="Calibri"/>
                <w:color w:val="000000"/>
              </w:rPr>
            </w:pPr>
            <w:r>
              <w:rPr>
                <w:color w:val="000000"/>
              </w:rPr>
              <w:t>0.</w:t>
            </w:r>
            <w:r w:rsidR="00EC0014">
              <w:rPr>
                <w:color w:val="000000"/>
              </w:rPr>
              <w:t>0%</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A35426" w:rsidP="002740A8">
            <w:pPr>
              <w:jc w:val="center"/>
              <w:rPr>
                <w:rFonts w:ascii="Calibri" w:hAnsi="Calibri"/>
                <w:color w:val="000000"/>
              </w:rPr>
            </w:pPr>
            <w:r>
              <w:rPr>
                <w:color w:val="000000"/>
              </w:rPr>
              <w:t>20.</w:t>
            </w:r>
            <w:r w:rsidR="00EC0014">
              <w:rPr>
                <w:color w:val="000000"/>
              </w:rPr>
              <w:t>0%</w:t>
            </w:r>
          </w:p>
        </w:tc>
      </w:tr>
      <w:tr w:rsidR="00EC0014" w:rsidTr="002740A8">
        <w:trPr>
          <w:trHeight w:val="600"/>
        </w:trPr>
        <w:tc>
          <w:tcPr>
            <w:tcW w:w="0" w:type="auto"/>
            <w:vMerge/>
            <w:tcBorders>
              <w:top w:val="nil"/>
              <w:left w:val="single" w:sz="8" w:space="0" w:color="auto"/>
              <w:bottom w:val="single" w:sz="8" w:space="0" w:color="000000"/>
              <w:right w:val="single" w:sz="8" w:space="0" w:color="auto"/>
            </w:tcBorders>
            <w:vAlign w:val="center"/>
            <w:hideMark/>
          </w:tcPr>
          <w:p w:rsidR="00EC0014" w:rsidRDefault="00EC0014">
            <w:pPr>
              <w:rPr>
                <w:rFonts w:ascii="Calibri" w:hAnsi="Calibri"/>
                <w:color w:val="000000"/>
              </w:rPr>
            </w:pPr>
          </w:p>
        </w:tc>
        <w:tc>
          <w:tcPr>
            <w:tcW w:w="227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EC0014">
            <w:pPr>
              <w:rPr>
                <w:rFonts w:ascii="Calibri" w:hAnsi="Calibri"/>
                <w:color w:val="000000"/>
              </w:rPr>
            </w:pPr>
            <w:r>
              <w:rPr>
                <w:color w:val="000000"/>
              </w:rPr>
              <w:t>TN Septic</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A35426" w:rsidP="002740A8">
            <w:pPr>
              <w:jc w:val="center"/>
              <w:rPr>
                <w:rFonts w:ascii="Calibri" w:hAnsi="Calibri"/>
                <w:color w:val="000000"/>
              </w:rPr>
            </w:pPr>
            <w:r>
              <w:rPr>
                <w:color w:val="000000"/>
              </w:rPr>
              <w:t>33.2</w:t>
            </w:r>
            <w:r w:rsidR="00EC0014">
              <w:rPr>
                <w:color w:val="000000"/>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A35426" w:rsidP="002740A8">
            <w:pPr>
              <w:jc w:val="center"/>
              <w:rPr>
                <w:rFonts w:ascii="Calibri" w:hAnsi="Calibri"/>
                <w:color w:val="000000"/>
              </w:rPr>
            </w:pPr>
            <w:r>
              <w:rPr>
                <w:color w:val="000000"/>
              </w:rPr>
              <w:t>0.0</w:t>
            </w:r>
            <w:r w:rsidR="00EC0014">
              <w:rPr>
                <w:color w:val="000000"/>
              </w:rPr>
              <w:t>%</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A35426" w:rsidP="002740A8">
            <w:pPr>
              <w:jc w:val="center"/>
              <w:rPr>
                <w:rFonts w:ascii="Calibri" w:hAnsi="Calibri"/>
                <w:color w:val="000000"/>
              </w:rPr>
            </w:pPr>
            <w:r>
              <w:rPr>
                <w:color w:val="000000"/>
              </w:rPr>
              <w:t>33.2</w:t>
            </w:r>
            <w:r w:rsidR="00EC0014">
              <w:rPr>
                <w:color w:val="000000"/>
              </w:rPr>
              <w:t>%</w:t>
            </w:r>
          </w:p>
        </w:tc>
      </w:tr>
      <w:tr w:rsidR="00EC0014" w:rsidTr="002740A8">
        <w:trPr>
          <w:trHeight w:val="628"/>
        </w:trPr>
        <w:tc>
          <w:tcPr>
            <w:tcW w:w="739"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extDirection w:val="btLr"/>
            <w:vAlign w:val="bottom"/>
            <w:hideMark/>
          </w:tcPr>
          <w:p w:rsidR="00EC0014" w:rsidRDefault="002740A8">
            <w:pPr>
              <w:jc w:val="center"/>
              <w:rPr>
                <w:rFonts w:ascii="Calibri" w:hAnsi="Calibri"/>
                <w:color w:val="000000"/>
              </w:rPr>
            </w:pPr>
            <w:r>
              <w:rPr>
                <w:color w:val="000000"/>
              </w:rPr>
              <w:t>Prince George’s</w:t>
            </w:r>
          </w:p>
        </w:tc>
        <w:tc>
          <w:tcPr>
            <w:tcW w:w="227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2740A8">
            <w:pPr>
              <w:rPr>
                <w:rFonts w:ascii="Calibri" w:hAnsi="Calibri"/>
                <w:color w:val="000000"/>
              </w:rPr>
            </w:pPr>
            <w:r>
              <w:rPr>
                <w:color w:val="000000"/>
              </w:rPr>
              <w:t>TN Urban Stormw</w:t>
            </w:r>
            <w:r w:rsidR="00EC0014">
              <w:rPr>
                <w:color w:val="000000"/>
              </w:rPr>
              <w:t>ater</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471B0B" w:rsidP="002740A8">
            <w:pPr>
              <w:jc w:val="center"/>
              <w:rPr>
                <w:rFonts w:ascii="Calibri" w:hAnsi="Calibri"/>
                <w:color w:val="000000"/>
              </w:rPr>
            </w:pPr>
            <w:r>
              <w:rPr>
                <w:color w:val="000000"/>
              </w:rPr>
              <w:t>24.4</w:t>
            </w:r>
            <w:r w:rsidR="00EC0014">
              <w:rPr>
                <w:color w:val="000000"/>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471B0B" w:rsidP="002740A8">
            <w:pPr>
              <w:jc w:val="center"/>
              <w:rPr>
                <w:rFonts w:ascii="Calibri" w:hAnsi="Calibri"/>
                <w:color w:val="000000"/>
              </w:rPr>
            </w:pPr>
            <w:r>
              <w:rPr>
                <w:color w:val="000000"/>
              </w:rPr>
              <w:t>16.7</w:t>
            </w:r>
            <w:r w:rsidR="00EC0014">
              <w:rPr>
                <w:color w:val="000000"/>
              </w:rPr>
              <w:t>%</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471B0B" w:rsidP="002740A8">
            <w:pPr>
              <w:jc w:val="center"/>
              <w:rPr>
                <w:rFonts w:ascii="Calibri" w:hAnsi="Calibri"/>
                <w:color w:val="000000"/>
              </w:rPr>
            </w:pPr>
            <w:r>
              <w:rPr>
                <w:color w:val="000000"/>
              </w:rPr>
              <w:t>9.3</w:t>
            </w:r>
            <w:r w:rsidR="00EC0014">
              <w:rPr>
                <w:color w:val="000000"/>
              </w:rPr>
              <w:t>%</w:t>
            </w:r>
          </w:p>
        </w:tc>
      </w:tr>
      <w:tr w:rsidR="00EC0014" w:rsidTr="002740A8">
        <w:trPr>
          <w:trHeight w:val="610"/>
        </w:trPr>
        <w:tc>
          <w:tcPr>
            <w:tcW w:w="0" w:type="auto"/>
            <w:vMerge/>
            <w:tcBorders>
              <w:top w:val="nil"/>
              <w:left w:val="single" w:sz="8" w:space="0" w:color="auto"/>
              <w:bottom w:val="single" w:sz="8" w:space="0" w:color="000000"/>
              <w:right w:val="single" w:sz="8" w:space="0" w:color="auto"/>
            </w:tcBorders>
            <w:vAlign w:val="center"/>
            <w:hideMark/>
          </w:tcPr>
          <w:p w:rsidR="00EC0014" w:rsidRDefault="00EC0014">
            <w:pPr>
              <w:rPr>
                <w:rFonts w:ascii="Calibri" w:hAnsi="Calibri"/>
                <w:color w:val="000000"/>
              </w:rPr>
            </w:pPr>
          </w:p>
        </w:tc>
        <w:tc>
          <w:tcPr>
            <w:tcW w:w="227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2740A8">
            <w:pPr>
              <w:rPr>
                <w:rFonts w:ascii="Calibri" w:hAnsi="Calibri"/>
                <w:color w:val="000000"/>
              </w:rPr>
            </w:pPr>
            <w:r>
              <w:rPr>
                <w:color w:val="000000"/>
              </w:rPr>
              <w:t>TP Urban Stormw</w:t>
            </w:r>
            <w:r w:rsidR="00EC0014">
              <w:rPr>
                <w:color w:val="000000"/>
              </w:rPr>
              <w:t>ater</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471B0B" w:rsidP="002740A8">
            <w:pPr>
              <w:jc w:val="center"/>
              <w:rPr>
                <w:rFonts w:ascii="Calibri" w:hAnsi="Calibri"/>
                <w:color w:val="000000"/>
              </w:rPr>
            </w:pPr>
            <w:r>
              <w:rPr>
                <w:color w:val="000000"/>
              </w:rPr>
              <w:t>25.0</w:t>
            </w:r>
            <w:r w:rsidR="00EC0014">
              <w:rPr>
                <w:color w:val="000000"/>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471B0B" w:rsidP="002740A8">
            <w:pPr>
              <w:jc w:val="center"/>
              <w:rPr>
                <w:rFonts w:ascii="Calibri" w:hAnsi="Calibri"/>
                <w:color w:val="000000"/>
              </w:rPr>
            </w:pPr>
            <w:r>
              <w:rPr>
                <w:color w:val="000000"/>
              </w:rPr>
              <w:t>16.7</w:t>
            </w:r>
            <w:r w:rsidR="00EC0014">
              <w:rPr>
                <w:color w:val="000000"/>
              </w:rPr>
              <w:t>%</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471B0B" w:rsidP="002740A8">
            <w:pPr>
              <w:jc w:val="center"/>
              <w:rPr>
                <w:rFonts w:ascii="Calibri" w:hAnsi="Calibri"/>
                <w:color w:val="000000"/>
              </w:rPr>
            </w:pPr>
            <w:r>
              <w:rPr>
                <w:color w:val="000000"/>
              </w:rPr>
              <w:t>10.0</w:t>
            </w:r>
            <w:r w:rsidR="00EC0014">
              <w:rPr>
                <w:color w:val="000000"/>
              </w:rPr>
              <w:t>%</w:t>
            </w:r>
          </w:p>
        </w:tc>
      </w:tr>
      <w:tr w:rsidR="00EC0014" w:rsidTr="002740A8">
        <w:trPr>
          <w:trHeight w:val="520"/>
        </w:trPr>
        <w:tc>
          <w:tcPr>
            <w:tcW w:w="0" w:type="auto"/>
            <w:vMerge/>
            <w:tcBorders>
              <w:top w:val="nil"/>
              <w:left w:val="single" w:sz="8" w:space="0" w:color="auto"/>
              <w:bottom w:val="single" w:sz="8" w:space="0" w:color="000000"/>
              <w:right w:val="single" w:sz="8" w:space="0" w:color="auto"/>
            </w:tcBorders>
            <w:vAlign w:val="center"/>
            <w:hideMark/>
          </w:tcPr>
          <w:p w:rsidR="00EC0014" w:rsidRDefault="00EC0014">
            <w:pPr>
              <w:rPr>
                <w:rFonts w:ascii="Calibri" w:hAnsi="Calibri"/>
                <w:color w:val="000000"/>
              </w:rPr>
            </w:pPr>
          </w:p>
        </w:tc>
        <w:tc>
          <w:tcPr>
            <w:tcW w:w="227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EC0014">
            <w:pPr>
              <w:rPr>
                <w:rFonts w:ascii="Calibri" w:hAnsi="Calibri"/>
                <w:color w:val="000000"/>
              </w:rPr>
            </w:pPr>
            <w:r>
              <w:rPr>
                <w:color w:val="000000"/>
              </w:rPr>
              <w:t>TN Septic</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471B0B" w:rsidP="002740A8">
            <w:pPr>
              <w:jc w:val="center"/>
              <w:rPr>
                <w:rFonts w:ascii="Calibri" w:hAnsi="Calibri"/>
                <w:color w:val="000000"/>
              </w:rPr>
            </w:pPr>
            <w:r>
              <w:rPr>
                <w:color w:val="000000"/>
              </w:rPr>
              <w:t>-34.0</w:t>
            </w:r>
            <w:r w:rsidR="00EC0014">
              <w:rPr>
                <w:color w:val="000000"/>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471B0B" w:rsidP="002740A8">
            <w:pPr>
              <w:jc w:val="center"/>
              <w:rPr>
                <w:rFonts w:ascii="Calibri" w:hAnsi="Calibri"/>
                <w:color w:val="000000"/>
              </w:rPr>
            </w:pPr>
            <w:r>
              <w:rPr>
                <w:color w:val="000000"/>
              </w:rPr>
              <w:t>0.0</w:t>
            </w:r>
            <w:r w:rsidR="00EC0014">
              <w:rPr>
                <w:color w:val="000000"/>
              </w:rPr>
              <w:t>%</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471B0B" w:rsidP="002740A8">
            <w:pPr>
              <w:jc w:val="center"/>
              <w:rPr>
                <w:rFonts w:ascii="Calibri" w:hAnsi="Calibri"/>
                <w:color w:val="000000"/>
              </w:rPr>
            </w:pPr>
            <w:r>
              <w:rPr>
                <w:color w:val="000000"/>
              </w:rPr>
              <w:t>34.0</w:t>
            </w:r>
            <w:r w:rsidR="00EC0014">
              <w:rPr>
                <w:color w:val="000000"/>
              </w:rPr>
              <w:t>%</w:t>
            </w:r>
          </w:p>
        </w:tc>
      </w:tr>
      <w:tr w:rsidR="00EC0014" w:rsidTr="002740A8">
        <w:trPr>
          <w:trHeight w:val="610"/>
        </w:trPr>
        <w:tc>
          <w:tcPr>
            <w:tcW w:w="739"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extDirection w:val="btLr"/>
            <w:vAlign w:val="bottom"/>
            <w:hideMark/>
          </w:tcPr>
          <w:p w:rsidR="00EC0014" w:rsidRDefault="002740A8">
            <w:pPr>
              <w:jc w:val="center"/>
              <w:rPr>
                <w:rFonts w:ascii="Calibri" w:hAnsi="Calibri"/>
                <w:color w:val="000000"/>
              </w:rPr>
            </w:pPr>
            <w:r>
              <w:rPr>
                <w:color w:val="000000"/>
              </w:rPr>
              <w:t xml:space="preserve">Montgomery </w:t>
            </w:r>
          </w:p>
        </w:tc>
        <w:tc>
          <w:tcPr>
            <w:tcW w:w="227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2740A8">
            <w:pPr>
              <w:rPr>
                <w:rFonts w:ascii="Calibri" w:hAnsi="Calibri"/>
                <w:color w:val="000000"/>
              </w:rPr>
            </w:pPr>
            <w:r>
              <w:rPr>
                <w:color w:val="000000"/>
              </w:rPr>
              <w:t>TN Urban Stormw</w:t>
            </w:r>
            <w:r w:rsidR="00EC0014">
              <w:rPr>
                <w:color w:val="000000"/>
              </w:rPr>
              <w:t>ater</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471B0B" w:rsidP="002740A8">
            <w:pPr>
              <w:jc w:val="center"/>
              <w:rPr>
                <w:rFonts w:ascii="Calibri" w:hAnsi="Calibri"/>
                <w:color w:val="000000"/>
              </w:rPr>
            </w:pPr>
            <w:r>
              <w:rPr>
                <w:color w:val="000000"/>
              </w:rPr>
              <w:t>17.7</w:t>
            </w:r>
            <w:r w:rsidR="00EC0014">
              <w:rPr>
                <w:color w:val="000000"/>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471B0B" w:rsidP="002740A8">
            <w:pPr>
              <w:jc w:val="center"/>
              <w:rPr>
                <w:rFonts w:ascii="Calibri" w:hAnsi="Calibri"/>
                <w:color w:val="000000"/>
              </w:rPr>
            </w:pPr>
            <w:r>
              <w:rPr>
                <w:color w:val="000000"/>
              </w:rPr>
              <w:t>7.4</w:t>
            </w:r>
            <w:r w:rsidR="00EC0014">
              <w:rPr>
                <w:color w:val="000000"/>
              </w:rPr>
              <w:t>%</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471B0B" w:rsidP="002740A8">
            <w:pPr>
              <w:jc w:val="center"/>
              <w:rPr>
                <w:rFonts w:ascii="Calibri" w:hAnsi="Calibri"/>
                <w:color w:val="000000"/>
              </w:rPr>
            </w:pPr>
            <w:r>
              <w:rPr>
                <w:color w:val="000000"/>
              </w:rPr>
              <w:t>11.1</w:t>
            </w:r>
            <w:r w:rsidR="00EC0014">
              <w:rPr>
                <w:color w:val="000000"/>
              </w:rPr>
              <w:t>%</w:t>
            </w:r>
          </w:p>
        </w:tc>
      </w:tr>
      <w:tr w:rsidR="00EC0014" w:rsidTr="002740A8">
        <w:trPr>
          <w:trHeight w:val="610"/>
        </w:trPr>
        <w:tc>
          <w:tcPr>
            <w:tcW w:w="0" w:type="auto"/>
            <w:vMerge/>
            <w:tcBorders>
              <w:top w:val="nil"/>
              <w:left w:val="single" w:sz="8" w:space="0" w:color="auto"/>
              <w:bottom w:val="single" w:sz="8" w:space="0" w:color="000000"/>
              <w:right w:val="single" w:sz="8" w:space="0" w:color="auto"/>
            </w:tcBorders>
            <w:vAlign w:val="center"/>
            <w:hideMark/>
          </w:tcPr>
          <w:p w:rsidR="00EC0014" w:rsidRDefault="00EC0014">
            <w:pPr>
              <w:rPr>
                <w:rFonts w:ascii="Calibri" w:hAnsi="Calibri"/>
                <w:color w:val="000000"/>
              </w:rPr>
            </w:pPr>
          </w:p>
        </w:tc>
        <w:tc>
          <w:tcPr>
            <w:tcW w:w="227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2740A8">
            <w:pPr>
              <w:rPr>
                <w:rFonts w:ascii="Calibri" w:hAnsi="Calibri"/>
                <w:color w:val="000000"/>
              </w:rPr>
            </w:pPr>
            <w:r>
              <w:rPr>
                <w:color w:val="000000"/>
              </w:rPr>
              <w:t>TP Urban Stormw</w:t>
            </w:r>
            <w:r w:rsidR="00EC0014">
              <w:rPr>
                <w:color w:val="000000"/>
              </w:rPr>
              <w:t>ater</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471B0B" w:rsidP="002740A8">
            <w:pPr>
              <w:jc w:val="center"/>
              <w:rPr>
                <w:rFonts w:ascii="Calibri" w:hAnsi="Calibri"/>
                <w:color w:val="000000"/>
              </w:rPr>
            </w:pPr>
            <w:r>
              <w:rPr>
                <w:color w:val="000000"/>
              </w:rPr>
              <w:t>21.2</w:t>
            </w:r>
            <w:r w:rsidR="00EC0014">
              <w:rPr>
                <w:color w:val="000000"/>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EC0014" w:rsidP="002740A8">
            <w:pPr>
              <w:jc w:val="center"/>
              <w:rPr>
                <w:rFonts w:ascii="Calibri" w:hAnsi="Calibri"/>
                <w:color w:val="000000"/>
              </w:rPr>
            </w:pPr>
            <w:r>
              <w:rPr>
                <w:color w:val="000000"/>
              </w:rPr>
              <w:t>11.2%</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EC0014" w:rsidP="002740A8">
            <w:pPr>
              <w:jc w:val="center"/>
              <w:rPr>
                <w:rFonts w:ascii="Calibri" w:hAnsi="Calibri"/>
                <w:color w:val="000000"/>
              </w:rPr>
            </w:pPr>
            <w:r>
              <w:rPr>
                <w:color w:val="000000"/>
              </w:rPr>
              <w:t>11.3%</w:t>
            </w:r>
          </w:p>
        </w:tc>
      </w:tr>
      <w:tr w:rsidR="00EC0014" w:rsidTr="002740A8">
        <w:trPr>
          <w:trHeight w:val="600"/>
        </w:trPr>
        <w:tc>
          <w:tcPr>
            <w:tcW w:w="0" w:type="auto"/>
            <w:vMerge/>
            <w:tcBorders>
              <w:top w:val="nil"/>
              <w:left w:val="single" w:sz="8" w:space="0" w:color="auto"/>
              <w:bottom w:val="single" w:sz="8" w:space="0" w:color="000000"/>
              <w:right w:val="single" w:sz="8" w:space="0" w:color="auto"/>
            </w:tcBorders>
            <w:vAlign w:val="center"/>
            <w:hideMark/>
          </w:tcPr>
          <w:p w:rsidR="00EC0014" w:rsidRDefault="00EC0014">
            <w:pPr>
              <w:rPr>
                <w:rFonts w:ascii="Calibri" w:hAnsi="Calibri"/>
                <w:color w:val="000000"/>
              </w:rPr>
            </w:pPr>
          </w:p>
        </w:tc>
        <w:tc>
          <w:tcPr>
            <w:tcW w:w="227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EC0014">
            <w:pPr>
              <w:rPr>
                <w:rFonts w:ascii="Calibri" w:hAnsi="Calibri"/>
                <w:color w:val="000000"/>
              </w:rPr>
            </w:pPr>
            <w:r>
              <w:rPr>
                <w:color w:val="000000"/>
              </w:rPr>
              <w:t>TN Septic</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471B0B" w:rsidP="002740A8">
            <w:pPr>
              <w:jc w:val="center"/>
              <w:rPr>
                <w:rFonts w:ascii="Calibri" w:hAnsi="Calibri"/>
                <w:color w:val="000000"/>
              </w:rPr>
            </w:pPr>
            <w:r>
              <w:rPr>
                <w:color w:val="000000"/>
              </w:rPr>
              <w:t>26.6</w:t>
            </w:r>
            <w:r w:rsidR="00EC0014">
              <w:rPr>
                <w:color w:val="000000"/>
              </w:rPr>
              <w:t>%</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471B0B" w:rsidP="002740A8">
            <w:pPr>
              <w:jc w:val="center"/>
              <w:rPr>
                <w:rFonts w:ascii="Calibri" w:hAnsi="Calibri"/>
                <w:color w:val="000000"/>
              </w:rPr>
            </w:pPr>
            <w:r>
              <w:rPr>
                <w:color w:val="000000"/>
              </w:rPr>
              <w:t>0.0</w:t>
            </w:r>
            <w:r w:rsidR="00EC0014">
              <w:rPr>
                <w:color w:val="000000"/>
              </w:rPr>
              <w:t>%</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C0014" w:rsidRDefault="00471B0B" w:rsidP="002740A8">
            <w:pPr>
              <w:jc w:val="center"/>
              <w:rPr>
                <w:rFonts w:ascii="Calibri" w:hAnsi="Calibri"/>
                <w:color w:val="000000"/>
              </w:rPr>
            </w:pPr>
            <w:r>
              <w:rPr>
                <w:color w:val="000000"/>
              </w:rPr>
              <w:t>26.6</w:t>
            </w:r>
            <w:r w:rsidR="00EC0014">
              <w:rPr>
                <w:color w:val="000000"/>
              </w:rPr>
              <w:t>%</w:t>
            </w:r>
          </w:p>
        </w:tc>
      </w:tr>
    </w:tbl>
    <w:p w:rsidR="00E54F8C" w:rsidRPr="00B36E99" w:rsidRDefault="002C15BC" w:rsidP="00E54F8C">
      <w:pPr>
        <w:rPr>
          <w:sz w:val="18"/>
          <w:szCs w:val="18"/>
        </w:rPr>
      </w:pPr>
      <w:r w:rsidRPr="00B36E99">
        <w:rPr>
          <w:rFonts w:ascii="ArialMT" w:hAnsi="ArialMT" w:cs="ArialMT"/>
          <w:color w:val="000000"/>
          <w:sz w:val="18"/>
          <w:szCs w:val="18"/>
        </w:rPr>
        <w:t xml:space="preserve">• </w:t>
      </w:r>
      <w:r w:rsidR="0009266E" w:rsidRPr="00B36E99">
        <w:rPr>
          <w:rFonts w:ascii="ArialMT" w:hAnsi="ArialMT" w:cs="ArialMT"/>
          <w:color w:val="000000"/>
          <w:sz w:val="18"/>
          <w:szCs w:val="18"/>
        </w:rPr>
        <w:t>Data derived from MAST. Stormwater sector includes numbers from</w:t>
      </w:r>
      <w:r w:rsidRPr="00B36E99">
        <w:rPr>
          <w:rFonts w:ascii="ArialMT" w:hAnsi="ArialMT" w:cs="ArialMT"/>
          <w:color w:val="000000"/>
          <w:sz w:val="18"/>
          <w:szCs w:val="18"/>
        </w:rPr>
        <w:t xml:space="preserve"> t</w:t>
      </w:r>
      <w:r w:rsidR="0009266E" w:rsidRPr="00B36E99">
        <w:rPr>
          <w:rFonts w:ascii="ArialMT" w:hAnsi="ArialMT" w:cs="ArialMT"/>
          <w:color w:val="000000"/>
          <w:sz w:val="18"/>
          <w:szCs w:val="18"/>
        </w:rPr>
        <w:t>he following sectors: State Highway Administration</w:t>
      </w:r>
      <w:r w:rsidRPr="00B36E99">
        <w:rPr>
          <w:rFonts w:ascii="ArialMT" w:hAnsi="ArialMT" w:cs="ArialMT"/>
          <w:color w:val="000000"/>
          <w:sz w:val="18"/>
          <w:szCs w:val="18"/>
        </w:rPr>
        <w:t xml:space="preserve">, federal facilities, State lands, industrial facilities, Phase I and II MS4 and non-regulated stormwater where applicable. </w:t>
      </w:r>
      <w:r w:rsidR="00B36E99" w:rsidRPr="00B36E99">
        <w:rPr>
          <w:rFonts w:ascii="ArialMT" w:hAnsi="ArialMT" w:cs="ArialMT"/>
          <w:color w:val="000000"/>
          <w:sz w:val="18"/>
          <w:szCs w:val="18"/>
        </w:rPr>
        <w:t xml:space="preserve"> These inclusions could skew the county percentages significantly.</w:t>
      </w:r>
    </w:p>
    <w:p w:rsidR="00EC41D0" w:rsidRDefault="00EC41D0" w:rsidP="00EC41D0">
      <w:pPr>
        <w:jc w:val="center"/>
        <w:rPr>
          <w:b/>
          <w:sz w:val="24"/>
          <w:szCs w:val="24"/>
        </w:rPr>
      </w:pPr>
    </w:p>
    <w:p w:rsidR="004D77C1" w:rsidRDefault="004D77C1" w:rsidP="00EC41D0">
      <w:pPr>
        <w:rPr>
          <w:b/>
          <w:sz w:val="24"/>
          <w:szCs w:val="24"/>
        </w:rPr>
      </w:pPr>
    </w:p>
    <w:p w:rsidR="001A6BD5" w:rsidRPr="00EC41D0" w:rsidRDefault="00FD3062" w:rsidP="00467231">
      <w:pPr>
        <w:jc w:val="center"/>
        <w:rPr>
          <w:b/>
          <w:sz w:val="24"/>
          <w:szCs w:val="24"/>
        </w:rPr>
      </w:pPr>
      <w:r w:rsidRPr="002740A8">
        <w:rPr>
          <w:b/>
          <w:sz w:val="28"/>
          <w:szCs w:val="28"/>
        </w:rPr>
        <w:t>Total Nitrogen Reductions from Stormwater Sector</w:t>
      </w:r>
    </w:p>
    <w:p w:rsidR="00FD3062" w:rsidRDefault="004A3899">
      <w:r>
        <w:rPr>
          <w:noProof/>
          <w:lang w:eastAsia="zh-TW"/>
        </w:rPr>
        <w:lastRenderedPageBreak/>
        <w:pict>
          <v:shapetype id="_x0000_t202" coordsize="21600,21600" o:spt="202" path="m,l,21600r21600,l21600,xe">
            <v:stroke joinstyle="miter"/>
            <v:path gradientshapeok="t" o:connecttype="rect"/>
          </v:shapetype>
          <v:shape id="_x0000_s1026" type="#_x0000_t202" style="position:absolute;margin-left:5.35pt;margin-top:72.35pt;width:40.65pt;height:92.4pt;z-index:251660288;mso-width-relative:margin;mso-height-relative:margin" stroked="f">
            <v:textbox>
              <w:txbxContent>
                <w:p w:rsidR="00B36E99" w:rsidRPr="00FD3062" w:rsidRDefault="00B36E99">
                  <w:pPr>
                    <w:rPr>
                      <w:sz w:val="16"/>
                      <w:szCs w:val="16"/>
                    </w:rPr>
                  </w:pPr>
                  <w:r w:rsidRPr="00FD3062">
                    <w:rPr>
                      <w:sz w:val="16"/>
                      <w:szCs w:val="16"/>
                    </w:rPr>
                    <w:t>TN, thou</w:t>
                  </w:r>
                  <w:r>
                    <w:rPr>
                      <w:sz w:val="16"/>
                      <w:szCs w:val="16"/>
                    </w:rPr>
                    <w:t>-</w:t>
                  </w:r>
                  <w:r w:rsidRPr="00FD3062">
                    <w:rPr>
                      <w:sz w:val="16"/>
                      <w:szCs w:val="16"/>
                    </w:rPr>
                    <w:t>sands of pounds/year</w:t>
                  </w:r>
                </w:p>
              </w:txbxContent>
            </v:textbox>
          </v:shape>
        </w:pict>
      </w:r>
      <w:r w:rsidR="001A6BD5">
        <w:rPr>
          <w:noProof/>
        </w:rPr>
        <w:drawing>
          <wp:inline distT="0" distB="0" distL="0" distR="0">
            <wp:extent cx="6336684" cy="3698543"/>
            <wp:effectExtent l="19050" t="0" r="26016"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D3062" w:rsidRPr="002740A8" w:rsidRDefault="00FD3062" w:rsidP="002740A8">
      <w:pPr>
        <w:pStyle w:val="Caption"/>
        <w:keepNext/>
        <w:jc w:val="center"/>
        <w:rPr>
          <w:color w:val="auto"/>
          <w:sz w:val="28"/>
          <w:szCs w:val="28"/>
        </w:rPr>
      </w:pPr>
      <w:r w:rsidRPr="002740A8">
        <w:rPr>
          <w:color w:val="auto"/>
          <w:sz w:val="28"/>
          <w:szCs w:val="28"/>
        </w:rPr>
        <w:t>Total Phosphorus Reductions from Stormwater Sector</w:t>
      </w:r>
    </w:p>
    <w:p w:rsidR="00221FE1" w:rsidRDefault="004A3899">
      <w:r>
        <w:rPr>
          <w:noProof/>
        </w:rPr>
        <w:pict>
          <v:shape id="_x0000_s1027" type="#_x0000_t202" style="position:absolute;margin-left:2.5pt;margin-top:68.65pt;width:43.5pt;height:65.25pt;z-index:251661312;mso-width-relative:margin;mso-height-relative:margin" stroked="f">
            <v:textbox>
              <w:txbxContent>
                <w:p w:rsidR="00B36E99" w:rsidRPr="00FD3062" w:rsidRDefault="00B36E99" w:rsidP="00FD3062">
                  <w:pPr>
                    <w:rPr>
                      <w:sz w:val="16"/>
                      <w:szCs w:val="16"/>
                    </w:rPr>
                  </w:pPr>
                  <w:r>
                    <w:rPr>
                      <w:sz w:val="16"/>
                      <w:szCs w:val="16"/>
                    </w:rPr>
                    <w:t>TP</w:t>
                  </w:r>
                  <w:r w:rsidRPr="00FD3062">
                    <w:rPr>
                      <w:sz w:val="16"/>
                      <w:szCs w:val="16"/>
                    </w:rPr>
                    <w:t>, thou</w:t>
                  </w:r>
                  <w:r>
                    <w:rPr>
                      <w:sz w:val="16"/>
                      <w:szCs w:val="16"/>
                    </w:rPr>
                    <w:t>-</w:t>
                  </w:r>
                  <w:r w:rsidRPr="00FD3062">
                    <w:rPr>
                      <w:sz w:val="16"/>
                      <w:szCs w:val="16"/>
                    </w:rPr>
                    <w:t>sands of pounds/year</w:t>
                  </w:r>
                </w:p>
              </w:txbxContent>
            </v:textbox>
          </v:shape>
        </w:pict>
      </w:r>
      <w:r w:rsidR="00483116" w:rsidRPr="00483116">
        <w:rPr>
          <w:noProof/>
        </w:rPr>
        <w:drawing>
          <wp:inline distT="0" distB="0" distL="0" distR="0">
            <wp:extent cx="6163386" cy="3507475"/>
            <wp:effectExtent l="19050" t="0" r="27864"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21FE1" w:rsidRPr="00221FE1" w:rsidRDefault="00221FE1" w:rsidP="00221FE1">
      <w:pPr>
        <w:pStyle w:val="Caption"/>
        <w:keepNext/>
        <w:jc w:val="center"/>
        <w:rPr>
          <w:color w:val="auto"/>
          <w:sz w:val="32"/>
          <w:szCs w:val="32"/>
        </w:rPr>
      </w:pPr>
      <w:r w:rsidRPr="00221FE1">
        <w:rPr>
          <w:color w:val="auto"/>
          <w:sz w:val="32"/>
          <w:szCs w:val="32"/>
        </w:rPr>
        <w:t>Total Nitrogen Reductions from Septic Sector</w:t>
      </w:r>
    </w:p>
    <w:p w:rsidR="00FD3062" w:rsidRDefault="004A3899">
      <w:r>
        <w:rPr>
          <w:noProof/>
          <w:lang w:eastAsia="zh-TW"/>
        </w:rPr>
        <w:pict>
          <v:shape id="_x0000_s1028" type="#_x0000_t202" style="position:absolute;margin-left:8.55pt;margin-top:101.8pt;width:43.4pt;height:74.15pt;z-index:251663360;mso-width-relative:margin;mso-height-relative:margin">
            <v:textbox>
              <w:txbxContent>
                <w:p w:rsidR="00B36E99" w:rsidRPr="00221FE1" w:rsidRDefault="00B36E99">
                  <w:pPr>
                    <w:rPr>
                      <w:sz w:val="16"/>
                      <w:szCs w:val="16"/>
                    </w:rPr>
                  </w:pPr>
                  <w:r w:rsidRPr="00221FE1">
                    <w:rPr>
                      <w:sz w:val="16"/>
                      <w:szCs w:val="16"/>
                    </w:rPr>
                    <w:t>TN, thou</w:t>
                  </w:r>
                  <w:r>
                    <w:rPr>
                      <w:sz w:val="16"/>
                      <w:szCs w:val="16"/>
                    </w:rPr>
                    <w:t>-</w:t>
                  </w:r>
                  <w:r w:rsidRPr="00221FE1">
                    <w:rPr>
                      <w:sz w:val="16"/>
                      <w:szCs w:val="16"/>
                    </w:rPr>
                    <w:t>sands of pounds/year</w:t>
                  </w:r>
                </w:p>
              </w:txbxContent>
            </v:textbox>
          </v:shape>
        </w:pict>
      </w:r>
      <w:r w:rsidR="0009266E" w:rsidRPr="0009266E">
        <w:rPr>
          <w:noProof/>
        </w:rPr>
        <w:drawing>
          <wp:inline distT="0" distB="0" distL="0" distR="0">
            <wp:extent cx="5943600" cy="3469111"/>
            <wp:effectExtent l="19050" t="0" r="1905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D3062" w:rsidRPr="00EF0F8B" w:rsidRDefault="00FD3062">
      <w:pPr>
        <w:rPr>
          <w:sz w:val="24"/>
          <w:szCs w:val="24"/>
        </w:rPr>
      </w:pPr>
    </w:p>
    <w:p w:rsidR="00233371" w:rsidRPr="00EF0F8B" w:rsidRDefault="00233371">
      <w:pPr>
        <w:rPr>
          <w:sz w:val="24"/>
          <w:szCs w:val="24"/>
        </w:rPr>
      </w:pPr>
      <w:r w:rsidRPr="00EF0F8B">
        <w:rPr>
          <w:sz w:val="24"/>
          <w:szCs w:val="24"/>
        </w:rPr>
        <w:t xml:space="preserve">To meet state targets for stormwater sector, </w:t>
      </w:r>
      <w:r w:rsidR="003C56AB" w:rsidRPr="00EF0F8B">
        <w:rPr>
          <w:sz w:val="24"/>
          <w:szCs w:val="24"/>
        </w:rPr>
        <w:t>MDE added additional acres primarily in the following BMPs:</w:t>
      </w:r>
    </w:p>
    <w:p w:rsidR="003C56AB" w:rsidRPr="00EF0F8B" w:rsidRDefault="003C56AB" w:rsidP="003C56AB">
      <w:pPr>
        <w:pStyle w:val="ListParagraph"/>
        <w:numPr>
          <w:ilvl w:val="0"/>
          <w:numId w:val="1"/>
        </w:numPr>
        <w:rPr>
          <w:sz w:val="24"/>
          <w:szCs w:val="24"/>
        </w:rPr>
      </w:pPr>
      <w:r w:rsidRPr="00EF0F8B">
        <w:rPr>
          <w:sz w:val="24"/>
          <w:szCs w:val="24"/>
        </w:rPr>
        <w:t>Impervious Urban Surface Reduction</w:t>
      </w:r>
    </w:p>
    <w:p w:rsidR="003C56AB" w:rsidRPr="00EF0F8B" w:rsidRDefault="003C56AB" w:rsidP="003C56AB">
      <w:pPr>
        <w:pStyle w:val="ListParagraph"/>
        <w:numPr>
          <w:ilvl w:val="0"/>
          <w:numId w:val="1"/>
        </w:numPr>
        <w:rPr>
          <w:sz w:val="24"/>
          <w:szCs w:val="24"/>
        </w:rPr>
      </w:pPr>
      <w:r w:rsidRPr="00EF0F8B">
        <w:rPr>
          <w:sz w:val="24"/>
          <w:szCs w:val="24"/>
        </w:rPr>
        <w:t>Urban Filtering Practices</w:t>
      </w:r>
    </w:p>
    <w:p w:rsidR="003C56AB" w:rsidRPr="00EF0F8B" w:rsidRDefault="003C56AB" w:rsidP="003C56AB">
      <w:pPr>
        <w:pStyle w:val="ListParagraph"/>
        <w:numPr>
          <w:ilvl w:val="0"/>
          <w:numId w:val="1"/>
        </w:numPr>
        <w:rPr>
          <w:sz w:val="24"/>
          <w:szCs w:val="24"/>
        </w:rPr>
      </w:pPr>
      <w:r w:rsidRPr="00EF0F8B">
        <w:rPr>
          <w:sz w:val="24"/>
          <w:szCs w:val="24"/>
        </w:rPr>
        <w:t>Urban Forest Buffers</w:t>
      </w:r>
    </w:p>
    <w:p w:rsidR="003C56AB" w:rsidRPr="00EF0F8B" w:rsidRDefault="003C56AB" w:rsidP="003C56AB">
      <w:pPr>
        <w:pStyle w:val="ListParagraph"/>
        <w:numPr>
          <w:ilvl w:val="0"/>
          <w:numId w:val="1"/>
        </w:numPr>
        <w:rPr>
          <w:sz w:val="24"/>
          <w:szCs w:val="24"/>
        </w:rPr>
      </w:pPr>
      <w:r w:rsidRPr="00EF0F8B">
        <w:rPr>
          <w:sz w:val="24"/>
          <w:szCs w:val="24"/>
        </w:rPr>
        <w:t>Urban Nutrient Management</w:t>
      </w:r>
    </w:p>
    <w:p w:rsidR="003C56AB" w:rsidRPr="00EF0F8B" w:rsidRDefault="003C56AB" w:rsidP="003C56AB">
      <w:pPr>
        <w:pStyle w:val="ListParagraph"/>
        <w:rPr>
          <w:sz w:val="24"/>
          <w:szCs w:val="24"/>
        </w:rPr>
      </w:pPr>
    </w:p>
    <w:p w:rsidR="003C56AB" w:rsidRPr="00EF0F8B" w:rsidRDefault="003C56AB" w:rsidP="003C56AB">
      <w:pPr>
        <w:pStyle w:val="ListParagraph"/>
        <w:ind w:left="0"/>
        <w:rPr>
          <w:sz w:val="24"/>
          <w:szCs w:val="24"/>
        </w:rPr>
      </w:pPr>
      <w:r w:rsidRPr="00EF0F8B">
        <w:rPr>
          <w:sz w:val="24"/>
          <w:szCs w:val="24"/>
        </w:rPr>
        <w:t>To</w:t>
      </w:r>
      <w:r w:rsidR="00EF0F8B">
        <w:rPr>
          <w:sz w:val="24"/>
          <w:szCs w:val="24"/>
        </w:rPr>
        <w:t xml:space="preserve"> meet state targets for septic </w:t>
      </w:r>
      <w:r w:rsidRPr="00EF0F8B">
        <w:rPr>
          <w:sz w:val="24"/>
          <w:szCs w:val="24"/>
        </w:rPr>
        <w:t>sector, MDE added additional septic denitrification retrofits.</w:t>
      </w:r>
    </w:p>
    <w:p w:rsidR="00FD3062" w:rsidRDefault="00FD3062"/>
    <w:p w:rsidR="00FD3062" w:rsidRDefault="00FD3062"/>
    <w:p w:rsidR="00FD3062" w:rsidRDefault="00FD3062"/>
    <w:p w:rsidR="00FD3062" w:rsidRPr="00EF0F8B" w:rsidRDefault="00FD3062" w:rsidP="00EF0F8B">
      <w:pPr>
        <w:jc w:val="center"/>
        <w:rPr>
          <w:b/>
        </w:rPr>
      </w:pPr>
    </w:p>
    <w:sectPr w:rsidR="00FD3062" w:rsidRPr="00EF0F8B" w:rsidSect="00467231">
      <w:headerReference w:type="default" r:id="rId14"/>
      <w:footerReference w:type="default" r:id="rId15"/>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E99" w:rsidRDefault="00B36E99" w:rsidP="001A6BD5">
      <w:pPr>
        <w:spacing w:after="0" w:line="240" w:lineRule="auto"/>
      </w:pPr>
      <w:r>
        <w:separator/>
      </w:r>
    </w:p>
  </w:endnote>
  <w:endnote w:type="continuationSeparator" w:id="0">
    <w:p w:rsidR="00B36E99" w:rsidRDefault="00B36E99" w:rsidP="001A6B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E99" w:rsidRPr="00EF0F8B" w:rsidRDefault="00B36E99" w:rsidP="00EF0F8B">
    <w:pPr>
      <w:pStyle w:val="Footer"/>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E99" w:rsidRDefault="00B36E99" w:rsidP="001A6BD5">
      <w:pPr>
        <w:spacing w:after="0" w:line="240" w:lineRule="auto"/>
      </w:pPr>
      <w:r>
        <w:separator/>
      </w:r>
    </w:p>
  </w:footnote>
  <w:footnote w:type="continuationSeparator" w:id="0">
    <w:p w:rsidR="00B36E99" w:rsidRDefault="00B36E99" w:rsidP="001A6BD5">
      <w:pPr>
        <w:spacing w:after="0" w:line="240" w:lineRule="auto"/>
      </w:pPr>
      <w:r>
        <w:continuationSeparator/>
      </w:r>
    </w:p>
  </w:footnote>
  <w:footnote w:id="1">
    <w:p w:rsidR="00B36E99" w:rsidRDefault="00B36E99">
      <w:pPr>
        <w:pStyle w:val="FootnoteText"/>
      </w:pPr>
      <w:r>
        <w:rPr>
          <w:rStyle w:val="FootnoteReference"/>
        </w:rPr>
        <w:footnoteRef/>
      </w:r>
      <w:r>
        <w:t xml:space="preserve"> </w:t>
      </w:r>
      <w:r w:rsidRPr="00B36E99">
        <w:rPr>
          <w:sz w:val="22"/>
          <w:szCs w:val="22"/>
        </w:rPr>
        <w:t>Frederick County did not submit an official draft Phase II WIP plan to the state back in November; it is not clear ho</w:t>
      </w:r>
      <w:r w:rsidR="00467231">
        <w:rPr>
          <w:sz w:val="22"/>
          <w:szCs w:val="22"/>
        </w:rPr>
        <w:t>w the state derived its 2025 WIP T</w:t>
      </w:r>
      <w:r w:rsidRPr="00B36E99">
        <w:rPr>
          <w:sz w:val="22"/>
          <w:szCs w:val="22"/>
        </w:rPr>
        <w:t>eam numbers for the county.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231" w:rsidRPr="00467231" w:rsidRDefault="00467231">
    <w:pPr>
      <w:pStyle w:val="Header"/>
      <w:rPr>
        <w:sz w:val="20"/>
        <w:szCs w:val="20"/>
      </w:rPr>
    </w:pPr>
    <w:r w:rsidRPr="00467231">
      <w:rPr>
        <w:sz w:val="20"/>
        <w:szCs w:val="20"/>
      </w:rPr>
      <w:t xml:space="preserve">COG analysis of MD Phase II WIP data,   page </w:t>
    </w:r>
    <w:r w:rsidR="004A3899" w:rsidRPr="00467231">
      <w:rPr>
        <w:sz w:val="20"/>
        <w:szCs w:val="20"/>
      </w:rPr>
      <w:fldChar w:fldCharType="begin"/>
    </w:r>
    <w:r w:rsidRPr="00467231">
      <w:rPr>
        <w:sz w:val="20"/>
        <w:szCs w:val="20"/>
      </w:rPr>
      <w:instrText xml:space="preserve"> PAGE   \* MERGEFORMAT </w:instrText>
    </w:r>
    <w:r w:rsidR="004A3899" w:rsidRPr="00467231">
      <w:rPr>
        <w:sz w:val="20"/>
        <w:szCs w:val="20"/>
      </w:rPr>
      <w:fldChar w:fldCharType="separate"/>
    </w:r>
    <w:r w:rsidR="00751F03">
      <w:rPr>
        <w:noProof/>
        <w:sz w:val="20"/>
        <w:szCs w:val="20"/>
      </w:rPr>
      <w:t>4</w:t>
    </w:r>
    <w:r w:rsidR="004A3899" w:rsidRPr="00467231">
      <w:rPr>
        <w:sz w:val="20"/>
        <w:szCs w:val="20"/>
      </w:rPr>
      <w:fldChar w:fldCharType="end"/>
    </w:r>
  </w:p>
  <w:p w:rsidR="00467231" w:rsidRDefault="004672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37C47"/>
    <w:multiLevelType w:val="hybridMultilevel"/>
    <w:tmpl w:val="06A8D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EC0014"/>
    <w:rsid w:val="00046617"/>
    <w:rsid w:val="00047C2B"/>
    <w:rsid w:val="0009266E"/>
    <w:rsid w:val="00154F9A"/>
    <w:rsid w:val="001A6BD5"/>
    <w:rsid w:val="00221FE1"/>
    <w:rsid w:val="00233371"/>
    <w:rsid w:val="002740A8"/>
    <w:rsid w:val="002C15BC"/>
    <w:rsid w:val="0032073A"/>
    <w:rsid w:val="00353C87"/>
    <w:rsid w:val="00361259"/>
    <w:rsid w:val="003764EC"/>
    <w:rsid w:val="003C56AB"/>
    <w:rsid w:val="00467231"/>
    <w:rsid w:val="00471B0B"/>
    <w:rsid w:val="00483116"/>
    <w:rsid w:val="00492776"/>
    <w:rsid w:val="004A3899"/>
    <w:rsid w:val="004A7629"/>
    <w:rsid w:val="004D77C1"/>
    <w:rsid w:val="00552AA4"/>
    <w:rsid w:val="00751F03"/>
    <w:rsid w:val="00831BA1"/>
    <w:rsid w:val="00A35426"/>
    <w:rsid w:val="00A40D59"/>
    <w:rsid w:val="00A5706A"/>
    <w:rsid w:val="00A752BC"/>
    <w:rsid w:val="00B36E99"/>
    <w:rsid w:val="00B71773"/>
    <w:rsid w:val="00C839CC"/>
    <w:rsid w:val="00CF12A4"/>
    <w:rsid w:val="00D544C9"/>
    <w:rsid w:val="00D9361D"/>
    <w:rsid w:val="00E54F8C"/>
    <w:rsid w:val="00EA2B41"/>
    <w:rsid w:val="00EC0014"/>
    <w:rsid w:val="00EC41D0"/>
    <w:rsid w:val="00EF0F8B"/>
    <w:rsid w:val="00EF6FC6"/>
    <w:rsid w:val="00FB4C94"/>
    <w:rsid w:val="00FB4D7C"/>
    <w:rsid w:val="00FD30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C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D7C"/>
    <w:rPr>
      <w:rFonts w:ascii="Tahoma" w:hAnsi="Tahoma" w:cs="Tahoma"/>
      <w:sz w:val="16"/>
      <w:szCs w:val="16"/>
    </w:rPr>
  </w:style>
  <w:style w:type="paragraph" w:styleId="Header">
    <w:name w:val="header"/>
    <w:basedOn w:val="Normal"/>
    <w:link w:val="HeaderChar"/>
    <w:uiPriority w:val="99"/>
    <w:unhideWhenUsed/>
    <w:rsid w:val="001A6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BD5"/>
  </w:style>
  <w:style w:type="paragraph" w:styleId="Footer">
    <w:name w:val="footer"/>
    <w:basedOn w:val="Normal"/>
    <w:link w:val="FooterChar"/>
    <w:uiPriority w:val="99"/>
    <w:semiHidden/>
    <w:unhideWhenUsed/>
    <w:rsid w:val="001A6B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6BD5"/>
  </w:style>
  <w:style w:type="paragraph" w:styleId="Caption">
    <w:name w:val="caption"/>
    <w:basedOn w:val="Normal"/>
    <w:next w:val="Normal"/>
    <w:uiPriority w:val="35"/>
    <w:unhideWhenUsed/>
    <w:qFormat/>
    <w:rsid w:val="00047C2B"/>
    <w:pPr>
      <w:spacing w:line="240" w:lineRule="auto"/>
    </w:pPr>
    <w:rPr>
      <w:b/>
      <w:bCs/>
      <w:color w:val="4F81BD" w:themeColor="accent1"/>
      <w:sz w:val="18"/>
      <w:szCs w:val="18"/>
    </w:rPr>
  </w:style>
  <w:style w:type="character" w:styleId="Hyperlink">
    <w:name w:val="Hyperlink"/>
    <w:basedOn w:val="DefaultParagraphFont"/>
    <w:uiPriority w:val="99"/>
    <w:semiHidden/>
    <w:unhideWhenUsed/>
    <w:rsid w:val="0032073A"/>
    <w:rPr>
      <w:color w:val="0000FF"/>
      <w:u w:val="single"/>
    </w:rPr>
  </w:style>
  <w:style w:type="paragraph" w:styleId="ListParagraph">
    <w:name w:val="List Paragraph"/>
    <w:basedOn w:val="Normal"/>
    <w:uiPriority w:val="34"/>
    <w:qFormat/>
    <w:rsid w:val="003C56AB"/>
    <w:pPr>
      <w:ind w:left="720"/>
      <w:contextualSpacing/>
    </w:pPr>
  </w:style>
  <w:style w:type="paragraph" w:styleId="FootnoteText">
    <w:name w:val="footnote text"/>
    <w:basedOn w:val="Normal"/>
    <w:link w:val="FootnoteTextChar"/>
    <w:uiPriority w:val="99"/>
    <w:semiHidden/>
    <w:unhideWhenUsed/>
    <w:rsid w:val="000466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6617"/>
    <w:rPr>
      <w:sz w:val="20"/>
      <w:szCs w:val="20"/>
    </w:rPr>
  </w:style>
  <w:style w:type="character" w:styleId="FootnoteReference">
    <w:name w:val="footnote reference"/>
    <w:basedOn w:val="DefaultParagraphFont"/>
    <w:uiPriority w:val="99"/>
    <w:semiHidden/>
    <w:unhideWhenUsed/>
    <w:rsid w:val="00046617"/>
    <w:rPr>
      <w:vertAlign w:val="superscript"/>
    </w:rPr>
  </w:style>
</w:styles>
</file>

<file path=word/webSettings.xml><?xml version="1.0" encoding="utf-8"?>
<w:webSettings xmlns:r="http://schemas.openxmlformats.org/officeDocument/2006/relationships" xmlns:w="http://schemas.openxmlformats.org/wordprocessingml/2006/main">
  <w:divs>
    <w:div w:id="1306549101">
      <w:bodyDiv w:val="1"/>
      <w:marLeft w:val="0"/>
      <w:marRight w:val="0"/>
      <w:marTop w:val="0"/>
      <w:marBottom w:val="0"/>
      <w:divBdr>
        <w:top w:val="none" w:sz="0" w:space="0" w:color="auto"/>
        <w:left w:val="none" w:sz="0" w:space="0" w:color="auto"/>
        <w:bottom w:val="none" w:sz="0" w:space="0" w:color="auto"/>
        <w:right w:val="none" w:sz="0" w:space="0" w:color="auto"/>
      </w:divBdr>
    </w:div>
    <w:div w:id="160086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mwcog.org/cognet/LogosImagesPhotos/cog_blue_text.jpg" TargetMode="Externa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de.state.md.us/programs/Water/TMDL/TMDLImplementation/Pages/WIP_Phase_II_County_Strategy_Summaries.asp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5622669225960692"/>
          <c:y val="4.0299147955121933E-2"/>
          <c:w val="0.65756963736869556"/>
          <c:h val="0.80153860587804437"/>
        </c:manualLayout>
      </c:layout>
      <c:barChart>
        <c:barDir val="col"/>
        <c:grouping val="stacked"/>
        <c:ser>
          <c:idx val="0"/>
          <c:order val="0"/>
          <c:tx>
            <c:strRef>
              <c:f>Sheet1!$B$1</c:f>
              <c:strCache>
                <c:ptCount val="1"/>
                <c:pt idx="0">
                  <c:v>Reduction achieved by WIP Team</c:v>
                </c:pt>
              </c:strCache>
            </c:strRef>
          </c:tx>
          <c:cat>
            <c:strRef>
              <c:f>Sheet1!$A$2:$A$5</c:f>
              <c:strCache>
                <c:ptCount val="4"/>
                <c:pt idx="0">
                  <c:v>Frederick</c:v>
                </c:pt>
                <c:pt idx="1">
                  <c:v>Montgomery</c:v>
                </c:pt>
                <c:pt idx="2">
                  <c:v>Prince George's</c:v>
                </c:pt>
                <c:pt idx="3">
                  <c:v>Charles</c:v>
                </c:pt>
              </c:strCache>
            </c:strRef>
          </c:cat>
          <c:val>
            <c:numRef>
              <c:f>Sheet1!$B$2:$B$5</c:f>
              <c:numCache>
                <c:formatCode>General</c:formatCode>
                <c:ptCount val="4"/>
                <c:pt idx="0">
                  <c:v>14</c:v>
                </c:pt>
                <c:pt idx="1">
                  <c:v>102</c:v>
                </c:pt>
                <c:pt idx="2">
                  <c:v>136</c:v>
                </c:pt>
                <c:pt idx="3">
                  <c:v>2</c:v>
                </c:pt>
              </c:numCache>
            </c:numRef>
          </c:val>
        </c:ser>
        <c:ser>
          <c:idx val="1"/>
          <c:order val="1"/>
          <c:tx>
            <c:strRef>
              <c:f>Sheet1!$C$1</c:f>
              <c:strCache>
                <c:ptCount val="1"/>
                <c:pt idx="0">
                  <c:v>Additional reduction from state</c:v>
                </c:pt>
              </c:strCache>
            </c:strRef>
          </c:tx>
          <c:cat>
            <c:strRef>
              <c:f>Sheet1!$A$2:$A$5</c:f>
              <c:strCache>
                <c:ptCount val="4"/>
                <c:pt idx="0">
                  <c:v>Frederick</c:v>
                </c:pt>
                <c:pt idx="1">
                  <c:v>Montgomery</c:v>
                </c:pt>
                <c:pt idx="2">
                  <c:v>Prince George's</c:v>
                </c:pt>
                <c:pt idx="3">
                  <c:v>Charles</c:v>
                </c:pt>
              </c:strCache>
            </c:strRef>
          </c:cat>
          <c:val>
            <c:numRef>
              <c:f>Sheet1!$C$2:$C$5</c:f>
              <c:numCache>
                <c:formatCode>General</c:formatCode>
                <c:ptCount val="4"/>
                <c:pt idx="0">
                  <c:v>95</c:v>
                </c:pt>
                <c:pt idx="1">
                  <c:v>122</c:v>
                </c:pt>
                <c:pt idx="2">
                  <c:v>63</c:v>
                </c:pt>
                <c:pt idx="3">
                  <c:v>48</c:v>
                </c:pt>
              </c:numCache>
            </c:numRef>
          </c:val>
        </c:ser>
        <c:overlap val="100"/>
        <c:axId val="108720512"/>
        <c:axId val="108786048"/>
      </c:barChart>
      <c:catAx>
        <c:axId val="108720512"/>
        <c:scaling>
          <c:orientation val="minMax"/>
        </c:scaling>
        <c:axPos val="b"/>
        <c:tickLblPos val="nextTo"/>
        <c:crossAx val="108786048"/>
        <c:crosses val="autoZero"/>
        <c:auto val="1"/>
        <c:lblAlgn val="ctr"/>
        <c:lblOffset val="100"/>
      </c:catAx>
      <c:valAx>
        <c:axId val="108786048"/>
        <c:scaling>
          <c:orientation val="minMax"/>
        </c:scaling>
        <c:axPos val="l"/>
        <c:majorGridlines/>
        <c:numFmt formatCode="General" sourceLinked="1"/>
        <c:tickLblPos val="nextTo"/>
        <c:crossAx val="108720512"/>
        <c:crosses val="autoZero"/>
        <c:crossBetween val="between"/>
      </c:valAx>
    </c:plotArea>
    <c:legend>
      <c:legendPos val="r"/>
      <c:layout>
        <c:manualLayout>
          <c:xMode val="edge"/>
          <c:yMode val="edge"/>
          <c:x val="0.82873360893489523"/>
          <c:y val="0.25954538806876343"/>
          <c:w val="0.15814769996420841"/>
          <c:h val="0.40211189061186631"/>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0.14384593144093252"/>
          <c:y val="5.1299296502469706E-2"/>
          <c:w val="0.7056705672207646"/>
          <c:h val="0.83587645294338453"/>
        </c:manualLayout>
      </c:layout>
      <c:barChart>
        <c:barDir val="col"/>
        <c:grouping val="stacked"/>
        <c:ser>
          <c:idx val="0"/>
          <c:order val="0"/>
          <c:tx>
            <c:strRef>
              <c:f>Sheet1!$B$1</c:f>
              <c:strCache>
                <c:ptCount val="1"/>
                <c:pt idx="0">
                  <c:v>Reduction achieved by WIP Team</c:v>
                </c:pt>
              </c:strCache>
            </c:strRef>
          </c:tx>
          <c:cat>
            <c:strRef>
              <c:f>Sheet1!$A$2:$A$5</c:f>
              <c:strCache>
                <c:ptCount val="4"/>
                <c:pt idx="0">
                  <c:v>Frederick</c:v>
                </c:pt>
                <c:pt idx="1">
                  <c:v>Montgomery</c:v>
                </c:pt>
                <c:pt idx="2">
                  <c:v>Prince George's</c:v>
                </c:pt>
                <c:pt idx="3">
                  <c:v>Charles</c:v>
                </c:pt>
              </c:strCache>
            </c:strRef>
          </c:cat>
          <c:val>
            <c:numRef>
              <c:f>Sheet1!$B$2:$B$5</c:f>
              <c:numCache>
                <c:formatCode>General</c:formatCode>
                <c:ptCount val="4"/>
                <c:pt idx="0">
                  <c:v>0</c:v>
                </c:pt>
                <c:pt idx="1">
                  <c:v>9</c:v>
                </c:pt>
                <c:pt idx="2">
                  <c:v>16</c:v>
                </c:pt>
                <c:pt idx="3">
                  <c:v>0</c:v>
                </c:pt>
              </c:numCache>
            </c:numRef>
          </c:val>
        </c:ser>
        <c:ser>
          <c:idx val="1"/>
          <c:order val="1"/>
          <c:tx>
            <c:strRef>
              <c:f>Sheet1!$C$1</c:f>
              <c:strCache>
                <c:ptCount val="1"/>
                <c:pt idx="0">
                  <c:v>Additional reduction from state</c:v>
                </c:pt>
              </c:strCache>
            </c:strRef>
          </c:tx>
          <c:cat>
            <c:strRef>
              <c:f>Sheet1!$A$2:$A$5</c:f>
              <c:strCache>
                <c:ptCount val="4"/>
                <c:pt idx="0">
                  <c:v>Frederick</c:v>
                </c:pt>
                <c:pt idx="1">
                  <c:v>Montgomery</c:v>
                </c:pt>
                <c:pt idx="2">
                  <c:v>Prince George's</c:v>
                </c:pt>
                <c:pt idx="3">
                  <c:v>Charles</c:v>
                </c:pt>
              </c:strCache>
            </c:strRef>
          </c:cat>
          <c:val>
            <c:numRef>
              <c:f>Sheet1!$C$2:$C$5</c:f>
              <c:numCache>
                <c:formatCode>General</c:formatCode>
                <c:ptCount val="4"/>
                <c:pt idx="0">
                  <c:v>7</c:v>
                </c:pt>
                <c:pt idx="1">
                  <c:v>8</c:v>
                </c:pt>
                <c:pt idx="2">
                  <c:v>8</c:v>
                </c:pt>
                <c:pt idx="3">
                  <c:v>7</c:v>
                </c:pt>
              </c:numCache>
            </c:numRef>
          </c:val>
        </c:ser>
        <c:overlap val="100"/>
        <c:axId val="108833408"/>
        <c:axId val="108853120"/>
      </c:barChart>
      <c:catAx>
        <c:axId val="108833408"/>
        <c:scaling>
          <c:orientation val="minMax"/>
        </c:scaling>
        <c:axPos val="b"/>
        <c:tickLblPos val="nextTo"/>
        <c:crossAx val="108853120"/>
        <c:crosses val="autoZero"/>
        <c:auto val="1"/>
        <c:lblAlgn val="ctr"/>
        <c:lblOffset val="100"/>
      </c:catAx>
      <c:valAx>
        <c:axId val="108853120"/>
        <c:scaling>
          <c:orientation val="minMax"/>
        </c:scaling>
        <c:axPos val="l"/>
        <c:majorGridlines/>
        <c:numFmt formatCode="General" sourceLinked="1"/>
        <c:tickLblPos val="nextTo"/>
        <c:crossAx val="108833408"/>
        <c:crosses val="autoZero"/>
        <c:crossBetween val="between"/>
      </c:valAx>
    </c:plotArea>
    <c:legend>
      <c:legendPos val="r"/>
      <c:layout>
        <c:manualLayout>
          <c:xMode val="edge"/>
          <c:yMode val="edge"/>
          <c:x val="0.85424927142320972"/>
          <c:y val="0.25954538806876343"/>
          <c:w val="0.13263212785958867"/>
          <c:h val="0.40211189061186631"/>
        </c:manualLayout>
      </c:layout>
    </c:legend>
    <c:plotVisOnly val="1"/>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5622669225960692"/>
          <c:y val="4.0299147955121913E-2"/>
          <c:w val="0.65756963736869611"/>
          <c:h val="0.80153860587804437"/>
        </c:manualLayout>
      </c:layout>
      <c:barChart>
        <c:barDir val="col"/>
        <c:grouping val="stacked"/>
        <c:ser>
          <c:idx val="0"/>
          <c:order val="0"/>
          <c:tx>
            <c:strRef>
              <c:f>Sheet1!$B$1</c:f>
              <c:strCache>
                <c:ptCount val="1"/>
                <c:pt idx="0">
                  <c:v>Reduction achieved by WIP Team</c:v>
                </c:pt>
              </c:strCache>
            </c:strRef>
          </c:tx>
          <c:cat>
            <c:strRef>
              <c:f>Sheet1!$A$2:$A$5</c:f>
              <c:strCache>
                <c:ptCount val="4"/>
                <c:pt idx="0">
                  <c:v>Frederick</c:v>
                </c:pt>
                <c:pt idx="1">
                  <c:v>Montgomery</c:v>
                </c:pt>
                <c:pt idx="2">
                  <c:v>Prince George's</c:v>
                </c:pt>
                <c:pt idx="3">
                  <c:v>Charles</c:v>
                </c:pt>
              </c:strCache>
            </c:strRef>
          </c:cat>
          <c:val>
            <c:numRef>
              <c:f>Sheet1!$B$2:$B$5</c:f>
              <c:numCache>
                <c:formatCode>General</c:formatCode>
                <c:ptCount val="4"/>
                <c:pt idx="0">
                  <c:v>0</c:v>
                </c:pt>
                <c:pt idx="1">
                  <c:v>0</c:v>
                </c:pt>
                <c:pt idx="2">
                  <c:v>0</c:v>
                </c:pt>
                <c:pt idx="3">
                  <c:v>0</c:v>
                </c:pt>
              </c:numCache>
            </c:numRef>
          </c:val>
        </c:ser>
        <c:ser>
          <c:idx val="1"/>
          <c:order val="1"/>
          <c:tx>
            <c:strRef>
              <c:f>Sheet1!$C$1</c:f>
              <c:strCache>
                <c:ptCount val="1"/>
                <c:pt idx="0">
                  <c:v>Additional reduction from state</c:v>
                </c:pt>
              </c:strCache>
            </c:strRef>
          </c:tx>
          <c:cat>
            <c:strRef>
              <c:f>Sheet1!$A$2:$A$5</c:f>
              <c:strCache>
                <c:ptCount val="4"/>
                <c:pt idx="0">
                  <c:v>Frederick</c:v>
                </c:pt>
                <c:pt idx="1">
                  <c:v>Montgomery</c:v>
                </c:pt>
                <c:pt idx="2">
                  <c:v>Prince George's</c:v>
                </c:pt>
                <c:pt idx="3">
                  <c:v>Charles</c:v>
                </c:pt>
              </c:strCache>
            </c:strRef>
          </c:cat>
          <c:val>
            <c:numRef>
              <c:f>Sheet1!$C$2:$C$5</c:f>
              <c:numCache>
                <c:formatCode>General</c:formatCode>
                <c:ptCount val="4"/>
                <c:pt idx="0">
                  <c:v>39</c:v>
                </c:pt>
                <c:pt idx="1">
                  <c:v>38</c:v>
                </c:pt>
                <c:pt idx="2">
                  <c:v>32</c:v>
                </c:pt>
                <c:pt idx="3">
                  <c:v>61</c:v>
                </c:pt>
              </c:numCache>
            </c:numRef>
          </c:val>
        </c:ser>
        <c:overlap val="100"/>
        <c:axId val="153426176"/>
        <c:axId val="154104576"/>
      </c:barChart>
      <c:catAx>
        <c:axId val="153426176"/>
        <c:scaling>
          <c:orientation val="minMax"/>
        </c:scaling>
        <c:axPos val="b"/>
        <c:tickLblPos val="nextTo"/>
        <c:crossAx val="154104576"/>
        <c:crosses val="autoZero"/>
        <c:auto val="1"/>
        <c:lblAlgn val="ctr"/>
        <c:lblOffset val="100"/>
      </c:catAx>
      <c:valAx>
        <c:axId val="154104576"/>
        <c:scaling>
          <c:orientation val="minMax"/>
        </c:scaling>
        <c:axPos val="l"/>
        <c:majorGridlines/>
        <c:numFmt formatCode="General" sourceLinked="1"/>
        <c:tickLblPos val="nextTo"/>
        <c:crossAx val="153426176"/>
        <c:crosses val="autoZero"/>
        <c:crossBetween val="between"/>
      </c:valAx>
    </c:plotArea>
    <c:legend>
      <c:legendPos val="r"/>
      <c:layout>
        <c:manualLayout>
          <c:xMode val="edge"/>
          <c:yMode val="edge"/>
          <c:x val="0.82873360893489545"/>
          <c:y val="0.25954538806876343"/>
          <c:w val="0.15814769996420841"/>
          <c:h val="0.40211189061186631"/>
        </c:manualLayout>
      </c:layout>
    </c:legend>
    <c:plotVisOnly val="1"/>
  </c:chart>
  <c:externalData r:id="rId1"/>
</c:chartSpace>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cdr:x>
      <cdr:y>0</cdr:y>
    </cdr:from>
    <cdr:to>
      <cdr:x>0</cdr:x>
      <cdr:y>0</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flipV="1">
          <a:off x="-933450" y="-914400"/>
          <a:ext cx="0" cy="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AD08C-CF6E-4AEF-AF50-DF2BE7D96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OTPS - Administrator</dc:creator>
  <cp:lastModifiedBy>Lana Sindler</cp:lastModifiedBy>
  <cp:revision>2</cp:revision>
  <dcterms:created xsi:type="dcterms:W3CDTF">2012-07-02T18:32:00Z</dcterms:created>
  <dcterms:modified xsi:type="dcterms:W3CDTF">2012-07-02T18:32:00Z</dcterms:modified>
</cp:coreProperties>
</file>