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479D5" w14:textId="77777777" w:rsidR="003F4DA2" w:rsidRDefault="003F4DA2" w:rsidP="001020C0">
      <w:pPr>
        <w:jc w:val="center"/>
        <w:rPr>
          <w:b/>
          <w:i/>
        </w:rPr>
      </w:pPr>
    </w:p>
    <w:p w14:paraId="4A229EDE" w14:textId="77777777" w:rsidR="003F4DA2" w:rsidRDefault="003F4DA2" w:rsidP="001020C0">
      <w:pPr>
        <w:jc w:val="center"/>
        <w:rPr>
          <w:b/>
          <w:i/>
        </w:rPr>
      </w:pPr>
    </w:p>
    <w:p w14:paraId="0A69B443" w14:textId="203A4842" w:rsidR="003F4DA2" w:rsidRPr="003F4DA2" w:rsidRDefault="003F4DA2" w:rsidP="001020C0">
      <w:pPr>
        <w:jc w:val="center"/>
        <w:rPr>
          <w:b/>
          <w:i/>
          <w:color w:val="FF0000"/>
          <w:sz w:val="28"/>
          <w:szCs w:val="28"/>
        </w:rPr>
      </w:pPr>
      <w:r w:rsidRPr="0066368B">
        <w:rPr>
          <w:b/>
          <w:i/>
          <w:color w:val="FF0000"/>
          <w:sz w:val="28"/>
          <w:szCs w:val="28"/>
          <w:highlight w:val="yellow"/>
        </w:rPr>
        <w:t>DRAFT</w:t>
      </w:r>
    </w:p>
    <w:p w14:paraId="067346A6" w14:textId="1435329A" w:rsidR="005F4D7F" w:rsidRDefault="0099368B" w:rsidP="001020C0">
      <w:pPr>
        <w:jc w:val="center"/>
        <w:rPr>
          <w:b/>
          <w:i/>
        </w:rPr>
      </w:pPr>
      <w:r w:rsidRPr="001020C0">
        <w:rPr>
          <w:b/>
          <w:i/>
        </w:rPr>
        <w:t>Strategic Assessment of the Greater Washington Region’s Economic Competitiveness</w:t>
      </w:r>
      <w:r w:rsidR="001020C0">
        <w:rPr>
          <w:b/>
          <w:i/>
        </w:rPr>
        <w:t>:</w:t>
      </w:r>
    </w:p>
    <w:p w14:paraId="01A97055" w14:textId="20C8B5C9" w:rsidR="001020C0" w:rsidRDefault="001020C0" w:rsidP="001020C0">
      <w:pPr>
        <w:jc w:val="center"/>
        <w:rPr>
          <w:b/>
          <w:i/>
        </w:rPr>
      </w:pPr>
      <w:r>
        <w:rPr>
          <w:b/>
          <w:i/>
        </w:rPr>
        <w:t>Status Update for COG’s Housing Directors Advisory Committee Members</w:t>
      </w:r>
    </w:p>
    <w:p w14:paraId="221EA001" w14:textId="77777777" w:rsidR="001020C0" w:rsidRPr="001020C0" w:rsidRDefault="001020C0" w:rsidP="001020C0">
      <w:pPr>
        <w:jc w:val="center"/>
        <w:rPr>
          <w:b/>
          <w:i/>
        </w:rPr>
      </w:pPr>
    </w:p>
    <w:p w14:paraId="47A9FAC8" w14:textId="38DC7833" w:rsidR="0099368B" w:rsidRDefault="0099368B" w:rsidP="0099368B">
      <w:pPr>
        <w:pStyle w:val="ListParagraph"/>
        <w:numPr>
          <w:ilvl w:val="0"/>
          <w:numId w:val="4"/>
        </w:numPr>
      </w:pPr>
      <w:r>
        <w:t xml:space="preserve">Update of the Region Forward Coalition’s </w:t>
      </w:r>
      <w:r w:rsidRPr="0099368B">
        <w:rPr>
          <w:i/>
        </w:rPr>
        <w:t>Baseline Progress Report</w:t>
      </w:r>
      <w:r>
        <w:t xml:space="preserve"> (</w:t>
      </w:r>
      <w:r>
        <w:t>measures regional performance related to 28 targets found in Region Forward, a long-range vision plan adopted by COG and its member governments in 2010</w:t>
      </w:r>
      <w:r w:rsidR="001020C0">
        <w:t>);</w:t>
      </w:r>
    </w:p>
    <w:p w14:paraId="4AB26513" w14:textId="77777777" w:rsidR="001020C0" w:rsidRDefault="001020C0" w:rsidP="001020C0">
      <w:pPr>
        <w:pStyle w:val="ListParagraph"/>
      </w:pPr>
      <w:bookmarkStart w:id="0" w:name="_GoBack"/>
      <w:bookmarkEnd w:id="0"/>
    </w:p>
    <w:p w14:paraId="45B40106" w14:textId="2810CFB2" w:rsidR="0099368B" w:rsidRPr="0099368B" w:rsidRDefault="001020C0" w:rsidP="0099368B">
      <w:pPr>
        <w:pStyle w:val="ListParagraph"/>
        <w:numPr>
          <w:ilvl w:val="0"/>
          <w:numId w:val="4"/>
        </w:numPr>
      </w:pPr>
      <w:r>
        <w:t xml:space="preserve">In </w:t>
      </w:r>
      <w:r w:rsidR="0099368B">
        <w:t>2015</w:t>
      </w:r>
      <w:r>
        <w:t>, the</w:t>
      </w:r>
      <w:r w:rsidR="0099368B">
        <w:t xml:space="preserve"> COG Board of Directors </w:t>
      </w:r>
      <w:r>
        <w:t xml:space="preserve">chose to </w:t>
      </w:r>
      <w:r w:rsidR="0099368B">
        <w:t xml:space="preserve">focus on </w:t>
      </w:r>
      <w:r>
        <w:t xml:space="preserve">the </w:t>
      </w:r>
      <w:r w:rsidR="0099368B">
        <w:t xml:space="preserve">theme of economic competitiveness; selected 30 updated indicators to report on progress since the </w:t>
      </w:r>
      <w:r w:rsidR="0099368B">
        <w:rPr>
          <w:i/>
        </w:rPr>
        <w:t>Baseline Report.</w:t>
      </w:r>
      <w:r w:rsidR="00BB2EA7">
        <w:rPr>
          <w:i/>
        </w:rPr>
        <w:t xml:space="preserve">  </w:t>
      </w:r>
      <w:r w:rsidR="00BB2EA7">
        <w:t xml:space="preserve">Those data points selected for review which relate to housing affordability are listed below. </w:t>
      </w:r>
    </w:p>
    <w:p w14:paraId="4DD54FA2" w14:textId="77777777" w:rsidR="0099368B" w:rsidRDefault="0099368B" w:rsidP="0099368B"/>
    <w:p w14:paraId="26FD9D90" w14:textId="6AC08972" w:rsidR="0099368B" w:rsidRDefault="0099368B" w:rsidP="0099368B">
      <w:pPr>
        <w:rPr>
          <w:i/>
        </w:rPr>
      </w:pPr>
      <w:r w:rsidRPr="00BB2EA7">
        <w:rPr>
          <w:i/>
          <w:u w:val="single"/>
        </w:rPr>
        <w:t xml:space="preserve">Indicators related to </w:t>
      </w:r>
      <w:r w:rsidR="001020C0" w:rsidRPr="00BB2EA7">
        <w:rPr>
          <w:i/>
          <w:u w:val="single"/>
        </w:rPr>
        <w:t>Housing Affordability</w:t>
      </w:r>
      <w:r w:rsidR="001020C0">
        <w:rPr>
          <w:i/>
        </w:rPr>
        <w:t>:</w:t>
      </w:r>
    </w:p>
    <w:p w14:paraId="75620124" w14:textId="77777777" w:rsidR="001020C0" w:rsidRDefault="001020C0" w:rsidP="0099368B">
      <w:pPr>
        <w:rPr>
          <w:i/>
        </w:rPr>
      </w:pPr>
    </w:p>
    <w:p w14:paraId="4BD2B072" w14:textId="77A7A924" w:rsidR="001020C0" w:rsidRDefault="001020C0" w:rsidP="00BB2EA7">
      <w:pPr>
        <w:pStyle w:val="ListParagraph"/>
        <w:numPr>
          <w:ilvl w:val="0"/>
          <w:numId w:val="6"/>
        </w:numPr>
      </w:pPr>
      <w:r w:rsidRPr="00BB2EA7">
        <w:rPr>
          <w:b/>
        </w:rPr>
        <w:t>Beginning in 2012, the housing and transportation costs in the Regional Activity Centers will not exceed 45% of area median income</w:t>
      </w:r>
      <w:r>
        <w:t>.  (Existing target)</w:t>
      </w:r>
    </w:p>
    <w:p w14:paraId="7610B958" w14:textId="0A03E40E" w:rsidR="001020C0" w:rsidRDefault="001020C0" w:rsidP="001020C0">
      <w:pPr>
        <w:pStyle w:val="ListParagraph"/>
        <w:numPr>
          <w:ilvl w:val="1"/>
          <w:numId w:val="5"/>
        </w:numPr>
      </w:pPr>
      <w:r>
        <w:t>Revised in 2015 to add figure for entire region for context (H + T for Activity Centers and H + T for entire region)</w:t>
      </w:r>
    </w:p>
    <w:tbl>
      <w:tblPr>
        <w:tblW w:w="10421" w:type="dxa"/>
        <w:tblLook w:val="04A0" w:firstRow="1" w:lastRow="0" w:firstColumn="1" w:lastColumn="0" w:noHBand="0" w:noVBand="1"/>
      </w:tblPr>
      <w:tblGrid>
        <w:gridCol w:w="7221"/>
        <w:gridCol w:w="1600"/>
        <w:gridCol w:w="1600"/>
      </w:tblGrid>
      <w:tr w:rsidR="001020C0" w:rsidRPr="001020C0" w14:paraId="5FE800FD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16DD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2013 Data*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E7BC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Activity Centers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1421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Rest of MWCOG</w:t>
            </w:r>
          </w:p>
        </w:tc>
      </w:tr>
      <w:tr w:rsidR="001020C0" w:rsidRPr="001020C0" w14:paraId="6F40F3B6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E34B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At Area Median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97FA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2297" w14:textId="77777777" w:rsidR="001020C0" w:rsidRPr="001020C0" w:rsidRDefault="001020C0" w:rsidP="001020C0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20C0" w:rsidRPr="001020C0" w14:paraId="52C496E0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8CDF" w14:textId="582E7981" w:rsidR="001020C0" w:rsidRPr="001020C0" w:rsidRDefault="001020C0" w:rsidP="00BB2EA7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Average H </w:t>
            </w:r>
            <w:r w:rsidR="00BB2EA7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+</w:t>
            </w: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as a Percent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551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36.9%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70C9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44.5%</w:t>
            </w:r>
          </w:p>
        </w:tc>
      </w:tr>
      <w:tr w:rsidR="001020C0" w:rsidRPr="001020C0" w14:paraId="4588C5C0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0A1" w14:textId="7DB39597" w:rsidR="001020C0" w:rsidRPr="001020C0" w:rsidRDefault="001020C0" w:rsidP="00BB2EA7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Percent of ACs with H </w:t>
            </w:r>
            <w:r w:rsidR="00BB2EA7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+</w:t>
            </w: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below 45%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47D9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84.3%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73B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</w:tr>
      <w:tr w:rsidR="001020C0" w:rsidRPr="001020C0" w14:paraId="6EE37781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1F35" w14:textId="303249BC" w:rsidR="001020C0" w:rsidRPr="001020C0" w:rsidRDefault="001020C0" w:rsidP="00BB2EA7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Percent of HHs in Block Groups with H </w:t>
            </w:r>
            <w:r w:rsidR="00BB2EA7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+</w:t>
            </w: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below 45%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0088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86.5%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37CD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56.8%</w:t>
            </w:r>
          </w:p>
        </w:tc>
      </w:tr>
      <w:tr w:rsidR="001020C0" w:rsidRPr="001020C0" w14:paraId="6D677685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8D5F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At 80% of Area Median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3295" w14:textId="77777777" w:rsidR="001020C0" w:rsidRPr="001020C0" w:rsidRDefault="001020C0" w:rsidP="001020C0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307" w14:textId="77777777" w:rsidR="001020C0" w:rsidRPr="001020C0" w:rsidRDefault="001020C0" w:rsidP="001020C0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20C0" w:rsidRPr="001020C0" w14:paraId="44ADACB9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CA7F" w14:textId="1255C159" w:rsidR="001020C0" w:rsidRPr="001020C0" w:rsidRDefault="00BB2EA7" w:rsidP="001020C0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Average H +</w:t>
            </w:r>
            <w:r w:rsidR="001020C0"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as a Percent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3F7B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45.6%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2741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55.0%</w:t>
            </w:r>
          </w:p>
        </w:tc>
      </w:tr>
      <w:tr w:rsidR="001020C0" w:rsidRPr="001020C0" w14:paraId="01B8C28C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1351" w14:textId="045D3468" w:rsidR="001020C0" w:rsidRPr="001020C0" w:rsidRDefault="00BB2EA7" w:rsidP="001020C0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Percent of ACs with H +</w:t>
            </w:r>
            <w:r w:rsidR="001020C0"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below 45%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E9A8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37.9%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D10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</w:tr>
      <w:tr w:rsidR="001020C0" w:rsidRPr="001020C0" w14:paraId="592FC51E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1F45" w14:textId="50CB48F2" w:rsidR="001020C0" w:rsidRPr="001020C0" w:rsidRDefault="001020C0" w:rsidP="001020C0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Percent o</w:t>
            </w:r>
            <w:r w:rsidR="00BB2EA7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f HHs in Block Groups with H +</w:t>
            </w: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T Cost below 45% of Income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6C90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52.5%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C0A1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25.9%</w:t>
            </w:r>
          </w:p>
        </w:tc>
      </w:tr>
      <w:tr w:rsidR="001020C0" w:rsidRPr="001020C0" w14:paraId="333C5E6A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E791" w14:textId="77777777" w:rsidR="001020C0" w:rsidRPr="001020C0" w:rsidRDefault="001020C0" w:rsidP="001020C0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6D15" w14:textId="77777777" w:rsidR="001020C0" w:rsidRPr="001020C0" w:rsidRDefault="001020C0" w:rsidP="001020C0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9C71" w14:textId="77777777" w:rsidR="001020C0" w:rsidRPr="001020C0" w:rsidRDefault="001020C0" w:rsidP="001020C0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20C0" w:rsidRPr="001020C0" w14:paraId="3C2BA739" w14:textId="77777777" w:rsidTr="001020C0">
        <w:trPr>
          <w:trHeight w:val="300"/>
        </w:trPr>
        <w:tc>
          <w:tcPr>
            <w:tcW w:w="8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C74D" w14:textId="77777777" w:rsidR="001020C0" w:rsidRPr="001020C0" w:rsidRDefault="001020C0" w:rsidP="001020C0">
            <w:pPr>
              <w:ind w:firstLineChars="100" w:firstLine="22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Source: Center for Neighborhood Technology, Housing + Transportation Index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90B1" w14:textId="77777777" w:rsidR="001020C0" w:rsidRPr="001020C0" w:rsidRDefault="001020C0" w:rsidP="001020C0">
            <w:pPr>
              <w:ind w:firstLineChars="100" w:firstLine="22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</w:tr>
      <w:tr w:rsidR="001020C0" w:rsidRPr="001020C0" w14:paraId="359F3AEC" w14:textId="77777777" w:rsidTr="001020C0">
        <w:trPr>
          <w:trHeight w:val="300"/>
        </w:trPr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1623" w14:textId="77777777" w:rsidR="001020C0" w:rsidRPr="001020C0" w:rsidRDefault="001020C0" w:rsidP="001020C0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1020C0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*A variety of data inputs are used but the most recent year used is 2013.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3427" w14:textId="77777777" w:rsidR="001020C0" w:rsidRPr="001020C0" w:rsidRDefault="001020C0" w:rsidP="001020C0">
            <w:pPr>
              <w:ind w:firstLineChars="200" w:firstLine="440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8452" w14:textId="77777777" w:rsidR="001020C0" w:rsidRPr="001020C0" w:rsidRDefault="001020C0" w:rsidP="001020C0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2509A44" w14:textId="77777777" w:rsidR="001020C0" w:rsidRPr="001020C0" w:rsidRDefault="001020C0" w:rsidP="00BB2EA7">
      <w:pPr>
        <w:pStyle w:val="ListParagraph"/>
        <w:ind w:left="1440"/>
      </w:pPr>
    </w:p>
    <w:p w14:paraId="2CF915A8" w14:textId="77777777" w:rsidR="001020C0" w:rsidRDefault="001020C0" w:rsidP="0099368B">
      <w:pPr>
        <w:rPr>
          <w:i/>
        </w:rPr>
      </w:pPr>
    </w:p>
    <w:p w14:paraId="505D15CB" w14:textId="4146F8C3" w:rsidR="00722D6F" w:rsidRDefault="00BB2EA7" w:rsidP="00BB2EA7">
      <w:pPr>
        <w:pStyle w:val="ListParagraph"/>
        <w:numPr>
          <w:ilvl w:val="0"/>
          <w:numId w:val="6"/>
        </w:numPr>
      </w:pPr>
      <w:r w:rsidRPr="00722D6F">
        <w:rPr>
          <w:b/>
        </w:rPr>
        <w:t>Percentage of the region’s subsidized affordable units located in Activity Centers</w:t>
      </w:r>
      <w:r>
        <w:t>.</w:t>
      </w:r>
      <w:r w:rsidR="00722D6F">
        <w:t xml:space="preserve">  (see map below)</w:t>
      </w:r>
    </w:p>
    <w:p w14:paraId="5AC22F79" w14:textId="77777777" w:rsidR="00722D6F" w:rsidRDefault="00722D6F">
      <w:r>
        <w:br w:type="page"/>
      </w:r>
    </w:p>
    <w:p w14:paraId="4A103B67" w14:textId="1F6B286E" w:rsidR="003F4DA2" w:rsidRDefault="003F4DA2" w:rsidP="00722D6F">
      <w:pPr>
        <w:pStyle w:val="ListParagraph"/>
        <w:ind w:left="792"/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3D94F65E" wp14:editId="2E6172F1">
            <wp:simplePos x="0" y="0"/>
            <wp:positionH relativeFrom="margin">
              <wp:posOffset>-732790</wp:posOffset>
            </wp:positionH>
            <wp:positionV relativeFrom="paragraph">
              <wp:posOffset>0</wp:posOffset>
            </wp:positionV>
            <wp:extent cx="6675755" cy="7858125"/>
            <wp:effectExtent l="0" t="0" r="0" b="9525"/>
            <wp:wrapTight wrapText="bothSides">
              <wp:wrapPolygon edited="0">
                <wp:start x="0" y="0"/>
                <wp:lineTo x="0" y="21574"/>
                <wp:lineTo x="21512" y="21574"/>
                <wp:lineTo x="21512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5255C" w14:textId="0401D0C4" w:rsidR="00BB2EA7" w:rsidRPr="00BB2EA7" w:rsidRDefault="00BB2EA7" w:rsidP="00722D6F">
      <w:pPr>
        <w:pStyle w:val="ListParagraph"/>
        <w:ind w:left="792"/>
      </w:pPr>
    </w:p>
    <w:p w14:paraId="7765DC30" w14:textId="75B0EC6E" w:rsidR="001020C0" w:rsidRDefault="001020C0" w:rsidP="0099368B">
      <w:pPr>
        <w:rPr>
          <w:i/>
        </w:rPr>
      </w:pPr>
    </w:p>
    <w:p w14:paraId="432BEFB7" w14:textId="516B2567" w:rsidR="003F4DA2" w:rsidRPr="003F4DA2" w:rsidRDefault="003F4DA2" w:rsidP="003F4DA2">
      <w:pPr>
        <w:pStyle w:val="ListParagraph"/>
        <w:numPr>
          <w:ilvl w:val="0"/>
          <w:numId w:val="6"/>
        </w:numPr>
        <w:rPr>
          <w:b/>
        </w:rPr>
      </w:pPr>
      <w:r w:rsidRPr="003F4DA2">
        <w:rPr>
          <w:b/>
        </w:rPr>
        <w:t xml:space="preserve">The region will maintain a minimum of 30% of the region’s housing stock affordable to households earning less than 80% of regional median income, including 10% of units affordable to very-low income households (31-50% AMI) and 10% of units affordable to extremely low-income households (0-30% AMI). </w:t>
      </w:r>
    </w:p>
    <w:p w14:paraId="1686AE92" w14:textId="77777777" w:rsidR="003F4DA2" w:rsidRDefault="003F4DA2" w:rsidP="003F4DA2"/>
    <w:tbl>
      <w:tblPr>
        <w:tblW w:w="8360" w:type="dxa"/>
        <w:tblLook w:val="04A0" w:firstRow="1" w:lastRow="0" w:firstColumn="1" w:lastColumn="0" w:noHBand="0" w:noVBand="1"/>
      </w:tblPr>
      <w:tblGrid>
        <w:gridCol w:w="2553"/>
        <w:gridCol w:w="1577"/>
        <w:gridCol w:w="1575"/>
        <w:gridCol w:w="1575"/>
        <w:gridCol w:w="1107"/>
      </w:tblGrid>
      <w:tr w:rsidR="003F4DA2" w:rsidRPr="003F4DA2" w14:paraId="5F37660E" w14:textId="77777777" w:rsidTr="003F4DA2">
        <w:trPr>
          <w:trHeight w:val="289"/>
        </w:trPr>
        <w:tc>
          <w:tcPr>
            <w:tcW w:w="72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3774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percentage of rental units affordable at or below 80% AMI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4D76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73.1%</w:t>
            </w:r>
          </w:p>
        </w:tc>
      </w:tr>
      <w:tr w:rsidR="003F4DA2" w:rsidRPr="003F4DA2" w14:paraId="2D1E9762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1E25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6354" w14:textId="6445F6C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very low income (30-50%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9151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51.8%</w:t>
            </w:r>
          </w:p>
        </w:tc>
      </w:tr>
      <w:tr w:rsidR="003F4DA2" w:rsidRPr="003F4DA2" w14:paraId="110AAB3B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64F8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33D1" w14:textId="3C4D1903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extremely low income (0-30%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BBD4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15.0%</w:t>
            </w:r>
          </w:p>
        </w:tc>
      </w:tr>
      <w:tr w:rsidR="003F4DA2" w:rsidRPr="003F4DA2" w14:paraId="4E56BBFA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A99C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A1D5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5241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546B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4751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3F4DA2" w:rsidRPr="003F4DA2" w14:paraId="4D7CE3C0" w14:textId="77777777" w:rsidTr="003F4DA2">
        <w:trPr>
          <w:trHeight w:val="300"/>
        </w:trPr>
        <w:tc>
          <w:tcPr>
            <w:tcW w:w="728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3F95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percentage of ownership units affordable at or below 80% AMI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2833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25.0%</w:t>
            </w:r>
          </w:p>
        </w:tc>
      </w:tr>
      <w:tr w:rsidR="003F4DA2" w:rsidRPr="003F4DA2" w14:paraId="0571A6F8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1192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D932" w14:textId="546FEBF1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very low income (30-50%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0DC2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11.8%</w:t>
            </w:r>
          </w:p>
        </w:tc>
      </w:tr>
      <w:tr w:rsidR="003F4DA2" w:rsidRPr="003F4DA2" w14:paraId="48153ED1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2340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010" w14:textId="021C09EF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extremely low income (0-30%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A2B9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3.8%</w:t>
            </w:r>
          </w:p>
        </w:tc>
      </w:tr>
      <w:tr w:rsidR="003F4DA2" w:rsidRPr="003F4DA2" w14:paraId="30C30EDC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A6D3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D0C3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6FB9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16D3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77FE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3F4DA2" w:rsidRPr="003F4DA2" w14:paraId="6C77DFD1" w14:textId="77777777" w:rsidTr="003F4DA2">
        <w:trPr>
          <w:trHeight w:val="300"/>
        </w:trPr>
        <w:tc>
          <w:tcPr>
            <w:tcW w:w="413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E19E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>total renter and owner units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B9F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CD0E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7810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1,852,700</w:t>
            </w:r>
          </w:p>
        </w:tc>
      </w:tr>
      <w:tr w:rsidR="003F4DA2" w:rsidRPr="003F4DA2" w14:paraId="0F24EFD6" w14:textId="77777777" w:rsidTr="003F4DA2">
        <w:trPr>
          <w:trHeight w:val="300"/>
        </w:trPr>
        <w:tc>
          <w:tcPr>
            <w:tcW w:w="728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453E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total (rental + ownership) units affordable at or below 80% AMI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028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806,500</w:t>
            </w:r>
          </w:p>
        </w:tc>
      </w:tr>
      <w:tr w:rsidR="003F4DA2" w:rsidRPr="003F4DA2" w14:paraId="0BE44AA2" w14:textId="77777777" w:rsidTr="003F4DA2">
        <w:trPr>
          <w:trHeight w:val="300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AC27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0B9E" w14:textId="42850ECD" w:rsidR="003F4DA2" w:rsidRPr="003F4DA2" w:rsidRDefault="003F4DA2" w:rsidP="003F4DA2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 xml:space="preserve"> - regional total (rental &amp; homeownership)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F86FC3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>43.5%</w:t>
            </w:r>
          </w:p>
        </w:tc>
      </w:tr>
      <w:tr w:rsidR="003F4DA2" w:rsidRPr="003F4DA2" w14:paraId="50E00ECD" w14:textId="77777777" w:rsidTr="003F4DA2">
        <w:trPr>
          <w:trHeight w:val="300"/>
        </w:trPr>
        <w:tc>
          <w:tcPr>
            <w:tcW w:w="728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E492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total units affordable to Very Low Income (30-50%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85F7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353,800</w:t>
            </w:r>
          </w:p>
        </w:tc>
      </w:tr>
      <w:tr w:rsidR="003F4DA2" w:rsidRPr="003F4DA2" w14:paraId="2AF25D71" w14:textId="77777777" w:rsidTr="003F4DA2">
        <w:trPr>
          <w:trHeight w:val="615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9F8C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85DD" w14:textId="580AAA5F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very low income (30-50% AMI)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E15E7A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>19%</w:t>
            </w:r>
          </w:p>
        </w:tc>
      </w:tr>
      <w:tr w:rsidR="003F4DA2" w:rsidRPr="003F4DA2" w14:paraId="52F71864" w14:textId="77777777" w:rsidTr="003F4DA2">
        <w:trPr>
          <w:trHeight w:val="300"/>
        </w:trPr>
        <w:tc>
          <w:tcPr>
            <w:tcW w:w="413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79D7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total units affordable to ELI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F303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A5FE" w14:textId="77777777" w:rsidR="003F4DA2" w:rsidRPr="003F4DA2" w:rsidRDefault="003F4DA2" w:rsidP="003F4DA2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A3F6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150,500</w:t>
            </w:r>
          </w:p>
        </w:tc>
      </w:tr>
      <w:tr w:rsidR="003F4DA2" w:rsidRPr="003F4DA2" w14:paraId="293C1FDC" w14:textId="77777777" w:rsidTr="003F4DA2">
        <w:trPr>
          <w:trHeight w:val="31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F9043" w14:textId="77777777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 </w:t>
            </w:r>
          </w:p>
        </w:tc>
        <w:tc>
          <w:tcPr>
            <w:tcW w:w="47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E55AD" w14:textId="2424635E" w:rsidR="003F4DA2" w:rsidRPr="003F4DA2" w:rsidRDefault="003F4DA2" w:rsidP="003F4DA2">
            <w:pP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>%</w:t>
            </w:r>
            <w:r w:rsidRPr="003F4DA2">
              <w:rPr>
                <w:rFonts w:ascii="Calibri" w:eastAsia="Times New Roman" w:hAnsi="Calibri" w:cs="Times New Roman"/>
                <w:color w:val="000000"/>
                <w:szCs w:val="22"/>
                <w:lang w:eastAsia="en-US"/>
              </w:rPr>
              <w:t xml:space="preserve"> affordable to extremely low income (0-30% AMI)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E2980B9" w14:textId="77777777" w:rsidR="003F4DA2" w:rsidRPr="003F4DA2" w:rsidRDefault="003F4DA2" w:rsidP="003F4DA2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</w:pPr>
            <w:r w:rsidRPr="003F4DA2">
              <w:rPr>
                <w:rFonts w:ascii="Calibri" w:eastAsia="Times New Roman" w:hAnsi="Calibri" w:cs="Times New Roman"/>
                <w:b/>
                <w:bCs/>
                <w:color w:val="000000"/>
                <w:szCs w:val="22"/>
                <w:lang w:eastAsia="en-US"/>
              </w:rPr>
              <w:t>8%</w:t>
            </w:r>
          </w:p>
        </w:tc>
      </w:tr>
    </w:tbl>
    <w:p w14:paraId="20710CE2" w14:textId="77777777" w:rsidR="003F4DA2" w:rsidRDefault="003F4DA2" w:rsidP="003F4DA2">
      <w:pPr>
        <w:rPr>
          <w:rFonts w:ascii="Calibri" w:eastAsia="Times New Roman" w:hAnsi="Calibri" w:cs="Times New Roman"/>
          <w:color w:val="000000"/>
          <w:szCs w:val="22"/>
          <w:lang w:eastAsia="en-US"/>
        </w:rPr>
      </w:pPr>
    </w:p>
    <w:p w14:paraId="6024217D" w14:textId="1F371D70" w:rsidR="003F4DA2" w:rsidRPr="003F4DA2" w:rsidRDefault="003F4DA2" w:rsidP="003F4DA2">
      <w:pPr>
        <w:rPr>
          <w:rFonts w:ascii="Calibri" w:eastAsia="Times New Roman" w:hAnsi="Calibri" w:cs="Times New Roman"/>
          <w:color w:val="000000"/>
          <w:szCs w:val="22"/>
          <w:lang w:eastAsia="en-US"/>
        </w:rPr>
      </w:pPr>
      <w:r>
        <w:rPr>
          <w:rFonts w:ascii="Calibri" w:eastAsia="Times New Roman" w:hAnsi="Calibri" w:cs="Times New Roman"/>
          <w:color w:val="000000"/>
          <w:szCs w:val="22"/>
          <w:lang w:eastAsia="en-US"/>
        </w:rPr>
        <w:t xml:space="preserve">NOTE:  </w:t>
      </w:r>
      <w:r w:rsidRPr="003F4DA2">
        <w:rPr>
          <w:rFonts w:ascii="Calibri" w:eastAsia="Times New Roman" w:hAnsi="Calibri" w:cs="Times New Roman"/>
          <w:color w:val="000000"/>
          <w:szCs w:val="22"/>
          <w:lang w:eastAsia="en-US"/>
        </w:rPr>
        <w:t xml:space="preserve">From the Housing Security Study, page 29: "Together, more than half of the Washington region's 714,500 rental units were potentially affordable to very low or extremely low income households. However, a substantial share of affordable units were not available to very low or extremely low income renters </w:t>
      </w:r>
      <w:r w:rsidRPr="003F4DA2">
        <w:rPr>
          <w:rFonts w:ascii="Calibri" w:eastAsia="Times New Roman" w:hAnsi="Calibri" w:cs="Times New Roman"/>
          <w:i/>
          <w:iCs/>
          <w:color w:val="000000"/>
          <w:szCs w:val="22"/>
          <w:u w:val="single"/>
          <w:lang w:eastAsia="en-US"/>
        </w:rPr>
        <w:t>because they were occupied by households with higher incomes</w:t>
      </w:r>
      <w:r w:rsidRPr="003F4DA2">
        <w:rPr>
          <w:rFonts w:ascii="Calibri" w:eastAsia="Times New Roman" w:hAnsi="Calibri" w:cs="Times New Roman"/>
          <w:color w:val="000000"/>
          <w:szCs w:val="22"/>
          <w:lang w:eastAsia="en-US"/>
        </w:rPr>
        <w:t xml:space="preserve">."  From page 47: "As with rentals, higher-income owners were crowding out lower-income households. Of the 43,500 units in the region affordable to an extremely low income, first-time homebuyer, 32,100, or 74 percent, were occupied by an owner with a higher household income than was needed to afford the units. Higher-income households occupied approximately 69 percent of units affordable to the very low income and 66 percent of those affordable to the low income. </w:t>
      </w:r>
      <w:r w:rsidRPr="003F4DA2">
        <w:rPr>
          <w:rFonts w:ascii="Calibri" w:eastAsia="Times New Roman" w:hAnsi="Calibri" w:cs="Times New Roman"/>
          <w:i/>
          <w:iCs/>
          <w:color w:val="000000"/>
          <w:szCs w:val="22"/>
          <w:u w:val="single"/>
          <w:lang w:eastAsia="en-US"/>
        </w:rPr>
        <w:t>Crowding out by higher-</w:t>
      </w:r>
      <w:proofErr w:type="spellStart"/>
      <w:r w:rsidRPr="003F4DA2">
        <w:rPr>
          <w:rFonts w:ascii="Calibri" w:eastAsia="Times New Roman" w:hAnsi="Calibri" w:cs="Times New Roman"/>
          <w:i/>
          <w:iCs/>
          <w:color w:val="000000"/>
          <w:szCs w:val="22"/>
          <w:u w:val="single"/>
          <w:lang w:eastAsia="en-US"/>
        </w:rPr>
        <w:t>incomeowners</w:t>
      </w:r>
      <w:proofErr w:type="spellEnd"/>
      <w:r w:rsidRPr="003F4DA2">
        <w:rPr>
          <w:rFonts w:ascii="Calibri" w:eastAsia="Times New Roman" w:hAnsi="Calibri" w:cs="Times New Roman"/>
          <w:i/>
          <w:iCs/>
          <w:color w:val="000000"/>
          <w:szCs w:val="22"/>
          <w:u w:val="single"/>
          <w:lang w:eastAsia="en-US"/>
        </w:rPr>
        <w:t xml:space="preserve"> reduced the supply of affordable and available units for all lower-income groups</w:t>
      </w:r>
      <w:r w:rsidRPr="003F4DA2">
        <w:rPr>
          <w:rFonts w:ascii="Calibri" w:eastAsia="Times New Roman" w:hAnsi="Calibri" w:cs="Times New Roman"/>
          <w:color w:val="000000"/>
          <w:szCs w:val="22"/>
          <w:lang w:eastAsia="en-US"/>
        </w:rPr>
        <w:t>."</w:t>
      </w:r>
    </w:p>
    <w:p w14:paraId="67F3953F" w14:textId="77777777" w:rsidR="003F4DA2" w:rsidRDefault="003F4DA2" w:rsidP="003F4DA2"/>
    <w:p w14:paraId="2304CE43" w14:textId="77777777" w:rsidR="003F4DA2" w:rsidRDefault="003F4DA2" w:rsidP="003F4DA2"/>
    <w:p w14:paraId="4DD8EF0E" w14:textId="77777777" w:rsidR="00913C7F" w:rsidRDefault="00913C7F" w:rsidP="003F4DA2"/>
    <w:p w14:paraId="1657C926" w14:textId="77777777" w:rsidR="00913C7F" w:rsidRDefault="00913C7F" w:rsidP="003F4DA2"/>
    <w:p w14:paraId="40CC8135" w14:textId="77777777" w:rsidR="00913C7F" w:rsidRDefault="00913C7F" w:rsidP="003F4DA2"/>
    <w:p w14:paraId="0085B642" w14:textId="77777777" w:rsidR="00913C7F" w:rsidRDefault="00913C7F" w:rsidP="003F4DA2"/>
    <w:p w14:paraId="24ADB9F3" w14:textId="77777777" w:rsidR="00913C7F" w:rsidRDefault="00913C7F" w:rsidP="003F4DA2"/>
    <w:p w14:paraId="37C36D0E" w14:textId="77777777" w:rsidR="00913C7F" w:rsidRDefault="00913C7F" w:rsidP="003F4DA2"/>
    <w:p w14:paraId="5F3B85E4" w14:textId="77777777" w:rsidR="00913C7F" w:rsidRDefault="00913C7F" w:rsidP="003F4DA2"/>
    <w:p w14:paraId="098C6F39" w14:textId="77777777" w:rsidR="00913C7F" w:rsidRDefault="00913C7F" w:rsidP="003F4DA2"/>
    <w:p w14:paraId="6B9386B1" w14:textId="77777777" w:rsidR="00913C7F" w:rsidRDefault="00913C7F" w:rsidP="003F4DA2"/>
    <w:p w14:paraId="6B8353E6" w14:textId="77777777" w:rsidR="00D279D6" w:rsidRDefault="00D279D6" w:rsidP="003F4DA2"/>
    <w:p w14:paraId="15A31BDB" w14:textId="77777777" w:rsidR="00913C7F" w:rsidRDefault="00913C7F" w:rsidP="003F4DA2"/>
    <w:p w14:paraId="2D70553C" w14:textId="77777777" w:rsidR="00913C7F" w:rsidRDefault="00913C7F" w:rsidP="003F4DA2"/>
    <w:p w14:paraId="4982ACDF" w14:textId="77777777" w:rsidR="00913C7F" w:rsidRDefault="00913C7F" w:rsidP="003F4DA2"/>
    <w:p w14:paraId="10F66251" w14:textId="470E68E4" w:rsidR="00913C7F" w:rsidRDefault="00913C7F" w:rsidP="00913C7F">
      <w:pPr>
        <w:pStyle w:val="ListParagraph"/>
        <w:numPr>
          <w:ilvl w:val="0"/>
          <w:numId w:val="6"/>
        </w:numPr>
        <w:rPr>
          <w:b/>
        </w:rPr>
      </w:pPr>
      <w:r w:rsidRPr="00913C7F">
        <w:rPr>
          <w:b/>
        </w:rPr>
        <w:t>Housing Cost-Burdened Renter Households</w:t>
      </w:r>
    </w:p>
    <w:p w14:paraId="78DE3D71" w14:textId="77777777" w:rsidR="00D279D6" w:rsidRPr="00D279D6" w:rsidRDefault="00D279D6" w:rsidP="00D279D6">
      <w:pPr>
        <w:rPr>
          <w:b/>
        </w:rPr>
      </w:pPr>
    </w:p>
    <w:p w14:paraId="2C37302F" w14:textId="0EDAD1FE" w:rsidR="00913C7F" w:rsidRDefault="00D279D6" w:rsidP="00913C7F">
      <w:pPr>
        <w:pStyle w:val="ListParagraph"/>
        <w:ind w:left="792"/>
        <w:rPr>
          <w:b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317C71EA" wp14:editId="5135230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526" y="21489"/>
                <wp:lineTo x="21526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03930" w14:textId="034E4A2E" w:rsidR="00913C7F" w:rsidRDefault="00913C7F" w:rsidP="00913C7F">
      <w:pPr>
        <w:pStyle w:val="ListParagraph"/>
        <w:ind w:left="792"/>
        <w:rPr>
          <w:b/>
        </w:rPr>
      </w:pPr>
    </w:p>
    <w:p w14:paraId="26DED688" w14:textId="33D225ED" w:rsidR="00913C7F" w:rsidRDefault="00913C7F" w:rsidP="00913C7F">
      <w:pPr>
        <w:pStyle w:val="ListParagraph"/>
        <w:ind w:left="792"/>
        <w:rPr>
          <w:b/>
        </w:rPr>
      </w:pPr>
    </w:p>
    <w:p w14:paraId="4696360A" w14:textId="52A3A473" w:rsidR="00913C7F" w:rsidRDefault="00913C7F" w:rsidP="00913C7F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Housing Cost-Burdened Owner Households</w:t>
      </w:r>
    </w:p>
    <w:p w14:paraId="019CDA44" w14:textId="6AE8BE72" w:rsidR="00913C7F" w:rsidRDefault="00D279D6" w:rsidP="00913C7F">
      <w:pPr>
        <w:rPr>
          <w:b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022A94F7" wp14:editId="499A11F4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554355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526" y="21543"/>
                <wp:lineTo x="21526" y="0"/>
                <wp:lineTo x="0" y="0"/>
              </wp:wrapPolygon>
            </wp:wrapTight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69600" w14:textId="56C63638" w:rsidR="00913C7F" w:rsidRPr="00913C7F" w:rsidRDefault="00913C7F" w:rsidP="00913C7F">
      <w:pPr>
        <w:rPr>
          <w:b/>
        </w:rPr>
      </w:pPr>
    </w:p>
    <w:sectPr w:rsidR="00913C7F" w:rsidRPr="00913C7F" w:rsidSect="00722D6F"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72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0E3FE" w14:textId="77777777" w:rsidR="004D12D7" w:rsidRDefault="004D12D7" w:rsidP="00143CE3">
      <w:r>
        <w:separator/>
      </w:r>
    </w:p>
    <w:p w14:paraId="52D10E08" w14:textId="77777777" w:rsidR="004D12D7" w:rsidRDefault="004D12D7"/>
    <w:p w14:paraId="26EEEDDD" w14:textId="77777777" w:rsidR="004D12D7" w:rsidRDefault="004D12D7"/>
    <w:p w14:paraId="61501EC3" w14:textId="77777777" w:rsidR="004D12D7" w:rsidRDefault="004D12D7"/>
    <w:p w14:paraId="098B5A51" w14:textId="77777777" w:rsidR="004D12D7" w:rsidRDefault="004D12D7"/>
    <w:p w14:paraId="56B493DA" w14:textId="77777777" w:rsidR="004D12D7" w:rsidRDefault="004D12D7"/>
  </w:endnote>
  <w:endnote w:type="continuationSeparator" w:id="0">
    <w:p w14:paraId="5D27E167" w14:textId="77777777" w:rsidR="004D12D7" w:rsidRDefault="004D12D7" w:rsidP="00143CE3">
      <w:r>
        <w:continuationSeparator/>
      </w:r>
    </w:p>
    <w:p w14:paraId="1E1392F6" w14:textId="77777777" w:rsidR="004D12D7" w:rsidRDefault="004D12D7"/>
    <w:p w14:paraId="3555E4FE" w14:textId="77777777" w:rsidR="004D12D7" w:rsidRDefault="004D12D7"/>
    <w:p w14:paraId="36294A88" w14:textId="77777777" w:rsidR="004D12D7" w:rsidRDefault="004D12D7"/>
    <w:p w14:paraId="6A68157A" w14:textId="77777777" w:rsidR="004D12D7" w:rsidRDefault="004D12D7"/>
    <w:p w14:paraId="1F6F979D" w14:textId="77777777" w:rsidR="004D12D7" w:rsidRDefault="004D1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7658D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4D12D7" w:rsidRDefault="00F968B5" w:rsidP="00CB1397">
    <w:sdt>
      <w:sdtPr>
        <w:id w:val="623816800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12C62BAD" w14:textId="77777777" w:rsidR="004D12D7" w:rsidRDefault="004D12D7"/>
  <w:p w14:paraId="4D31C016" w14:textId="77777777" w:rsidR="004D12D7" w:rsidRDefault="004D12D7"/>
  <w:p w14:paraId="573E0F95" w14:textId="77777777" w:rsidR="004D12D7" w:rsidRDefault="004D12D7"/>
  <w:p w14:paraId="1373A483" w14:textId="77777777" w:rsidR="004D12D7" w:rsidRDefault="004D12D7"/>
  <w:p w14:paraId="43CFA52C" w14:textId="77777777"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56941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F968B5">
      <w:rPr>
        <w:rStyle w:val="COG-PAGENUMBER"/>
        <w:noProof/>
      </w:rPr>
      <w:t>4</w:t>
    </w:r>
    <w:r w:rsidRPr="006F317F">
      <w:rPr>
        <w:rStyle w:val="COG-PAGENUMBER"/>
      </w:rPr>
      <w:fldChar w:fldCharType="end"/>
    </w:r>
  </w:p>
  <w:p w14:paraId="4EE0A6EF" w14:textId="1373BEC8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010396B1" wp14:editId="01B8B130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C1FE6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4775F3B0" w14:textId="0611052D" w:rsidR="004D12D7" w:rsidRPr="008D06B6" w:rsidRDefault="004D12D7" w:rsidP="00F22B18">
    <w:pPr>
      <w:pStyle w:val="COG-LHAddress"/>
    </w:pPr>
    <w:r w:rsidRPr="002B3ACF">
      <w:t>MWCOG.</w:t>
    </w:r>
    <w:r w:rsidR="0038189C">
      <w:t>ORG    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016D5" w14:textId="77777777" w:rsidR="004D12D7" w:rsidRDefault="004D12D7" w:rsidP="00143CE3">
      <w:r>
        <w:separator/>
      </w:r>
    </w:p>
    <w:p w14:paraId="4BA3B1E5" w14:textId="77777777" w:rsidR="004D12D7" w:rsidRDefault="004D12D7"/>
    <w:p w14:paraId="3C70D0EA" w14:textId="77777777" w:rsidR="004D12D7" w:rsidRDefault="004D12D7"/>
    <w:p w14:paraId="407018BD" w14:textId="77777777" w:rsidR="004D12D7" w:rsidRDefault="004D12D7"/>
    <w:p w14:paraId="726B1F1C" w14:textId="77777777" w:rsidR="004D12D7" w:rsidRDefault="004D12D7"/>
    <w:p w14:paraId="10DDA062" w14:textId="77777777" w:rsidR="004D12D7" w:rsidRDefault="004D12D7"/>
  </w:footnote>
  <w:footnote w:type="continuationSeparator" w:id="0">
    <w:p w14:paraId="1F38D1EF" w14:textId="77777777" w:rsidR="004D12D7" w:rsidRDefault="004D12D7" w:rsidP="00143CE3">
      <w:r>
        <w:continuationSeparator/>
      </w:r>
    </w:p>
    <w:p w14:paraId="2394B60D" w14:textId="77777777" w:rsidR="004D12D7" w:rsidRDefault="004D12D7"/>
    <w:p w14:paraId="22AE6BEC" w14:textId="77777777" w:rsidR="004D12D7" w:rsidRDefault="004D12D7"/>
    <w:p w14:paraId="5AFBA08E" w14:textId="77777777" w:rsidR="004D12D7" w:rsidRDefault="004D12D7"/>
    <w:p w14:paraId="239B9FAD" w14:textId="77777777" w:rsidR="004D12D7" w:rsidRDefault="004D12D7"/>
    <w:p w14:paraId="217C2C73" w14:textId="77777777" w:rsidR="004D12D7" w:rsidRDefault="004D12D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11AB9" w14:textId="7B946409" w:rsidR="004D12D7" w:rsidRDefault="004D12D7">
    <w:r>
      <w:rPr>
        <w:noProof/>
        <w:lang w:eastAsia="en-US"/>
      </w:rPr>
      <w:drawing>
        <wp:inline distT="0" distB="0" distL="0" distR="0" wp14:anchorId="06CEB75E" wp14:editId="08715F36">
          <wp:extent cx="2844766" cy="527762"/>
          <wp:effectExtent l="0" t="0" r="635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E543D"/>
    <w:multiLevelType w:val="hybridMultilevel"/>
    <w:tmpl w:val="CD221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74E02"/>
    <w:multiLevelType w:val="hybridMultilevel"/>
    <w:tmpl w:val="AF7C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603B1"/>
    <w:multiLevelType w:val="hybridMultilevel"/>
    <w:tmpl w:val="0F30E5EE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F92"/>
    <w:rsid w:val="000645B3"/>
    <w:rsid w:val="00095287"/>
    <w:rsid w:val="00096445"/>
    <w:rsid w:val="00097F42"/>
    <w:rsid w:val="001020C0"/>
    <w:rsid w:val="00143CE3"/>
    <w:rsid w:val="00164434"/>
    <w:rsid w:val="00173209"/>
    <w:rsid w:val="00196BFC"/>
    <w:rsid w:val="001B0AE3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2E162A"/>
    <w:rsid w:val="003253C4"/>
    <w:rsid w:val="00381560"/>
    <w:rsid w:val="0038189C"/>
    <w:rsid w:val="003C12EF"/>
    <w:rsid w:val="003F386C"/>
    <w:rsid w:val="003F4DA2"/>
    <w:rsid w:val="004505A6"/>
    <w:rsid w:val="00460309"/>
    <w:rsid w:val="004C5BA0"/>
    <w:rsid w:val="004D12D7"/>
    <w:rsid w:val="00501CA7"/>
    <w:rsid w:val="0051249E"/>
    <w:rsid w:val="0053440A"/>
    <w:rsid w:val="00550DB0"/>
    <w:rsid w:val="00583C0A"/>
    <w:rsid w:val="005953E3"/>
    <w:rsid w:val="00596D56"/>
    <w:rsid w:val="005A03A5"/>
    <w:rsid w:val="005A4D0D"/>
    <w:rsid w:val="005D5483"/>
    <w:rsid w:val="005D7644"/>
    <w:rsid w:val="005F18EA"/>
    <w:rsid w:val="005F4D7F"/>
    <w:rsid w:val="005F6D78"/>
    <w:rsid w:val="00612970"/>
    <w:rsid w:val="00617C43"/>
    <w:rsid w:val="00630242"/>
    <w:rsid w:val="00631A75"/>
    <w:rsid w:val="00652152"/>
    <w:rsid w:val="0066368B"/>
    <w:rsid w:val="00671205"/>
    <w:rsid w:val="00681879"/>
    <w:rsid w:val="006A02AB"/>
    <w:rsid w:val="006B0452"/>
    <w:rsid w:val="006B7537"/>
    <w:rsid w:val="006E3D82"/>
    <w:rsid w:val="006F317F"/>
    <w:rsid w:val="00722D6F"/>
    <w:rsid w:val="00771FEA"/>
    <w:rsid w:val="008152BE"/>
    <w:rsid w:val="0081776E"/>
    <w:rsid w:val="008323AD"/>
    <w:rsid w:val="008406DC"/>
    <w:rsid w:val="00844812"/>
    <w:rsid w:val="00883A4A"/>
    <w:rsid w:val="008B3E52"/>
    <w:rsid w:val="008C5E18"/>
    <w:rsid w:val="008D06B6"/>
    <w:rsid w:val="008F35E6"/>
    <w:rsid w:val="00913C7F"/>
    <w:rsid w:val="00915B8B"/>
    <w:rsid w:val="00937BE1"/>
    <w:rsid w:val="009428C8"/>
    <w:rsid w:val="009705CF"/>
    <w:rsid w:val="00972741"/>
    <w:rsid w:val="0099368B"/>
    <w:rsid w:val="00A067A2"/>
    <w:rsid w:val="00A14985"/>
    <w:rsid w:val="00A17D3D"/>
    <w:rsid w:val="00AB4F8A"/>
    <w:rsid w:val="00B12264"/>
    <w:rsid w:val="00B16715"/>
    <w:rsid w:val="00B35255"/>
    <w:rsid w:val="00B44714"/>
    <w:rsid w:val="00B741B2"/>
    <w:rsid w:val="00BB2EA7"/>
    <w:rsid w:val="00BF4EE2"/>
    <w:rsid w:val="00C45E55"/>
    <w:rsid w:val="00C97BCC"/>
    <w:rsid w:val="00CB1397"/>
    <w:rsid w:val="00D03B4C"/>
    <w:rsid w:val="00D219A4"/>
    <w:rsid w:val="00D279D6"/>
    <w:rsid w:val="00D32BDD"/>
    <w:rsid w:val="00D34639"/>
    <w:rsid w:val="00D375F2"/>
    <w:rsid w:val="00D41F3A"/>
    <w:rsid w:val="00D60158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8210E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257F3"/>
    <w:rsid w:val="00F34859"/>
    <w:rsid w:val="00F451E1"/>
    <w:rsid w:val="00F61A2B"/>
    <w:rsid w:val="00F968B5"/>
    <w:rsid w:val="00FB77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6C6CF96D"/>
  <w15:docId w15:val="{7CF481FE-FA75-40D3-8B0C-67B6E40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993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wcog.org\dfs\Common%20Cog\DCPS\Region%20Forward%20Coalition\2015%20RFC%20Economic%20Indicators%20Update\Economic%20Competitiveness%20Indicators%20as%20of%2011-5-1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285214348207"/>
          <c:y val="0.27819150461207243"/>
          <c:w val="0.83127515310586186"/>
          <c:h val="0.58307490610346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'#14 - Hsg Burden Renters'!$K$20</c:f>
              <c:strCache>
                <c:ptCount val="1"/>
                <c:pt idx="0">
                  <c:v>Cost Burdened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'#14 - Hsg Burden Renters'!$J$21:$J$25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'#14 - Hsg Burden Renters'!$K$21:$K$25</c:f>
              <c:numCache>
                <c:formatCode>0%</c:formatCode>
                <c:ptCount val="5"/>
                <c:pt idx="0">
                  <c:v>0.86</c:v>
                </c:pt>
                <c:pt idx="1">
                  <c:v>0.77</c:v>
                </c:pt>
                <c:pt idx="2">
                  <c:v>0.52</c:v>
                </c:pt>
                <c:pt idx="3">
                  <c:v>0.23</c:v>
                </c:pt>
                <c:pt idx="4">
                  <c:v>0.03</c:v>
                </c:pt>
              </c:numCache>
            </c:numRef>
          </c:val>
        </c:ser>
        <c:ser>
          <c:idx val="1"/>
          <c:order val="1"/>
          <c:tx>
            <c:strRef>
              <c:f>'#14 - Hsg Burden Renters'!$L$20</c:f>
              <c:strCache>
                <c:ptCount val="1"/>
                <c:pt idx="0">
                  <c:v>Severely Cost Burdened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'#14 - Hsg Burden Renters'!$J$21:$J$25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'#14 - Hsg Burden Renters'!$L$21:$L$25</c:f>
              <c:numCache>
                <c:formatCode>0%</c:formatCode>
                <c:ptCount val="5"/>
                <c:pt idx="0">
                  <c:v>0.72</c:v>
                </c:pt>
                <c:pt idx="1">
                  <c:v>0.25</c:v>
                </c:pt>
                <c:pt idx="2">
                  <c:v>0.06</c:v>
                </c:pt>
                <c:pt idx="3">
                  <c:v>0.01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9124520"/>
        <c:axId val="559124128"/>
      </c:barChart>
      <c:catAx>
        <c:axId val="559124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59124128"/>
        <c:crosses val="autoZero"/>
        <c:auto val="1"/>
        <c:lblAlgn val="ctr"/>
        <c:lblOffset val="100"/>
        <c:noMultiLvlLbl val="0"/>
      </c:catAx>
      <c:valAx>
        <c:axId val="55912412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%" sourceLinked="1"/>
        <c:majorTickMark val="out"/>
        <c:minorTickMark val="none"/>
        <c:tickLblPos val="nextTo"/>
        <c:crossAx val="559124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2378854305261704"/>
          <c:y val="0.91234742628373044"/>
          <c:w val="0.7877919947506562"/>
          <c:h val="8.3406964894035707E-2"/>
        </c:manualLayout>
      </c:layout>
      <c:overlay val="0"/>
    </c:legend>
    <c:plotVisOnly val="1"/>
    <c:dispBlanksAs val="gap"/>
    <c:showDLblsOverMax val="0"/>
  </c:chart>
  <c:spPr>
    <a:solidFill>
      <a:schemeClr val="lt1"/>
    </a:solidFill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</a:rPr>
              <a:t>Percent of Owner Households in the Washington Region Who are Cost-Burdened, 2009-11, by Income Level</a:t>
            </a:r>
            <a:r>
              <a:rPr lang="en-US" sz="1100" b="1" baseline="0">
                <a:solidFill>
                  <a:sysClr val="windowText" lastClr="000000"/>
                </a:solidFill>
              </a:rPr>
              <a:t> of Owner Households</a:t>
            </a:r>
          </a:p>
          <a:p>
            <a:pPr>
              <a:defRPr/>
            </a:pPr>
            <a:r>
              <a:rPr lang="en-US" sz="1100" b="0" i="1" baseline="0">
                <a:solidFill>
                  <a:sysClr val="windowText" lastClr="000000"/>
                </a:solidFill>
              </a:rPr>
              <a:t>Source: Housing Security in the Washington Region, Urban Institute &amp; Metropolitan Washington Council of Governments</a:t>
            </a:r>
            <a:endParaRPr lang="en-US" sz="1100" b="0" i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Cost Burdened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'#15 - Hsg Burden HO'!$I$6:$I$10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'#15 - Hsg Burden HO'!$J$6:$J$10</c:f>
              <c:numCache>
                <c:formatCode>0%</c:formatCode>
                <c:ptCount val="5"/>
                <c:pt idx="0">
                  <c:v>0.88</c:v>
                </c:pt>
                <c:pt idx="1">
                  <c:v>0.69</c:v>
                </c:pt>
                <c:pt idx="2">
                  <c:v>0.61</c:v>
                </c:pt>
                <c:pt idx="3">
                  <c:v>0.4</c:v>
                </c:pt>
                <c:pt idx="4">
                  <c:v>0.1</c:v>
                </c:pt>
              </c:numCache>
            </c:numRef>
          </c:val>
        </c:ser>
        <c:ser>
          <c:idx val="1"/>
          <c:order val="1"/>
          <c:tx>
            <c:v>Severely Cost Burdened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'#15 - Hsg Burden HO'!$I$6:$I$10</c:f>
              <c:strCache>
                <c:ptCount val="5"/>
                <c:pt idx="0">
                  <c:v>Extremely Low</c:v>
                </c:pt>
                <c:pt idx="1">
                  <c:v>Very Low</c:v>
                </c:pt>
                <c:pt idx="2">
                  <c:v>Low</c:v>
                </c:pt>
                <c:pt idx="3">
                  <c:v>Middle</c:v>
                </c:pt>
                <c:pt idx="4">
                  <c:v>High</c:v>
                </c:pt>
              </c:strCache>
            </c:strRef>
          </c:cat>
          <c:val>
            <c:numRef>
              <c:f>'#15 - Hsg Burden HO'!$K$6:$K$10</c:f>
              <c:numCache>
                <c:formatCode>0%</c:formatCode>
                <c:ptCount val="5"/>
                <c:pt idx="0">
                  <c:v>0.74</c:v>
                </c:pt>
                <c:pt idx="1">
                  <c:v>0.42</c:v>
                </c:pt>
                <c:pt idx="2">
                  <c:v>0.23</c:v>
                </c:pt>
                <c:pt idx="3">
                  <c:v>0.08</c:v>
                </c:pt>
                <c:pt idx="4">
                  <c:v>0.01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5995064"/>
        <c:axId val="125995848"/>
      </c:barChart>
      <c:catAx>
        <c:axId val="12599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995848"/>
        <c:crosses val="autoZero"/>
        <c:auto val="1"/>
        <c:lblAlgn val="ctr"/>
        <c:lblOffset val="100"/>
        <c:noMultiLvlLbl val="0"/>
      </c:catAx>
      <c:valAx>
        <c:axId val="125995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995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0.1813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40680" cy="723900"/>
        </a:xfrm>
        <a:prstGeom xmlns:a="http://schemas.openxmlformats.org/drawingml/2006/main" prst="rect">
          <a:avLst/>
        </a:prstGeom>
      </cdr:spPr>
    </cdr:pic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077070"/>
    <w:rsid w:val="00140847"/>
    <w:rsid w:val="007A52B3"/>
    <w:rsid w:val="009709FD"/>
    <w:rsid w:val="009E0A5F"/>
    <w:rsid w:val="00D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FAE1B1-804E-4EA6-848E-5B0A85B8A299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c7a5a329-1933-4218-bc33-c5d87197e18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AB4F6-936B-4585-9614-824B20F4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Vida Russell</dc:creator>
  <cp:keywords/>
  <dc:description/>
  <cp:lastModifiedBy>Hilary Chapman</cp:lastModifiedBy>
  <cp:revision>7</cp:revision>
  <cp:lastPrinted>2015-11-10T22:45:00Z</cp:lastPrinted>
  <dcterms:created xsi:type="dcterms:W3CDTF">2015-11-10T20:49:00Z</dcterms:created>
  <dcterms:modified xsi:type="dcterms:W3CDTF">2015-11-10T22:48:00Z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