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94A" w:rsidRPr="005A594A" w:rsidRDefault="005A594A" w:rsidP="005A594A">
      <w:pPr>
        <w:spacing w:after="0" w:line="240" w:lineRule="auto"/>
        <w:rPr>
          <w:rFonts w:ascii="Times New Roman" w:eastAsia="Calibri" w:hAnsi="Times New Roman" w:cs="Times New Roman"/>
          <w:sz w:val="24"/>
          <w:szCs w:val="24"/>
        </w:rPr>
      </w:pPr>
    </w:p>
    <w:tbl>
      <w:tblPr>
        <w:tblW w:w="9000" w:type="dxa"/>
        <w:jc w:val="center"/>
        <w:tblCellSpacing w:w="0" w:type="dxa"/>
        <w:tblCellMar>
          <w:left w:w="0" w:type="dxa"/>
          <w:right w:w="0" w:type="dxa"/>
        </w:tblCellMar>
        <w:tblLook w:val="04A0" w:firstRow="1" w:lastRow="0" w:firstColumn="1" w:lastColumn="0" w:noHBand="0" w:noVBand="1"/>
      </w:tblPr>
      <w:tblGrid>
        <w:gridCol w:w="9030"/>
      </w:tblGrid>
      <w:tr w:rsidR="005A594A" w:rsidRPr="005A594A" w:rsidTr="005A594A">
        <w:trPr>
          <w:tblCellSpacing w:w="0" w:type="dxa"/>
          <w:jc w:val="center"/>
        </w:trPr>
        <w:tc>
          <w:tcPr>
            <w:tcW w:w="0" w:type="auto"/>
            <w:vAlign w:val="center"/>
            <w:hideMark/>
          </w:tcPr>
          <w:p w:rsidR="005A594A" w:rsidRPr="005A594A" w:rsidRDefault="005A594A" w:rsidP="005A594A">
            <w:pPr>
              <w:spacing w:after="0" w:line="240" w:lineRule="auto"/>
              <w:jc w:val="center"/>
              <w:rPr>
                <w:rFonts w:ascii="Times New Roman" w:eastAsia="Calibri" w:hAnsi="Times New Roman" w:cs="Times New Roman"/>
                <w:b/>
                <w:bCs/>
                <w:sz w:val="24"/>
                <w:szCs w:val="24"/>
              </w:rPr>
            </w:pPr>
            <w:r w:rsidRPr="005A594A">
              <w:rPr>
                <w:rFonts w:ascii="Times New Roman" w:eastAsia="Calibri" w:hAnsi="Times New Roman" w:cs="Times New Roman"/>
                <w:b/>
                <w:bCs/>
                <w:noProof/>
                <w:sz w:val="24"/>
                <w:szCs w:val="24"/>
              </w:rPr>
              <w:drawing>
                <wp:inline distT="0" distB="0" distL="0" distR="0" wp14:anchorId="579E4EDC" wp14:editId="6F443B64">
                  <wp:extent cx="5676900" cy="876300"/>
                  <wp:effectExtent l="0" t="0" r="0" b="0"/>
                  <wp:docPr id="1" name="Picture 1" descr="T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LC"/>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76900" cy="876300"/>
                          </a:xfrm>
                          <a:prstGeom prst="rect">
                            <a:avLst/>
                          </a:prstGeom>
                          <a:noFill/>
                          <a:ln>
                            <a:noFill/>
                          </a:ln>
                        </pic:spPr>
                      </pic:pic>
                    </a:graphicData>
                  </a:graphic>
                </wp:inline>
              </w:drawing>
            </w:r>
          </w:p>
        </w:tc>
      </w:tr>
      <w:tr w:rsidR="005A594A" w:rsidRPr="005A594A" w:rsidTr="005A594A">
        <w:trPr>
          <w:tblCellSpacing w:w="0" w:type="dxa"/>
          <w:jc w:val="center"/>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9030"/>
            </w:tblGrid>
            <w:tr w:rsidR="005A594A" w:rsidRPr="005A594A">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9030"/>
                  </w:tblGrid>
                  <w:tr w:rsidR="005A594A" w:rsidRPr="005A594A">
                    <w:trPr>
                      <w:tblCellSpacing w:w="0" w:type="dxa"/>
                    </w:trPr>
                    <w:tc>
                      <w:tcPr>
                        <w:tcW w:w="5000" w:type="pct"/>
                        <w:vAlign w:val="center"/>
                        <w:hideMark/>
                      </w:tcPr>
                      <w:p w:rsidR="005A594A" w:rsidRPr="005A594A" w:rsidRDefault="005A594A" w:rsidP="005A594A">
                        <w:pPr>
                          <w:spacing w:before="100" w:beforeAutospacing="1" w:after="100" w:afterAutospacing="1" w:line="240" w:lineRule="auto"/>
                          <w:jc w:val="center"/>
                          <w:rPr>
                            <w:rFonts w:ascii="Tahoma" w:eastAsia="Calibri" w:hAnsi="Tahoma" w:cs="Tahoma"/>
                            <w:color w:val="000000"/>
                            <w:sz w:val="20"/>
                            <w:szCs w:val="20"/>
                          </w:rPr>
                        </w:pPr>
                        <w:r w:rsidRPr="005A594A">
                          <w:rPr>
                            <w:rFonts w:ascii="Tahoma" w:eastAsia="Calibri" w:hAnsi="Tahoma" w:cs="Tahoma"/>
                            <w:color w:val="000000"/>
                            <w:sz w:val="20"/>
                            <w:szCs w:val="20"/>
                          </w:rPr>
                          <w:t> </w:t>
                        </w:r>
                      </w:p>
                      <w:p w:rsidR="005A594A" w:rsidRPr="005A594A" w:rsidRDefault="005A594A" w:rsidP="005A594A">
                        <w:pPr>
                          <w:spacing w:before="100" w:beforeAutospacing="1" w:after="100" w:afterAutospacing="1" w:line="240" w:lineRule="auto"/>
                          <w:jc w:val="center"/>
                          <w:rPr>
                            <w:rFonts w:ascii="Tahoma" w:eastAsia="Calibri" w:hAnsi="Tahoma" w:cs="Tahoma"/>
                            <w:color w:val="000000"/>
                            <w:sz w:val="20"/>
                            <w:szCs w:val="20"/>
                          </w:rPr>
                        </w:pPr>
                        <w:r w:rsidRPr="005A594A">
                          <w:rPr>
                            <w:rFonts w:ascii="Tahoma" w:eastAsia="Calibri" w:hAnsi="Tahoma" w:cs="Tahoma"/>
                            <w:b/>
                            <w:bCs/>
                            <w:color w:val="000000"/>
                            <w:sz w:val="24"/>
                            <w:szCs w:val="24"/>
                          </w:rPr>
                          <w:t>Transportation/Land-Use Connections Program </w:t>
                        </w:r>
                      </w:p>
                      <w:p w:rsidR="005A594A" w:rsidRPr="005A594A" w:rsidRDefault="005A594A" w:rsidP="005A594A">
                        <w:pPr>
                          <w:spacing w:before="100" w:beforeAutospacing="1" w:after="100" w:afterAutospacing="1" w:line="240" w:lineRule="auto"/>
                          <w:jc w:val="center"/>
                          <w:rPr>
                            <w:rFonts w:ascii="Tahoma" w:eastAsia="Calibri" w:hAnsi="Tahoma" w:cs="Tahoma"/>
                            <w:color w:val="000000"/>
                            <w:sz w:val="20"/>
                            <w:szCs w:val="20"/>
                          </w:rPr>
                        </w:pPr>
                        <w:r w:rsidRPr="005A594A">
                          <w:rPr>
                            <w:rFonts w:ascii="Tahoma" w:eastAsia="Calibri" w:hAnsi="Tahoma" w:cs="Tahoma"/>
                            <w:b/>
                            <w:bCs/>
                            <w:color w:val="000000"/>
                            <w:sz w:val="28"/>
                            <w:szCs w:val="28"/>
                          </w:rPr>
                          <w:t>FY 2015 Project Solicitation </w:t>
                        </w:r>
                      </w:p>
                      <w:p w:rsidR="005A594A" w:rsidRPr="005A594A" w:rsidRDefault="005A594A" w:rsidP="005A594A">
                        <w:pPr>
                          <w:spacing w:before="100" w:beforeAutospacing="1" w:after="100" w:afterAutospacing="1" w:line="240" w:lineRule="auto"/>
                          <w:rPr>
                            <w:rFonts w:ascii="Tahoma" w:eastAsia="Calibri" w:hAnsi="Tahoma" w:cs="Tahoma"/>
                            <w:color w:val="000000"/>
                            <w:sz w:val="20"/>
                            <w:szCs w:val="20"/>
                          </w:rPr>
                        </w:pPr>
                        <w:r w:rsidRPr="005A594A">
                          <w:rPr>
                            <w:rFonts w:ascii="Tahoma" w:eastAsia="Calibri" w:hAnsi="Tahoma" w:cs="Tahoma"/>
                            <w:color w:val="000000"/>
                            <w:sz w:val="18"/>
                            <w:szCs w:val="18"/>
                          </w:rPr>
                          <w:t xml:space="preserve">On March 10, the Transportation Planning Board released the FY 2015 Call for Projects for the Transportation/Land-Use Connections (TLC) Technical Assistance Program. The TLC Program provides focused consultant assistance to local jurisdictions working on creative, forward-thinking, sustainable plans and projects. Any local jurisdiction in the National Capital Region that is a member of the TPB is eligible to apply. Application information is available on the </w:t>
                        </w:r>
                        <w:hyperlink r:id="rId6" w:tgtFrame="_blank" w:history="1">
                          <w:r w:rsidRPr="005A594A">
                            <w:rPr>
                              <w:rFonts w:ascii="Tahoma" w:eastAsia="Calibri" w:hAnsi="Tahoma" w:cs="Tahoma"/>
                              <w:color w:val="0000FF"/>
                              <w:sz w:val="18"/>
                              <w:szCs w:val="18"/>
                              <w:u w:val="single"/>
                            </w:rPr>
                            <w:t>TLC website</w:t>
                          </w:r>
                        </w:hyperlink>
                        <w:r w:rsidRPr="005A594A">
                          <w:rPr>
                            <w:rFonts w:ascii="Tahoma" w:eastAsia="Calibri" w:hAnsi="Tahoma" w:cs="Tahoma"/>
                            <w:color w:val="000000"/>
                            <w:sz w:val="18"/>
                            <w:szCs w:val="18"/>
                          </w:rPr>
                          <w:t>. </w:t>
                        </w:r>
                      </w:p>
                      <w:p w:rsidR="005A594A" w:rsidRPr="005A594A" w:rsidRDefault="005A594A" w:rsidP="005A594A">
                        <w:pPr>
                          <w:spacing w:before="100" w:beforeAutospacing="1" w:after="100" w:afterAutospacing="1" w:line="240" w:lineRule="auto"/>
                          <w:jc w:val="center"/>
                          <w:rPr>
                            <w:rFonts w:ascii="Tahoma" w:eastAsia="Calibri" w:hAnsi="Tahoma" w:cs="Tahoma"/>
                            <w:color w:val="000000"/>
                            <w:sz w:val="20"/>
                            <w:szCs w:val="20"/>
                          </w:rPr>
                        </w:pPr>
                        <w:r w:rsidRPr="005A594A">
                          <w:rPr>
                            <w:rFonts w:ascii="Tahoma" w:eastAsia="Calibri" w:hAnsi="Tahoma" w:cs="Tahoma"/>
                            <w:b/>
                            <w:bCs/>
                            <w:color w:val="000000"/>
                            <w:sz w:val="24"/>
                            <w:szCs w:val="24"/>
                          </w:rPr>
                          <w:t xml:space="preserve">Applications are due by 4:00 p.m. on Wednesday, May 21, 2014, to </w:t>
                        </w:r>
                        <w:hyperlink r:id="rId7" w:tgtFrame="_blank" w:history="1">
                          <w:r w:rsidRPr="005A594A">
                            <w:rPr>
                              <w:rFonts w:ascii="Tahoma" w:eastAsia="Calibri" w:hAnsi="Tahoma" w:cs="Tahoma"/>
                              <w:b/>
                              <w:bCs/>
                              <w:color w:val="0000FF"/>
                              <w:sz w:val="24"/>
                              <w:szCs w:val="24"/>
                              <w:u w:val="single"/>
                            </w:rPr>
                            <w:t>TLC@mwcog.org</w:t>
                          </w:r>
                        </w:hyperlink>
                        <w:r w:rsidRPr="005A594A">
                          <w:rPr>
                            <w:rFonts w:ascii="Tahoma" w:eastAsia="Calibri" w:hAnsi="Tahoma" w:cs="Tahoma"/>
                            <w:b/>
                            <w:bCs/>
                            <w:color w:val="000000"/>
                            <w:sz w:val="24"/>
                            <w:szCs w:val="24"/>
                          </w:rPr>
                          <w:t>.</w:t>
                        </w:r>
                      </w:p>
                      <w:p w:rsidR="005A594A" w:rsidRPr="005A594A" w:rsidRDefault="005A594A" w:rsidP="005A594A">
                        <w:pPr>
                          <w:spacing w:before="100" w:beforeAutospacing="1" w:after="100" w:afterAutospacing="1" w:line="240" w:lineRule="auto"/>
                          <w:rPr>
                            <w:rFonts w:ascii="Tahoma" w:eastAsia="Calibri" w:hAnsi="Tahoma" w:cs="Tahoma"/>
                            <w:color w:val="000000"/>
                            <w:sz w:val="20"/>
                            <w:szCs w:val="20"/>
                          </w:rPr>
                        </w:pPr>
                        <w:r w:rsidRPr="005A594A">
                          <w:rPr>
                            <w:rFonts w:ascii="Tahoma" w:eastAsia="Calibri" w:hAnsi="Tahoma" w:cs="Tahoma"/>
                            <w:b/>
                            <w:bCs/>
                            <w:noProof/>
                            <w:color w:val="000000"/>
                            <w:sz w:val="20"/>
                            <w:szCs w:val="20"/>
                          </w:rPr>
                          <w:drawing>
                            <wp:inline distT="0" distB="0" distL="0" distR="0" wp14:anchorId="07E5B8D4" wp14:editId="12F05B22">
                              <wp:extent cx="5724525" cy="142875"/>
                              <wp:effectExtent l="0" t="0" r="9525" b="9525"/>
                              <wp:docPr id="2" name="Picture 2" descr="http://www.mwcog.org/transportation/activities/tlc/clearinghouse/rpen/images/TLC_orange-b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mwcog.org/transportation/activities/tlc/clearinghouse/rpen/images/TLC_orange-ba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24525" cy="142875"/>
                                      </a:xfrm>
                                      <a:prstGeom prst="rect">
                                        <a:avLst/>
                                      </a:prstGeom>
                                      <a:noFill/>
                                      <a:ln>
                                        <a:noFill/>
                                      </a:ln>
                                    </pic:spPr>
                                  </pic:pic>
                                </a:graphicData>
                              </a:graphic>
                            </wp:inline>
                          </w:drawing>
                        </w:r>
                      </w:p>
                      <w:p w:rsidR="005A594A" w:rsidRPr="005A594A" w:rsidRDefault="005A594A" w:rsidP="005A594A">
                        <w:pPr>
                          <w:spacing w:before="100" w:beforeAutospacing="1" w:after="100" w:afterAutospacing="1" w:line="240" w:lineRule="auto"/>
                          <w:rPr>
                            <w:rFonts w:ascii="Tahoma" w:eastAsia="Calibri" w:hAnsi="Tahoma" w:cs="Tahoma"/>
                            <w:color w:val="000000"/>
                            <w:sz w:val="20"/>
                            <w:szCs w:val="20"/>
                          </w:rPr>
                        </w:pPr>
                        <w:r w:rsidRPr="005A594A">
                          <w:rPr>
                            <w:rFonts w:ascii="Tahoma" w:eastAsia="Calibri" w:hAnsi="Tahoma" w:cs="Tahoma"/>
                            <w:b/>
                            <w:bCs/>
                            <w:color w:val="669900"/>
                            <w:sz w:val="24"/>
                            <w:szCs w:val="24"/>
                          </w:rPr>
                          <w:t>FY 2015 Technical Assistance Program</w:t>
                        </w:r>
                        <w:r w:rsidRPr="005A594A">
                          <w:rPr>
                            <w:rFonts w:ascii="Tahoma" w:eastAsia="Calibri" w:hAnsi="Tahoma" w:cs="Tahoma"/>
                            <w:color w:val="000000"/>
                            <w:sz w:val="20"/>
                            <w:szCs w:val="20"/>
                          </w:rPr>
                          <w:t> </w:t>
                        </w:r>
                      </w:p>
                      <w:p w:rsidR="005A594A" w:rsidRPr="005A594A" w:rsidRDefault="005A594A" w:rsidP="005A594A">
                        <w:pPr>
                          <w:spacing w:before="100" w:beforeAutospacing="1" w:after="100" w:afterAutospacing="1" w:line="240" w:lineRule="auto"/>
                          <w:rPr>
                            <w:rFonts w:ascii="Tahoma" w:eastAsia="Calibri" w:hAnsi="Tahoma" w:cs="Tahoma"/>
                            <w:color w:val="000000"/>
                            <w:sz w:val="20"/>
                            <w:szCs w:val="20"/>
                          </w:rPr>
                        </w:pPr>
                        <w:r w:rsidRPr="005A594A">
                          <w:rPr>
                            <w:rFonts w:ascii="Tahoma" w:eastAsia="Calibri" w:hAnsi="Tahoma" w:cs="Tahoma"/>
                            <w:color w:val="000000"/>
                            <w:sz w:val="18"/>
                            <w:szCs w:val="18"/>
                          </w:rPr>
                          <w:t xml:space="preserve">The TLC Program provides support to local governments as they work to improve coordination between transportation and development. Through the program, the TPB provides communities with consultant assistance to catalyze or enhance planning efforts. Requests for planning technical assistance are to be </w:t>
                        </w:r>
                        <w:proofErr w:type="gramStart"/>
                        <w:r w:rsidRPr="005A594A">
                          <w:rPr>
                            <w:rFonts w:ascii="Tahoma" w:eastAsia="Calibri" w:hAnsi="Tahoma" w:cs="Tahoma"/>
                            <w:color w:val="000000"/>
                            <w:sz w:val="18"/>
                            <w:szCs w:val="18"/>
                          </w:rPr>
                          <w:t>between $20,000-$60,000</w:t>
                        </w:r>
                        <w:proofErr w:type="gramEnd"/>
                        <w:r w:rsidRPr="005A594A">
                          <w:rPr>
                            <w:rFonts w:ascii="Tahoma" w:eastAsia="Calibri" w:hAnsi="Tahoma" w:cs="Tahoma"/>
                            <w:color w:val="000000"/>
                            <w:sz w:val="18"/>
                            <w:szCs w:val="18"/>
                          </w:rPr>
                          <w:t>.</w:t>
                        </w:r>
                      </w:p>
                      <w:p w:rsidR="005A594A" w:rsidRPr="005A594A" w:rsidRDefault="005A594A" w:rsidP="005A594A">
                        <w:pPr>
                          <w:spacing w:before="100" w:beforeAutospacing="1" w:after="100" w:afterAutospacing="1" w:line="240" w:lineRule="auto"/>
                          <w:rPr>
                            <w:rFonts w:ascii="Tahoma" w:eastAsia="Calibri" w:hAnsi="Tahoma" w:cs="Tahoma"/>
                            <w:color w:val="000000"/>
                            <w:sz w:val="20"/>
                            <w:szCs w:val="20"/>
                          </w:rPr>
                        </w:pPr>
                        <w:r w:rsidRPr="005A594A">
                          <w:rPr>
                            <w:rFonts w:ascii="Tahoma" w:eastAsia="Calibri" w:hAnsi="Tahoma" w:cs="Tahoma"/>
                            <w:color w:val="000000"/>
                            <w:sz w:val="18"/>
                            <w:szCs w:val="18"/>
                          </w:rPr>
                          <w:t>In addition to the planning technical assistance traditionally provided through the TLC Program, the TPB will also provide up to $80,000 to fund 30 percent design work for a previously completed planning study.</w:t>
                        </w:r>
                      </w:p>
                      <w:p w:rsidR="005A594A" w:rsidRPr="005A594A" w:rsidRDefault="005A594A" w:rsidP="005A594A">
                        <w:pPr>
                          <w:spacing w:before="100" w:beforeAutospacing="1" w:after="100" w:afterAutospacing="1" w:line="240" w:lineRule="auto"/>
                          <w:rPr>
                            <w:rFonts w:ascii="Tahoma" w:eastAsia="Calibri" w:hAnsi="Tahoma" w:cs="Tahoma"/>
                            <w:color w:val="000000"/>
                            <w:sz w:val="20"/>
                            <w:szCs w:val="20"/>
                          </w:rPr>
                        </w:pPr>
                        <w:r w:rsidRPr="005A594A">
                          <w:rPr>
                            <w:rFonts w:ascii="Tahoma" w:eastAsia="Calibri" w:hAnsi="Tahoma" w:cs="Tahoma"/>
                            <w:color w:val="000000"/>
                            <w:sz w:val="18"/>
                            <w:szCs w:val="18"/>
                          </w:rPr>
                          <w:t xml:space="preserve">Please find more information and </w:t>
                        </w:r>
                        <w:hyperlink r:id="rId9" w:tgtFrame="_blank" w:history="1">
                          <w:r w:rsidRPr="005A594A">
                            <w:rPr>
                              <w:rFonts w:ascii="Tahoma" w:eastAsia="Calibri" w:hAnsi="Tahoma" w:cs="Tahoma"/>
                              <w:b/>
                              <w:bCs/>
                              <w:color w:val="0000FF"/>
                              <w:sz w:val="18"/>
                              <w:szCs w:val="18"/>
                              <w:u w:val="single"/>
                            </w:rPr>
                            <w:t>application materials</w:t>
                          </w:r>
                        </w:hyperlink>
                        <w:r w:rsidRPr="005A594A">
                          <w:rPr>
                            <w:rFonts w:ascii="Tahoma" w:eastAsia="Calibri" w:hAnsi="Tahoma" w:cs="Tahoma"/>
                            <w:color w:val="000000"/>
                            <w:sz w:val="18"/>
                            <w:szCs w:val="18"/>
                          </w:rPr>
                          <w:t xml:space="preserve"> on the TLC website.</w:t>
                        </w:r>
                        <w:r w:rsidRPr="005A594A">
                          <w:rPr>
                            <w:rFonts w:ascii="Tahoma" w:eastAsia="Calibri" w:hAnsi="Tahoma" w:cs="Tahoma"/>
                            <w:color w:val="000000"/>
                            <w:sz w:val="20"/>
                            <w:szCs w:val="20"/>
                          </w:rPr>
                          <w:t> </w:t>
                        </w:r>
                      </w:p>
                      <w:p w:rsidR="005A594A" w:rsidRPr="005A594A" w:rsidRDefault="005A594A" w:rsidP="005A594A">
                        <w:pPr>
                          <w:shd w:val="clear" w:color="auto" w:fill="FFFFFF"/>
                          <w:spacing w:after="0" w:line="240" w:lineRule="auto"/>
                          <w:rPr>
                            <w:rFonts w:ascii="Times New Roman" w:eastAsia="Calibri" w:hAnsi="Times New Roman" w:cs="Times New Roman"/>
                            <w:color w:val="000000"/>
                            <w:sz w:val="24"/>
                            <w:szCs w:val="24"/>
                          </w:rPr>
                        </w:pPr>
                        <w:r w:rsidRPr="005A594A">
                          <w:rPr>
                            <w:rFonts w:ascii="Tahoma" w:eastAsia="Calibri" w:hAnsi="Tahoma" w:cs="Tahoma"/>
                            <w:b/>
                            <w:bCs/>
                            <w:color w:val="000000"/>
                            <w:sz w:val="20"/>
                            <w:szCs w:val="20"/>
                          </w:rPr>
                          <w:t>Please visit the TLC website for more information (</w:t>
                        </w:r>
                        <w:hyperlink r:id="rId10" w:tgtFrame="_blank" w:history="1">
                          <w:r w:rsidRPr="005A594A">
                            <w:rPr>
                              <w:rFonts w:ascii="Tahoma" w:eastAsia="Calibri" w:hAnsi="Tahoma" w:cs="Tahoma"/>
                              <w:b/>
                              <w:bCs/>
                              <w:color w:val="0000FF"/>
                              <w:sz w:val="20"/>
                              <w:szCs w:val="20"/>
                              <w:u w:val="single"/>
                            </w:rPr>
                            <w:t>www.mwcog.org/tlc</w:t>
                          </w:r>
                        </w:hyperlink>
                        <w:r w:rsidRPr="005A594A">
                          <w:rPr>
                            <w:rFonts w:ascii="Tahoma" w:eastAsia="Calibri" w:hAnsi="Tahoma" w:cs="Tahoma"/>
                            <w:b/>
                            <w:bCs/>
                            <w:color w:val="000000"/>
                            <w:sz w:val="20"/>
                            <w:szCs w:val="20"/>
                          </w:rPr>
                          <w:t>) and contact TPB staff (</w:t>
                        </w:r>
                        <w:hyperlink r:id="rId11" w:history="1">
                          <w:r w:rsidRPr="005A594A">
                            <w:rPr>
                              <w:rFonts w:ascii="Tahoma" w:eastAsia="Calibri" w:hAnsi="Tahoma" w:cs="Tahoma"/>
                              <w:b/>
                              <w:bCs/>
                              <w:color w:val="000000"/>
                              <w:sz w:val="20"/>
                              <w:szCs w:val="20"/>
                              <w:u w:val="single"/>
                            </w:rPr>
                            <w:t>tlc@mwcog.org</w:t>
                          </w:r>
                        </w:hyperlink>
                        <w:r w:rsidRPr="005A594A">
                          <w:rPr>
                            <w:rFonts w:ascii="Tahoma" w:eastAsia="Calibri" w:hAnsi="Tahoma" w:cs="Tahoma"/>
                            <w:b/>
                            <w:bCs/>
                            <w:color w:val="000000"/>
                            <w:sz w:val="20"/>
                            <w:szCs w:val="20"/>
                          </w:rPr>
                          <w:t>) with any questions.</w:t>
                        </w:r>
                      </w:p>
                    </w:tc>
                  </w:tr>
                </w:tbl>
                <w:p w:rsidR="005A594A" w:rsidRPr="005A594A" w:rsidRDefault="005A594A" w:rsidP="005A594A">
                  <w:pPr>
                    <w:spacing w:after="0" w:line="240" w:lineRule="auto"/>
                    <w:rPr>
                      <w:rFonts w:ascii="Times New Roman" w:eastAsia="Times New Roman" w:hAnsi="Times New Roman" w:cs="Times New Roman"/>
                      <w:sz w:val="20"/>
                      <w:szCs w:val="20"/>
                    </w:rPr>
                  </w:pPr>
                </w:p>
              </w:tc>
            </w:tr>
          </w:tbl>
          <w:p w:rsidR="005A594A" w:rsidRPr="005A594A" w:rsidRDefault="005A594A" w:rsidP="005A594A">
            <w:pPr>
              <w:spacing w:after="0" w:line="240" w:lineRule="auto"/>
              <w:rPr>
                <w:rFonts w:ascii="Times New Roman" w:eastAsia="Times New Roman" w:hAnsi="Times New Roman" w:cs="Times New Roman"/>
                <w:sz w:val="20"/>
                <w:szCs w:val="20"/>
              </w:rPr>
            </w:pPr>
          </w:p>
        </w:tc>
      </w:tr>
      <w:tr w:rsidR="005A594A" w:rsidRPr="005A594A" w:rsidTr="005A594A">
        <w:trPr>
          <w:tblCellSpacing w:w="0" w:type="dxa"/>
          <w:jc w:val="center"/>
        </w:trPr>
        <w:tc>
          <w:tcPr>
            <w:tcW w:w="0" w:type="auto"/>
            <w:vAlign w:val="center"/>
            <w:hideMark/>
          </w:tcPr>
          <w:p w:rsidR="005A594A" w:rsidRPr="005A594A" w:rsidRDefault="005A594A" w:rsidP="005A594A">
            <w:pPr>
              <w:spacing w:after="0" w:line="240" w:lineRule="auto"/>
              <w:jc w:val="center"/>
              <w:rPr>
                <w:rFonts w:ascii="Times New Roman" w:eastAsia="Times New Roman" w:hAnsi="Times New Roman" w:cs="Times New Roman"/>
                <w:sz w:val="24"/>
                <w:szCs w:val="24"/>
              </w:rPr>
            </w:pPr>
            <w:r w:rsidRPr="005A594A">
              <w:rPr>
                <w:rFonts w:ascii="Times New Roman" w:eastAsia="Times New Roman" w:hAnsi="Times New Roman" w:cs="Times New Roman"/>
                <w:sz w:val="24"/>
                <w:szCs w:val="24"/>
              </w:rPr>
              <w:pict>
                <v:rect id="_x0000_i1025" style="width:468pt;height:1.5pt" o:hralign="center" o:hrstd="t" o:hr="t" fillcolor="#a0a0a0" stroked="f"/>
              </w:pict>
            </w:r>
          </w:p>
          <w:p w:rsidR="005A594A" w:rsidRPr="005A594A" w:rsidRDefault="005A594A" w:rsidP="005A594A">
            <w:pPr>
              <w:spacing w:before="100" w:beforeAutospacing="1" w:after="100" w:afterAutospacing="1" w:line="240" w:lineRule="auto"/>
              <w:rPr>
                <w:rFonts w:ascii="Times New Roman" w:eastAsia="Calibri" w:hAnsi="Times New Roman" w:cs="Times New Roman"/>
                <w:sz w:val="24"/>
                <w:szCs w:val="24"/>
              </w:rPr>
            </w:pPr>
            <w:r w:rsidRPr="005A594A">
              <w:rPr>
                <w:rFonts w:ascii="Arial" w:eastAsia="Calibri" w:hAnsi="Arial" w:cs="Arial"/>
                <w:b/>
                <w:bCs/>
                <w:sz w:val="16"/>
                <w:szCs w:val="16"/>
              </w:rPr>
              <w:t>The National Capital Region Transportation Planning Board (TPB) is the metropolitan planning organization (MPO) for the Washington region. The TPB is responsible for directing the continuing transportation planning process carried out cooperatively by the states and the local communities in the region. The TPB is staffed by the Department of Transportation Planning of the Metropolitan Washington Council of Governments.</w:t>
            </w:r>
          </w:p>
          <w:p w:rsidR="005A594A" w:rsidRPr="005A594A" w:rsidRDefault="005A594A" w:rsidP="005A594A">
            <w:pPr>
              <w:spacing w:after="0" w:line="240" w:lineRule="auto"/>
              <w:jc w:val="center"/>
              <w:rPr>
                <w:rFonts w:ascii="Times New Roman" w:eastAsia="Times New Roman" w:hAnsi="Times New Roman" w:cs="Times New Roman"/>
                <w:sz w:val="24"/>
                <w:szCs w:val="24"/>
              </w:rPr>
            </w:pPr>
            <w:r w:rsidRPr="005A594A">
              <w:rPr>
                <w:rFonts w:ascii="Times New Roman" w:eastAsia="Times New Roman" w:hAnsi="Times New Roman" w:cs="Times New Roman"/>
                <w:sz w:val="24"/>
                <w:szCs w:val="24"/>
              </w:rPr>
              <w:pict>
                <v:rect id="_x0000_i1026" style="width:468pt;height:1.5pt" o:hralign="center" o:hrstd="t" o:hr="t" fillcolor="#a0a0a0" stroked="f"/>
              </w:pict>
            </w:r>
          </w:p>
          <w:p w:rsidR="005A594A" w:rsidRPr="005A594A" w:rsidRDefault="005A594A" w:rsidP="005A594A">
            <w:pPr>
              <w:spacing w:after="0" w:line="240" w:lineRule="auto"/>
              <w:jc w:val="center"/>
              <w:rPr>
                <w:rFonts w:ascii="Times New Roman" w:eastAsia="Calibri" w:hAnsi="Times New Roman" w:cs="Times New Roman"/>
                <w:sz w:val="24"/>
                <w:szCs w:val="24"/>
              </w:rPr>
            </w:pPr>
            <w:r w:rsidRPr="005A594A">
              <w:rPr>
                <w:rFonts w:ascii="Arial" w:eastAsia="Calibri" w:hAnsi="Arial" w:cs="Arial"/>
                <w:color w:val="888888"/>
                <w:sz w:val="20"/>
                <w:szCs w:val="20"/>
              </w:rPr>
              <w:t xml:space="preserve">777 North Capitol St NE, </w:t>
            </w:r>
            <w:proofErr w:type="spellStart"/>
            <w:r w:rsidRPr="005A594A">
              <w:rPr>
                <w:rFonts w:ascii="Arial" w:eastAsia="Calibri" w:hAnsi="Arial" w:cs="Arial"/>
                <w:color w:val="888888"/>
                <w:sz w:val="20"/>
                <w:szCs w:val="20"/>
              </w:rPr>
              <w:t>Ste</w:t>
            </w:r>
            <w:proofErr w:type="spellEnd"/>
            <w:r w:rsidRPr="005A594A">
              <w:rPr>
                <w:rFonts w:ascii="Arial" w:eastAsia="Calibri" w:hAnsi="Arial" w:cs="Arial"/>
                <w:color w:val="888888"/>
                <w:sz w:val="20"/>
                <w:szCs w:val="20"/>
              </w:rPr>
              <w:t xml:space="preserve"> 300 | Washington DC 20002 | 202-962-3200 | </w:t>
            </w:r>
            <w:hyperlink r:id="rId12" w:history="1">
              <w:r w:rsidRPr="005A594A">
                <w:rPr>
                  <w:rFonts w:ascii="Arial" w:eastAsia="Calibri" w:hAnsi="Arial" w:cs="Arial"/>
                  <w:color w:val="0000FF"/>
                  <w:sz w:val="20"/>
                  <w:szCs w:val="20"/>
                  <w:u w:val="single"/>
                </w:rPr>
                <w:t>www.mwcog.org/transportation</w:t>
              </w:r>
            </w:hyperlink>
          </w:p>
          <w:p w:rsidR="005A594A" w:rsidRPr="005A594A" w:rsidRDefault="005A594A" w:rsidP="005A594A">
            <w:pPr>
              <w:spacing w:after="0" w:line="240" w:lineRule="auto"/>
              <w:jc w:val="center"/>
              <w:rPr>
                <w:rFonts w:ascii="Times New Roman" w:eastAsia="Calibri" w:hAnsi="Times New Roman" w:cs="Times New Roman"/>
                <w:sz w:val="24"/>
                <w:szCs w:val="24"/>
              </w:rPr>
            </w:pPr>
            <w:hyperlink r:id="rId13" w:tgtFrame="_blank" w:history="1">
              <w:r w:rsidRPr="005A594A">
                <w:rPr>
                  <w:rFonts w:ascii="Times New Roman" w:eastAsia="Calibri" w:hAnsi="Times New Roman" w:cs="Times New Roman"/>
                  <w:color w:val="0000FF"/>
                  <w:sz w:val="24"/>
                  <w:szCs w:val="24"/>
                  <w:u w:val="single"/>
                </w:rPr>
                <w:t>Click here</w:t>
              </w:r>
            </w:hyperlink>
            <w:r w:rsidRPr="005A594A">
              <w:rPr>
                <w:rFonts w:ascii="Times New Roman" w:eastAsia="Calibri" w:hAnsi="Times New Roman" w:cs="Times New Roman"/>
                <w:sz w:val="24"/>
                <w:szCs w:val="24"/>
              </w:rPr>
              <w:t> to manage your subscription or to unsubscribe.</w:t>
            </w:r>
          </w:p>
        </w:tc>
      </w:tr>
    </w:tbl>
    <w:p w:rsidR="005A594A" w:rsidRPr="005A594A" w:rsidRDefault="005A594A" w:rsidP="005A594A">
      <w:pPr>
        <w:spacing w:after="0" w:line="240" w:lineRule="auto"/>
        <w:rPr>
          <w:rFonts w:ascii="Times New Roman" w:eastAsia="Calibri" w:hAnsi="Times New Roman" w:cs="Times New Roman"/>
          <w:sz w:val="24"/>
          <w:szCs w:val="24"/>
        </w:rPr>
      </w:pPr>
    </w:p>
    <w:p w:rsidR="00275502" w:rsidRDefault="00275502">
      <w:bookmarkStart w:id="0" w:name="_GoBack"/>
      <w:bookmarkEnd w:id="0"/>
    </w:p>
    <w:sectPr w:rsidR="002755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94A"/>
    <w:rsid w:val="00275502"/>
    <w:rsid w:val="005A5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59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59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59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59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94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MWCOG.informz.net/z/cjUucD9taT0zMjk2MDM4JnA9MSZ1PTgxMDc0MTEwNyZsaT0xODc1MDg2OQ/index.html" TargetMode="External"/><Relationship Id="rId3" Type="http://schemas.openxmlformats.org/officeDocument/2006/relationships/settings" Target="settings.xml"/><Relationship Id="rId7" Type="http://schemas.openxmlformats.org/officeDocument/2006/relationships/hyperlink" Target="mailto:TLC@mwcog.org" TargetMode="External"/><Relationship Id="rId12" Type="http://schemas.openxmlformats.org/officeDocument/2006/relationships/hyperlink" Target="http://www.mwcog.org/transportatio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MWCOG.informz.net/z/cjUucD9taT0zMjk2MDM4JnA9MSZ1PTgxMDc0MTEwNyZsaT0xODc1MDg2Nw/index.html" TargetMode="External"/><Relationship Id="rId11" Type="http://schemas.openxmlformats.org/officeDocument/2006/relationships/hyperlink" Target="mailto:tlc@mwcog.org"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MWCOG.informz.net/z/cjUucD9taT0zMjk2MDM4JnA9MSZ1PTgxMDc0MTEwNyZsaT0xODc1MDg2Nw/index.html" TargetMode="External"/><Relationship Id="rId4" Type="http://schemas.openxmlformats.org/officeDocument/2006/relationships/webSettings" Target="webSettings.xml"/><Relationship Id="rId9" Type="http://schemas.openxmlformats.org/officeDocument/2006/relationships/hyperlink" Target="http://MWCOG.informz.net/z/cjUucD9taT0zMjk2MDM4JnA9MSZ1PTgxMDc0MTEwNyZsaT0xODc1MDg2OA/index.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395</Words>
  <Characters>2257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DesJardin</dc:creator>
  <cp:lastModifiedBy>Paul DesJardin</cp:lastModifiedBy>
  <cp:revision>1</cp:revision>
  <dcterms:created xsi:type="dcterms:W3CDTF">2014-05-15T18:38:00Z</dcterms:created>
  <dcterms:modified xsi:type="dcterms:W3CDTF">2014-05-15T18:41:00Z</dcterms:modified>
</cp:coreProperties>
</file>