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626D" w:rsidRPr="00DE3E14" w:rsidRDefault="0068626D" w:rsidP="0068626D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Throughout the presentation are p</w:t>
      </w:r>
      <w:r w:rsidRPr="00DE3E14">
        <w:rPr>
          <w:rFonts w:ascii="Tahoma" w:hAnsi="Tahoma" w:cs="Tahoma"/>
          <w:sz w:val="24"/>
          <w:szCs w:val="24"/>
        </w:rPr>
        <w:t>hotos of participants at Visualize2045</w:t>
      </w:r>
      <w:r>
        <w:rPr>
          <w:rFonts w:ascii="Tahoma" w:hAnsi="Tahoma" w:cs="Tahoma"/>
          <w:sz w:val="24"/>
          <w:szCs w:val="24"/>
        </w:rPr>
        <w:t>, Community Leadership Institute and other</w:t>
      </w:r>
      <w:r w:rsidRPr="00DE3E14">
        <w:rPr>
          <w:rFonts w:ascii="Tahoma" w:hAnsi="Tahoma" w:cs="Tahoma"/>
          <w:sz w:val="24"/>
          <w:szCs w:val="24"/>
        </w:rPr>
        <w:t xml:space="preserve"> outreach events</w:t>
      </w:r>
    </w:p>
    <w:p w:rsidR="0068626D" w:rsidRDefault="0068626D" w:rsidP="00C04721">
      <w:pPr>
        <w:pStyle w:val="Heading1"/>
        <w:ind w:left="900" w:hanging="900"/>
        <w:rPr>
          <w:rFonts w:ascii="Tahoma" w:hAnsi="Tahoma" w:cs="Tahoma"/>
          <w:sz w:val="24"/>
          <w:szCs w:val="24"/>
        </w:rPr>
      </w:pPr>
    </w:p>
    <w:p w:rsidR="00C04721" w:rsidRPr="00C04721" w:rsidRDefault="00DF0DDF" w:rsidP="00C04721">
      <w:pPr>
        <w:pStyle w:val="Heading1"/>
        <w:ind w:left="900" w:hanging="900"/>
        <w:rPr>
          <w:rFonts w:ascii="Tahoma" w:hAnsi="Tahoma" w:cs="Tahoma"/>
          <w:sz w:val="24"/>
          <w:szCs w:val="24"/>
        </w:rPr>
      </w:pPr>
      <w:r w:rsidRPr="00C04721">
        <w:rPr>
          <w:rFonts w:ascii="Tahoma" w:hAnsi="Tahoma" w:cs="Tahoma"/>
          <w:sz w:val="24"/>
          <w:szCs w:val="24"/>
        </w:rPr>
        <w:t>Slide</w:t>
      </w:r>
      <w:r w:rsidR="00201832" w:rsidRPr="00C04721">
        <w:rPr>
          <w:rFonts w:ascii="Tahoma" w:hAnsi="Tahoma" w:cs="Tahoma"/>
          <w:sz w:val="24"/>
          <w:szCs w:val="24"/>
        </w:rPr>
        <w:t xml:space="preserve"> 1</w:t>
      </w:r>
      <w:r w:rsidR="00FF301E" w:rsidRPr="00C04721">
        <w:rPr>
          <w:rFonts w:ascii="Tahoma" w:hAnsi="Tahoma" w:cs="Tahoma"/>
          <w:sz w:val="24"/>
          <w:szCs w:val="24"/>
        </w:rPr>
        <w:t xml:space="preserve">: </w:t>
      </w:r>
    </w:p>
    <w:p w:rsidR="0068626D" w:rsidRDefault="0068626D" w:rsidP="0068626D">
      <w:pPr>
        <w:pStyle w:val="Heading1"/>
        <w:ind w:left="0" w:firstLine="0"/>
        <w:rPr>
          <w:rFonts w:ascii="Tahoma" w:hAnsi="Tahoma" w:cs="Tahoma"/>
          <w:sz w:val="24"/>
          <w:szCs w:val="24"/>
        </w:rPr>
      </w:pPr>
    </w:p>
    <w:p w:rsidR="005E1993" w:rsidRDefault="00C04721" w:rsidP="0068626D">
      <w:pPr>
        <w:pStyle w:val="Heading1"/>
        <w:ind w:left="0" w:firstLine="0"/>
        <w:rPr>
          <w:rFonts w:ascii="Tahoma" w:hAnsi="Tahoma" w:cs="Tahoma"/>
          <w:sz w:val="24"/>
          <w:szCs w:val="24"/>
        </w:rPr>
      </w:pPr>
      <w:r w:rsidRPr="00C04721">
        <w:rPr>
          <w:rFonts w:ascii="Tahoma" w:hAnsi="Tahoma" w:cs="Tahoma"/>
          <w:sz w:val="24"/>
          <w:szCs w:val="24"/>
        </w:rPr>
        <w:t xml:space="preserve">Presentation Title: </w:t>
      </w:r>
      <w:r w:rsidR="008F7E6B" w:rsidRPr="008F7E6B">
        <w:rPr>
          <w:rFonts w:ascii="Tahoma" w:hAnsi="Tahoma" w:cs="Tahoma"/>
          <w:sz w:val="24"/>
          <w:szCs w:val="24"/>
        </w:rPr>
        <w:t>Evaluation of TPB Public Participation Activities</w:t>
      </w:r>
    </w:p>
    <w:tbl>
      <w:tblPr>
        <w:tblW w:w="13180" w:type="dxa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13180"/>
      </w:tblGrid>
      <w:tr w:rsidR="008F7E6B" w:rsidRPr="008F7E6B" w:rsidTr="008F7E6B">
        <w:trPr>
          <w:trHeight w:val="1007"/>
        </w:trPr>
        <w:tc>
          <w:tcPr>
            <w:tcW w:w="1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60" w:type="dxa"/>
              <w:left w:w="15" w:type="dxa"/>
              <w:bottom w:w="0" w:type="dxa"/>
              <w:right w:w="720" w:type="dxa"/>
            </w:tcMar>
            <w:hideMark/>
          </w:tcPr>
          <w:p w:rsidR="008F7E6B" w:rsidRDefault="008F7E6B" w:rsidP="008F7E6B">
            <w:pPr>
              <w:spacing w:after="0" w:line="240" w:lineRule="auto"/>
              <w:rPr>
                <w:rFonts w:ascii="Tahoma" w:hAnsi="Tahoma" w:cs="Tahoma"/>
                <w:color w:val="000000"/>
                <w:kern w:val="24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kern w:val="24"/>
                <w:sz w:val="24"/>
                <w:szCs w:val="24"/>
              </w:rPr>
              <w:t>Briefing on a Consultant Study</w:t>
            </w:r>
          </w:p>
          <w:p w:rsidR="008F7E6B" w:rsidRDefault="008F7E6B" w:rsidP="008F7E6B">
            <w:pPr>
              <w:spacing w:after="0" w:line="240" w:lineRule="auto"/>
              <w:rPr>
                <w:rFonts w:ascii="Tahoma" w:hAnsi="Tahoma" w:cs="Tahoma"/>
                <w:color w:val="000000"/>
                <w:kern w:val="24"/>
                <w:sz w:val="24"/>
                <w:szCs w:val="24"/>
              </w:rPr>
            </w:pPr>
          </w:p>
          <w:p w:rsidR="008F7E6B" w:rsidRPr="008F7E6B" w:rsidRDefault="008F7E6B" w:rsidP="008F7E6B">
            <w:pPr>
              <w:spacing w:after="0" w:line="240" w:lineRule="auto"/>
              <w:rPr>
                <w:rFonts w:ascii="Tahoma" w:hAnsi="Tahoma" w:cs="Tahoma"/>
                <w:color w:val="000000"/>
                <w:kern w:val="24"/>
                <w:sz w:val="24"/>
                <w:szCs w:val="24"/>
              </w:rPr>
            </w:pPr>
            <w:r w:rsidRPr="008F7E6B">
              <w:rPr>
                <w:rFonts w:ascii="Tahoma" w:hAnsi="Tahoma" w:cs="Tahoma"/>
                <w:color w:val="000000"/>
                <w:kern w:val="24"/>
                <w:sz w:val="24"/>
                <w:szCs w:val="24"/>
              </w:rPr>
              <w:t>John Swanson</w:t>
            </w:r>
          </w:p>
          <w:p w:rsidR="008F7E6B" w:rsidRPr="008F7E6B" w:rsidRDefault="008F7E6B" w:rsidP="008F7E6B">
            <w:pPr>
              <w:spacing w:after="0" w:line="240" w:lineRule="auto"/>
              <w:rPr>
                <w:rFonts w:ascii="Tahoma" w:hAnsi="Tahoma" w:cs="Tahoma"/>
                <w:color w:val="000000"/>
                <w:kern w:val="24"/>
                <w:sz w:val="24"/>
                <w:szCs w:val="24"/>
              </w:rPr>
            </w:pPr>
            <w:r w:rsidRPr="008F7E6B">
              <w:rPr>
                <w:rFonts w:ascii="Tahoma" w:hAnsi="Tahoma" w:cs="Tahoma"/>
                <w:color w:val="000000"/>
                <w:kern w:val="24"/>
                <w:sz w:val="24"/>
                <w:szCs w:val="24"/>
              </w:rPr>
              <w:t>TPB Transportation Planner</w:t>
            </w:r>
          </w:p>
          <w:p w:rsidR="008F7E6B" w:rsidRPr="008F7E6B" w:rsidRDefault="008F7E6B" w:rsidP="008F7E6B">
            <w:pPr>
              <w:spacing w:after="0" w:line="240" w:lineRule="auto"/>
              <w:rPr>
                <w:rFonts w:ascii="Tahoma" w:hAnsi="Tahoma" w:cs="Tahoma"/>
                <w:color w:val="000000"/>
                <w:kern w:val="24"/>
                <w:sz w:val="24"/>
                <w:szCs w:val="24"/>
              </w:rPr>
            </w:pPr>
            <w:r w:rsidRPr="008F7E6B">
              <w:rPr>
                <w:rFonts w:ascii="Tahoma" w:hAnsi="Tahoma" w:cs="Tahoma"/>
                <w:color w:val="000000"/>
                <w:kern w:val="24"/>
                <w:sz w:val="24"/>
                <w:szCs w:val="24"/>
              </w:rPr>
              <w:t>Access for All Advisory Committee</w:t>
            </w:r>
          </w:p>
          <w:p w:rsidR="008F7E6B" w:rsidRPr="008F7E6B" w:rsidRDefault="008F7E6B" w:rsidP="008F7E6B">
            <w:pPr>
              <w:spacing w:after="0" w:line="240" w:lineRule="auto"/>
              <w:rPr>
                <w:rFonts w:ascii="Tahoma" w:hAnsi="Tahoma" w:cs="Tahoma"/>
                <w:color w:val="000000"/>
                <w:kern w:val="24"/>
                <w:sz w:val="24"/>
                <w:szCs w:val="24"/>
              </w:rPr>
            </w:pPr>
            <w:r w:rsidRPr="008F7E6B">
              <w:rPr>
                <w:rFonts w:ascii="Tahoma" w:hAnsi="Tahoma" w:cs="Tahoma"/>
                <w:color w:val="000000"/>
                <w:kern w:val="24"/>
                <w:sz w:val="24"/>
                <w:szCs w:val="24"/>
              </w:rPr>
              <w:t xml:space="preserve">March 7, 2019 </w:t>
            </w:r>
          </w:p>
        </w:tc>
      </w:tr>
    </w:tbl>
    <w:p w:rsidR="008F7E6B" w:rsidRDefault="008F7E6B" w:rsidP="00141C1F">
      <w:pPr>
        <w:spacing w:after="0" w:line="240" w:lineRule="auto"/>
        <w:rPr>
          <w:rFonts w:ascii="Tahoma" w:hAnsi="Tahoma" w:cs="Tahoma"/>
          <w:color w:val="000000"/>
          <w:kern w:val="24"/>
          <w:sz w:val="24"/>
          <w:szCs w:val="24"/>
        </w:rPr>
      </w:pPr>
    </w:p>
    <w:p w:rsidR="00066C99" w:rsidRDefault="009256A8" w:rsidP="00240D91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Logos: </w:t>
      </w:r>
      <w:r w:rsidR="008F7E6B">
        <w:rPr>
          <w:rFonts w:ascii="Tahoma" w:hAnsi="Tahoma" w:cs="Tahoma"/>
          <w:sz w:val="24"/>
          <w:szCs w:val="24"/>
        </w:rPr>
        <w:t xml:space="preserve">National </w:t>
      </w:r>
      <w:r w:rsidR="009F000D">
        <w:rPr>
          <w:rFonts w:ascii="Tahoma" w:hAnsi="Tahoma" w:cs="Tahoma"/>
          <w:sz w:val="24"/>
          <w:szCs w:val="24"/>
        </w:rPr>
        <w:t xml:space="preserve">Capital Region </w:t>
      </w:r>
      <w:r w:rsidR="008F7E6B">
        <w:rPr>
          <w:rFonts w:ascii="Tahoma" w:hAnsi="Tahoma" w:cs="Tahoma"/>
          <w:sz w:val="24"/>
          <w:szCs w:val="24"/>
        </w:rPr>
        <w:t>Transportation Planning Board</w:t>
      </w:r>
    </w:p>
    <w:p w:rsidR="00066C99" w:rsidRDefault="00066C99" w:rsidP="00240D91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68626D" w:rsidRDefault="0068626D" w:rsidP="002C6F9D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8C057C" w:rsidRDefault="00DF0DDF" w:rsidP="002C6F9D">
      <w:pPr>
        <w:spacing w:after="0" w:line="240" w:lineRule="auto"/>
        <w:rPr>
          <w:rFonts w:ascii="Tahoma" w:hAnsi="Tahoma" w:cs="Tahoma"/>
          <w:sz w:val="24"/>
          <w:szCs w:val="24"/>
        </w:rPr>
      </w:pPr>
      <w:bookmarkStart w:id="0" w:name="_GoBack"/>
      <w:bookmarkEnd w:id="0"/>
      <w:r>
        <w:rPr>
          <w:rFonts w:ascii="Tahoma" w:hAnsi="Tahoma" w:cs="Tahoma"/>
          <w:sz w:val="24"/>
          <w:szCs w:val="24"/>
        </w:rPr>
        <w:t xml:space="preserve">Slide </w:t>
      </w:r>
      <w:r w:rsidR="00201832">
        <w:rPr>
          <w:rFonts w:ascii="Tahoma" w:hAnsi="Tahoma" w:cs="Tahoma"/>
          <w:sz w:val="24"/>
          <w:szCs w:val="24"/>
        </w:rPr>
        <w:t>2</w:t>
      </w:r>
      <w:r w:rsidR="00FF301E" w:rsidRPr="00805534">
        <w:rPr>
          <w:rFonts w:ascii="Tahoma" w:hAnsi="Tahoma" w:cs="Tahoma"/>
          <w:sz w:val="24"/>
          <w:szCs w:val="24"/>
        </w:rPr>
        <w:t>:</w:t>
      </w:r>
      <w:r w:rsidR="00FF301E">
        <w:rPr>
          <w:rFonts w:ascii="Tahoma" w:hAnsi="Tahoma" w:cs="Tahoma"/>
          <w:sz w:val="24"/>
          <w:szCs w:val="24"/>
        </w:rPr>
        <w:t xml:space="preserve"> </w:t>
      </w:r>
      <w:r w:rsidR="009F000D" w:rsidRPr="009F000D">
        <w:rPr>
          <w:rFonts w:ascii="Tahoma" w:hAnsi="Tahoma" w:cs="Tahoma"/>
          <w:sz w:val="24"/>
          <w:szCs w:val="24"/>
        </w:rPr>
        <w:t>Background and Purpose</w:t>
      </w:r>
    </w:p>
    <w:p w:rsidR="009256A8" w:rsidRDefault="009256A8" w:rsidP="009256A8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DE3E14" w:rsidRPr="00DE3E14" w:rsidRDefault="00DE3E14" w:rsidP="00DE3E14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E3E14">
        <w:rPr>
          <w:rFonts w:ascii="Tahoma" w:hAnsi="Tahoma" w:cs="Tahoma"/>
          <w:bCs/>
          <w:sz w:val="24"/>
          <w:szCs w:val="24"/>
        </w:rPr>
        <w:t xml:space="preserve">What: </w:t>
      </w:r>
    </w:p>
    <w:p w:rsidR="00DE3E14" w:rsidRPr="00DE3E14" w:rsidRDefault="00DE3E14" w:rsidP="00DE3E14">
      <w:pPr>
        <w:pStyle w:val="ListParagraph"/>
        <w:numPr>
          <w:ilvl w:val="0"/>
          <w:numId w:val="28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proofErr w:type="spellStart"/>
      <w:r w:rsidRPr="00DE3E14">
        <w:rPr>
          <w:rFonts w:ascii="Tahoma" w:hAnsi="Tahoma" w:cs="Tahoma"/>
          <w:bCs/>
          <w:sz w:val="24"/>
          <w:szCs w:val="24"/>
        </w:rPr>
        <w:t>Rhodeside</w:t>
      </w:r>
      <w:proofErr w:type="spellEnd"/>
      <w:r w:rsidRPr="00DE3E14">
        <w:rPr>
          <w:rFonts w:ascii="Tahoma" w:hAnsi="Tahoma" w:cs="Tahoma"/>
          <w:bCs/>
          <w:sz w:val="24"/>
          <w:szCs w:val="24"/>
        </w:rPr>
        <w:t xml:space="preserve"> &amp; Harwell, Inc. was contracted to conduct an evaluation of the TPB’s public participation activities</w:t>
      </w:r>
    </w:p>
    <w:p w:rsidR="00DE3E14" w:rsidRPr="00DE3E14" w:rsidRDefault="00DE3E14" w:rsidP="00DE3E14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E3E14">
        <w:rPr>
          <w:rFonts w:ascii="Tahoma" w:hAnsi="Tahoma" w:cs="Tahoma"/>
          <w:bCs/>
          <w:sz w:val="24"/>
          <w:szCs w:val="24"/>
        </w:rPr>
        <w:t xml:space="preserve">Why: </w:t>
      </w:r>
    </w:p>
    <w:p w:rsidR="00DE3E14" w:rsidRPr="00DE3E14" w:rsidRDefault="00DE3E14" w:rsidP="00DE3E14">
      <w:pPr>
        <w:pStyle w:val="ListParagraph"/>
        <w:numPr>
          <w:ilvl w:val="0"/>
          <w:numId w:val="28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E3E14">
        <w:rPr>
          <w:rFonts w:ascii="Tahoma" w:hAnsi="Tahoma" w:cs="Tahoma"/>
          <w:bCs/>
          <w:sz w:val="24"/>
          <w:szCs w:val="24"/>
        </w:rPr>
        <w:t>Help us refine our activities and develop new ones</w:t>
      </w:r>
    </w:p>
    <w:p w:rsidR="00DE3E14" w:rsidRPr="00DE3E14" w:rsidRDefault="00DE3E14" w:rsidP="00DE3E14">
      <w:pPr>
        <w:pStyle w:val="ListParagraph"/>
        <w:numPr>
          <w:ilvl w:val="0"/>
          <w:numId w:val="28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E3E14">
        <w:rPr>
          <w:rFonts w:ascii="Tahoma" w:hAnsi="Tahoma" w:cs="Tahoma"/>
          <w:bCs/>
          <w:sz w:val="24"/>
          <w:szCs w:val="24"/>
        </w:rPr>
        <w:t>The time was right: We just finished Visualize 2045 outreach</w:t>
      </w:r>
    </w:p>
    <w:p w:rsidR="00DE3E14" w:rsidRPr="00DE3E14" w:rsidRDefault="00DE3E14" w:rsidP="00DE3E14">
      <w:pPr>
        <w:pStyle w:val="ListParagraph"/>
        <w:numPr>
          <w:ilvl w:val="0"/>
          <w:numId w:val="28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E3E14">
        <w:rPr>
          <w:rFonts w:ascii="Tahoma" w:hAnsi="Tahoma" w:cs="Tahoma"/>
          <w:bCs/>
          <w:sz w:val="24"/>
          <w:szCs w:val="24"/>
        </w:rPr>
        <w:t>Federal Certification: This evaluation provides helpful documentation</w:t>
      </w:r>
    </w:p>
    <w:p w:rsidR="00DE3E14" w:rsidRPr="00DE3E14" w:rsidRDefault="00DE3E14" w:rsidP="00DE3E14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E3E14">
        <w:rPr>
          <w:rFonts w:ascii="Tahoma" w:hAnsi="Tahoma" w:cs="Tahoma"/>
          <w:bCs/>
          <w:sz w:val="24"/>
          <w:szCs w:val="24"/>
        </w:rPr>
        <w:t xml:space="preserve">When: </w:t>
      </w:r>
    </w:p>
    <w:p w:rsidR="00DE3E14" w:rsidRPr="00DE3E14" w:rsidRDefault="00DE3E14" w:rsidP="00DE3E14">
      <w:pPr>
        <w:pStyle w:val="ListParagraph"/>
        <w:numPr>
          <w:ilvl w:val="0"/>
          <w:numId w:val="29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E3E14">
        <w:rPr>
          <w:rFonts w:ascii="Tahoma" w:hAnsi="Tahoma" w:cs="Tahoma"/>
          <w:bCs/>
          <w:sz w:val="24"/>
          <w:szCs w:val="24"/>
        </w:rPr>
        <w:t>September 2018 – February 2019</w:t>
      </w:r>
    </w:p>
    <w:p w:rsidR="00DE3E14" w:rsidRPr="00DE3E14" w:rsidRDefault="00DE3E14" w:rsidP="00DE3E14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E3E14">
        <w:rPr>
          <w:rFonts w:ascii="Tahoma" w:hAnsi="Tahoma" w:cs="Tahoma"/>
          <w:bCs/>
          <w:sz w:val="24"/>
          <w:szCs w:val="24"/>
        </w:rPr>
        <w:t xml:space="preserve">How: </w:t>
      </w:r>
    </w:p>
    <w:p w:rsidR="00DE3E14" w:rsidRPr="00DE3E14" w:rsidRDefault="00DE3E14" w:rsidP="00DE3E14">
      <w:pPr>
        <w:pStyle w:val="ListParagraph"/>
        <w:numPr>
          <w:ilvl w:val="0"/>
          <w:numId w:val="29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E3E14">
        <w:rPr>
          <w:rFonts w:ascii="Tahoma" w:hAnsi="Tahoma" w:cs="Tahoma"/>
          <w:bCs/>
          <w:sz w:val="24"/>
          <w:szCs w:val="24"/>
        </w:rPr>
        <w:t>Review of past activities &amp; practices</w:t>
      </w:r>
    </w:p>
    <w:p w:rsidR="00DE3E14" w:rsidRPr="00DE3E14" w:rsidRDefault="00DE3E14" w:rsidP="00DE3E14">
      <w:pPr>
        <w:pStyle w:val="ListParagraph"/>
        <w:numPr>
          <w:ilvl w:val="0"/>
          <w:numId w:val="29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E3E14">
        <w:rPr>
          <w:rFonts w:ascii="Tahoma" w:hAnsi="Tahoma" w:cs="Tahoma"/>
          <w:bCs/>
          <w:sz w:val="24"/>
          <w:szCs w:val="24"/>
        </w:rPr>
        <w:t>Focus groups</w:t>
      </w:r>
    </w:p>
    <w:p w:rsidR="009256A8" w:rsidRPr="00DE3E14" w:rsidRDefault="00DE3E14" w:rsidP="00DE3E14">
      <w:pPr>
        <w:pStyle w:val="ListParagraph"/>
        <w:numPr>
          <w:ilvl w:val="0"/>
          <w:numId w:val="29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E3E14">
        <w:rPr>
          <w:rFonts w:ascii="Tahoma" w:hAnsi="Tahoma" w:cs="Tahoma"/>
          <w:bCs/>
          <w:sz w:val="24"/>
          <w:szCs w:val="24"/>
        </w:rPr>
        <w:t>Assessment of data on participation</w:t>
      </w:r>
    </w:p>
    <w:p w:rsidR="002C6F9D" w:rsidRDefault="002C6F9D" w:rsidP="00C71D0E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68626D" w:rsidRDefault="0068626D" w:rsidP="00DE3E14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DE3E14" w:rsidRDefault="00FF301E" w:rsidP="00DE3E14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</w:t>
      </w:r>
      <w:r w:rsidR="00DF0DDF">
        <w:rPr>
          <w:rFonts w:ascii="Tahoma" w:hAnsi="Tahoma" w:cs="Tahoma"/>
          <w:sz w:val="24"/>
          <w:szCs w:val="24"/>
        </w:rPr>
        <w:t xml:space="preserve">lide </w:t>
      </w:r>
      <w:r w:rsidR="00201832">
        <w:rPr>
          <w:rFonts w:ascii="Tahoma" w:hAnsi="Tahoma" w:cs="Tahoma"/>
          <w:sz w:val="24"/>
          <w:szCs w:val="24"/>
        </w:rPr>
        <w:t>3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 w:rsidR="00DE3E14">
        <w:rPr>
          <w:rFonts w:ascii="Tahoma" w:hAnsi="Tahoma" w:cs="Tahoma"/>
          <w:sz w:val="24"/>
          <w:szCs w:val="24"/>
        </w:rPr>
        <w:t>Key Recommendations</w:t>
      </w:r>
    </w:p>
    <w:p w:rsidR="00DE3E14" w:rsidRDefault="00DE3E14" w:rsidP="00DE3E14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DE3E14" w:rsidRPr="00DE3E14" w:rsidRDefault="00DE3E14" w:rsidP="00DE3E14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E3E14">
        <w:rPr>
          <w:rFonts w:ascii="Tahoma" w:hAnsi="Tahoma" w:cs="Tahoma"/>
          <w:bCs/>
          <w:sz w:val="24"/>
          <w:szCs w:val="24"/>
        </w:rPr>
        <w:t>REGARDING THE PURPOSE AND GOALS OF PUBLIC PARTICIPATION</w:t>
      </w:r>
    </w:p>
    <w:p w:rsidR="00DE3E14" w:rsidRPr="00DE3E14" w:rsidRDefault="00DE3E14" w:rsidP="00DE3E14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DE3E14" w:rsidRPr="00DE3E14" w:rsidRDefault="00DE3E14" w:rsidP="00DE3E14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E3E14">
        <w:rPr>
          <w:rFonts w:ascii="Tahoma" w:hAnsi="Tahoma" w:cs="Tahoma"/>
          <w:bCs/>
          <w:sz w:val="24"/>
          <w:szCs w:val="24"/>
        </w:rPr>
        <w:t>1. Update the Participation Plan to streamline content, clarify roles and purposes, and evolve strategies to reach different constituencies.</w:t>
      </w:r>
    </w:p>
    <w:p w:rsidR="00DE3E14" w:rsidRPr="00DE3E14" w:rsidRDefault="00DE3E14" w:rsidP="00DE3E14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DE3E14" w:rsidRPr="00DE3E14" w:rsidRDefault="00DE3E14" w:rsidP="00DE3E14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E3E14">
        <w:rPr>
          <w:rFonts w:ascii="Tahoma" w:hAnsi="Tahoma" w:cs="Tahoma"/>
          <w:bCs/>
          <w:sz w:val="24"/>
          <w:szCs w:val="24"/>
        </w:rPr>
        <w:t xml:space="preserve">2. Undertake a campaign to clarify the TPB’s role for the </w:t>
      </w:r>
      <w:proofErr w:type="gramStart"/>
      <w:r w:rsidRPr="00DE3E14">
        <w:rPr>
          <w:rFonts w:ascii="Tahoma" w:hAnsi="Tahoma" w:cs="Tahoma"/>
          <w:bCs/>
          <w:sz w:val="24"/>
          <w:szCs w:val="24"/>
        </w:rPr>
        <w:t>general public</w:t>
      </w:r>
      <w:proofErr w:type="gramEnd"/>
      <w:r w:rsidRPr="00DE3E14">
        <w:rPr>
          <w:rFonts w:ascii="Tahoma" w:hAnsi="Tahoma" w:cs="Tahoma"/>
          <w:bCs/>
          <w:sz w:val="24"/>
          <w:szCs w:val="24"/>
        </w:rPr>
        <w:t>.</w:t>
      </w:r>
    </w:p>
    <w:p w:rsidR="00DE3E14" w:rsidRPr="00DE3E14" w:rsidRDefault="00DE3E14" w:rsidP="00DE3E14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E3E14">
        <w:rPr>
          <w:rFonts w:ascii="Tahoma" w:hAnsi="Tahoma" w:cs="Tahoma"/>
          <w:bCs/>
          <w:sz w:val="24"/>
          <w:szCs w:val="24"/>
        </w:rPr>
        <w:t> </w:t>
      </w:r>
    </w:p>
    <w:p w:rsidR="00DE3E14" w:rsidRDefault="00DE3E14" w:rsidP="00DE3E14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E3E14">
        <w:rPr>
          <w:rFonts w:ascii="Tahoma" w:hAnsi="Tahoma" w:cs="Tahoma"/>
          <w:bCs/>
          <w:sz w:val="24"/>
          <w:szCs w:val="24"/>
        </w:rPr>
        <w:lastRenderedPageBreak/>
        <w:t>3. Revisit the Participation Plan on a regular basis, through tools such as an annual survey.</w:t>
      </w:r>
    </w:p>
    <w:p w:rsidR="00DE3E14" w:rsidRDefault="00DE3E14" w:rsidP="00DE3E14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841ED3" w:rsidRDefault="00DF0DDF" w:rsidP="00DE3E14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bookmarkStart w:id="1" w:name="_Hlk2778110"/>
      <w:r>
        <w:rPr>
          <w:rFonts w:ascii="Tahoma" w:hAnsi="Tahoma" w:cs="Tahoma"/>
          <w:sz w:val="24"/>
          <w:szCs w:val="24"/>
        </w:rPr>
        <w:t xml:space="preserve">Slide </w:t>
      </w:r>
      <w:r w:rsidR="00201832">
        <w:rPr>
          <w:rFonts w:ascii="Tahoma" w:hAnsi="Tahoma" w:cs="Tahoma"/>
          <w:sz w:val="24"/>
          <w:szCs w:val="24"/>
        </w:rPr>
        <w:t>4</w:t>
      </w:r>
      <w:r w:rsidR="00FF301E" w:rsidRPr="00805534">
        <w:rPr>
          <w:rFonts w:ascii="Tahoma" w:hAnsi="Tahoma" w:cs="Tahoma"/>
          <w:sz w:val="24"/>
          <w:szCs w:val="24"/>
        </w:rPr>
        <w:t>:</w:t>
      </w:r>
      <w:r w:rsidR="00FF301E">
        <w:rPr>
          <w:rFonts w:ascii="Tahoma" w:hAnsi="Tahoma" w:cs="Tahoma"/>
          <w:sz w:val="24"/>
          <w:szCs w:val="24"/>
        </w:rPr>
        <w:t xml:space="preserve"> </w:t>
      </w:r>
      <w:r w:rsidR="00A15528">
        <w:rPr>
          <w:rFonts w:ascii="Tahoma" w:hAnsi="Tahoma" w:cs="Tahoma"/>
          <w:bCs/>
          <w:sz w:val="24"/>
          <w:szCs w:val="24"/>
        </w:rPr>
        <w:t xml:space="preserve"> </w:t>
      </w:r>
      <w:r w:rsidR="00DE3E14">
        <w:rPr>
          <w:rFonts w:ascii="Tahoma" w:hAnsi="Tahoma" w:cs="Tahoma"/>
          <w:bCs/>
          <w:sz w:val="24"/>
          <w:szCs w:val="24"/>
        </w:rPr>
        <w:t>Key Recommendations</w:t>
      </w:r>
    </w:p>
    <w:p w:rsidR="00DE3E14" w:rsidRDefault="00DE3E14" w:rsidP="00DE3E14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DE3E14" w:rsidRPr="00DE3E14" w:rsidRDefault="00DE3E14" w:rsidP="00DE3E14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E3E14">
        <w:rPr>
          <w:rFonts w:ascii="Tahoma" w:hAnsi="Tahoma" w:cs="Tahoma"/>
          <w:bCs/>
          <w:sz w:val="24"/>
          <w:szCs w:val="24"/>
        </w:rPr>
        <w:t>REGARDING CURRENT PRACTICES AND TOOLS</w:t>
      </w:r>
    </w:p>
    <w:p w:rsidR="00DE3E14" w:rsidRDefault="00DE3E14" w:rsidP="00DE3E14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DE3E14" w:rsidRPr="00DE3E14" w:rsidRDefault="00DE3E14" w:rsidP="00DE3E14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E3E14">
        <w:rPr>
          <w:rFonts w:ascii="Tahoma" w:hAnsi="Tahoma" w:cs="Tahoma"/>
          <w:bCs/>
          <w:sz w:val="24"/>
          <w:szCs w:val="24"/>
        </w:rPr>
        <w:t>4. Hire at least one additional staff member to expand TPB’s communications and outreach capabilities.</w:t>
      </w:r>
    </w:p>
    <w:p w:rsidR="00DE3E14" w:rsidRDefault="00DE3E14" w:rsidP="00DE3E14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DE3E14" w:rsidRPr="00DE3E14" w:rsidRDefault="00DE3E14" w:rsidP="00DE3E14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E3E14">
        <w:rPr>
          <w:rFonts w:ascii="Tahoma" w:hAnsi="Tahoma" w:cs="Tahoma"/>
          <w:bCs/>
          <w:sz w:val="24"/>
          <w:szCs w:val="24"/>
        </w:rPr>
        <w:t xml:space="preserve">5. Consider whether an expanded regional coordination role may be appropriate. </w:t>
      </w:r>
    </w:p>
    <w:p w:rsidR="00DE3E14" w:rsidRDefault="00DE3E14" w:rsidP="00DE3E14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9256A8" w:rsidRPr="00DE3E14" w:rsidRDefault="00DE3E14" w:rsidP="00DE3E14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E3E14">
        <w:rPr>
          <w:rFonts w:ascii="Tahoma" w:hAnsi="Tahoma" w:cs="Tahoma"/>
          <w:bCs/>
          <w:sz w:val="24"/>
          <w:szCs w:val="24"/>
        </w:rPr>
        <w:t>6. Improve public participation related to Board meetings and the TIP Forum.</w:t>
      </w:r>
    </w:p>
    <w:bookmarkEnd w:id="1"/>
    <w:p w:rsidR="00DE3E14" w:rsidRDefault="00DE3E14" w:rsidP="00DE3E14">
      <w:pPr>
        <w:pStyle w:val="ListParagraph"/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68626D" w:rsidRDefault="0068626D" w:rsidP="00DE3E14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DE3E14" w:rsidRDefault="00DE3E14" w:rsidP="00DE3E14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Slide </w:t>
      </w:r>
      <w:r w:rsidR="001E36E2">
        <w:rPr>
          <w:rFonts w:ascii="Tahoma" w:hAnsi="Tahoma" w:cs="Tahoma"/>
          <w:sz w:val="24"/>
          <w:szCs w:val="24"/>
        </w:rPr>
        <w:t>5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 Key Recommendations</w:t>
      </w:r>
    </w:p>
    <w:p w:rsidR="00DE3E14" w:rsidRPr="00DE3E14" w:rsidRDefault="00DE3E14" w:rsidP="00DE3E14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DE3E14" w:rsidRPr="00DE3E14" w:rsidRDefault="00DE3E14" w:rsidP="00DE3E14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E3E14">
        <w:rPr>
          <w:rFonts w:ascii="Tahoma" w:hAnsi="Tahoma" w:cs="Tahoma"/>
          <w:bCs/>
          <w:sz w:val="24"/>
          <w:szCs w:val="24"/>
        </w:rPr>
        <w:t>REGARDING CURRENT PRACTICES AND TOOLS (Cont’d)</w:t>
      </w:r>
    </w:p>
    <w:p w:rsidR="00DE3E14" w:rsidRPr="00DE3E14" w:rsidRDefault="00DE3E14" w:rsidP="00DE3E14">
      <w:pPr>
        <w:pStyle w:val="ListParagraph"/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E3E14">
        <w:rPr>
          <w:rFonts w:ascii="Tahoma" w:hAnsi="Tahoma" w:cs="Tahoma"/>
          <w:bCs/>
          <w:sz w:val="24"/>
          <w:szCs w:val="24"/>
        </w:rPr>
        <w:t xml:space="preserve"> </w:t>
      </w:r>
    </w:p>
    <w:p w:rsidR="00DE3E14" w:rsidRDefault="00DE3E14" w:rsidP="00DE3E14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E3E14">
        <w:rPr>
          <w:rFonts w:ascii="Tahoma" w:hAnsi="Tahoma" w:cs="Tahoma"/>
          <w:bCs/>
          <w:sz w:val="24"/>
          <w:szCs w:val="24"/>
        </w:rPr>
        <w:t>7. Clarify the expectations and role of each Committee, particularly regarding public input and communications.</w:t>
      </w:r>
    </w:p>
    <w:p w:rsidR="00DE3E14" w:rsidRDefault="00DE3E14" w:rsidP="00DE3E14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DE3E14" w:rsidRPr="00DE3E14" w:rsidRDefault="00DE3E14" w:rsidP="00DE3E14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E3E14">
        <w:rPr>
          <w:rFonts w:ascii="Tahoma" w:hAnsi="Tahoma" w:cs="Tahoma"/>
          <w:bCs/>
          <w:sz w:val="24"/>
          <w:szCs w:val="24"/>
        </w:rPr>
        <w:t>8. Evolve Committee processes and structures, including Board engagement, educational activities, and provision of outreach materials.</w:t>
      </w:r>
    </w:p>
    <w:p w:rsidR="00DE3E14" w:rsidRDefault="00DE3E14" w:rsidP="00DE3E14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DE3E14" w:rsidRPr="00DE3E14" w:rsidRDefault="00DE3E14" w:rsidP="00DE3E14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E3E14">
        <w:rPr>
          <w:rFonts w:ascii="Tahoma" w:hAnsi="Tahoma" w:cs="Tahoma"/>
          <w:bCs/>
          <w:sz w:val="24"/>
          <w:szCs w:val="24"/>
        </w:rPr>
        <w:t>9. Advance social media practices to reach a broader spectrum.</w:t>
      </w:r>
    </w:p>
    <w:p w:rsidR="00303EE5" w:rsidRDefault="00303EE5" w:rsidP="00303EE5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68626D" w:rsidRDefault="0068626D" w:rsidP="001E36E2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Slide </w:t>
      </w:r>
      <w:r>
        <w:rPr>
          <w:rFonts w:ascii="Tahoma" w:hAnsi="Tahoma" w:cs="Tahoma"/>
          <w:sz w:val="24"/>
          <w:szCs w:val="24"/>
        </w:rPr>
        <w:t>6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 Key Recommendations</w:t>
      </w:r>
    </w:p>
    <w:p w:rsid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E36E2" w:rsidRP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E36E2">
        <w:rPr>
          <w:rFonts w:ascii="Tahoma" w:hAnsi="Tahoma" w:cs="Tahoma"/>
          <w:bCs/>
          <w:sz w:val="24"/>
          <w:szCs w:val="24"/>
        </w:rPr>
        <w:t>REGARDING CURRENT PRACTICES AND TOOLS (Cont’d)</w:t>
      </w:r>
    </w:p>
    <w:p w:rsidR="001E36E2" w:rsidRP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E36E2">
        <w:rPr>
          <w:rFonts w:ascii="Tahoma" w:hAnsi="Tahoma" w:cs="Tahoma"/>
          <w:bCs/>
          <w:sz w:val="24"/>
          <w:szCs w:val="24"/>
        </w:rPr>
        <w:t xml:space="preserve"> </w:t>
      </w:r>
    </w:p>
    <w:p w:rsidR="001E36E2" w:rsidRP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E36E2">
        <w:rPr>
          <w:rFonts w:ascii="Tahoma" w:hAnsi="Tahoma" w:cs="Tahoma"/>
          <w:bCs/>
          <w:sz w:val="24"/>
          <w:szCs w:val="24"/>
        </w:rPr>
        <w:t>10. Keep all levels of constituencies updated on long-range plan implementation progress, using successful strategies from Visualize 2045 as a guide.</w:t>
      </w:r>
    </w:p>
    <w:p w:rsid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E36E2" w:rsidRP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E36E2">
        <w:rPr>
          <w:rFonts w:ascii="Tahoma" w:hAnsi="Tahoma" w:cs="Tahoma"/>
          <w:bCs/>
          <w:sz w:val="24"/>
          <w:szCs w:val="24"/>
        </w:rPr>
        <w:t>11. Take a leadership role in providing regional transportation education.</w:t>
      </w:r>
    </w:p>
    <w:p w:rsid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E36E2">
        <w:rPr>
          <w:rFonts w:ascii="Tahoma" w:hAnsi="Tahoma" w:cs="Tahoma"/>
          <w:bCs/>
          <w:sz w:val="24"/>
          <w:szCs w:val="24"/>
        </w:rPr>
        <w:t>12. To prepare for the next long-range plan update, conduct a survey to assess how the public felt about the Visualize 2045 branding and outreach efforts.</w:t>
      </w:r>
    </w:p>
    <w:p w:rsid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Slide </w:t>
      </w:r>
      <w:r>
        <w:rPr>
          <w:rFonts w:ascii="Tahoma" w:hAnsi="Tahoma" w:cs="Tahoma"/>
          <w:sz w:val="24"/>
          <w:szCs w:val="24"/>
        </w:rPr>
        <w:t>7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 Key Recommendations</w:t>
      </w:r>
    </w:p>
    <w:p w:rsidR="001E36E2" w:rsidRDefault="001E36E2" w:rsidP="00303EE5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E36E2" w:rsidRP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E36E2">
        <w:rPr>
          <w:rFonts w:ascii="Tahoma" w:hAnsi="Tahoma" w:cs="Tahoma"/>
          <w:bCs/>
          <w:sz w:val="24"/>
          <w:szCs w:val="24"/>
        </w:rPr>
        <w:t>REGARDING CURRENT PRACTICES AND TOOLS (Cont’d)</w:t>
      </w:r>
    </w:p>
    <w:p w:rsidR="001E36E2" w:rsidRP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E36E2">
        <w:rPr>
          <w:rFonts w:ascii="Tahoma" w:hAnsi="Tahoma" w:cs="Tahoma"/>
          <w:bCs/>
          <w:sz w:val="24"/>
          <w:szCs w:val="24"/>
        </w:rPr>
        <w:lastRenderedPageBreak/>
        <w:t xml:space="preserve"> </w:t>
      </w:r>
    </w:p>
    <w:p w:rsidR="001E36E2" w:rsidRP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E36E2">
        <w:rPr>
          <w:rFonts w:ascii="Tahoma" w:hAnsi="Tahoma" w:cs="Tahoma"/>
          <w:bCs/>
          <w:sz w:val="24"/>
          <w:szCs w:val="24"/>
        </w:rPr>
        <w:t>13. Expand the TPB’s leadership role in regional transportation research.</w:t>
      </w:r>
    </w:p>
    <w:p w:rsid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E36E2">
        <w:rPr>
          <w:rFonts w:ascii="Tahoma" w:hAnsi="Tahoma" w:cs="Tahoma"/>
          <w:bCs/>
          <w:sz w:val="24"/>
          <w:szCs w:val="24"/>
        </w:rPr>
        <w:t>14. Plan for ways to improve overall participation based on lessons learned, including an evaluation of what was successful in the Visualize 2045 process.</w:t>
      </w:r>
    </w:p>
    <w:p w:rsidR="0068626D" w:rsidRDefault="0068626D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Slide 8: Key Recommendations</w:t>
      </w:r>
    </w:p>
    <w:p w:rsid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E36E2" w:rsidRP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E36E2">
        <w:rPr>
          <w:rFonts w:ascii="Tahoma" w:hAnsi="Tahoma" w:cs="Tahoma"/>
          <w:bCs/>
          <w:sz w:val="24"/>
          <w:szCs w:val="24"/>
        </w:rPr>
        <w:t xml:space="preserve">REGARDING NEW STRATEGIES, APPROACHES, AND TOOLS </w:t>
      </w:r>
    </w:p>
    <w:p w:rsidR="001E36E2" w:rsidRP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E36E2" w:rsidRP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E36E2">
        <w:rPr>
          <w:rFonts w:ascii="Tahoma" w:hAnsi="Tahoma" w:cs="Tahoma"/>
          <w:bCs/>
          <w:sz w:val="24"/>
          <w:szCs w:val="24"/>
        </w:rPr>
        <w:t>15. Consider development of a series of videos to educate about the TPB in general, as well as about its ongoing and one-off activities.</w:t>
      </w:r>
    </w:p>
    <w:p w:rsid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E36E2" w:rsidRP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E36E2">
        <w:rPr>
          <w:rFonts w:ascii="Tahoma" w:hAnsi="Tahoma" w:cs="Tahoma"/>
          <w:bCs/>
          <w:sz w:val="24"/>
          <w:szCs w:val="24"/>
        </w:rPr>
        <w:t>16. Meet with member jurisdictions and other related groups to coordinate efforts and “grow” a group of messaging ambassadors.</w:t>
      </w:r>
    </w:p>
    <w:p w:rsid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E36E2" w:rsidRP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E36E2">
        <w:rPr>
          <w:rFonts w:ascii="Tahoma" w:hAnsi="Tahoma" w:cs="Tahoma"/>
          <w:bCs/>
          <w:sz w:val="24"/>
          <w:szCs w:val="24"/>
        </w:rPr>
        <w:t>17. Foster discussions about regional and local efforts to define effective transportation narratives and build an understanding of issues.</w:t>
      </w:r>
    </w:p>
    <w:p w:rsid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E36E2">
        <w:rPr>
          <w:rFonts w:ascii="Tahoma" w:hAnsi="Tahoma" w:cs="Tahoma"/>
          <w:bCs/>
          <w:sz w:val="24"/>
          <w:szCs w:val="24"/>
        </w:rPr>
        <w:t>18. Make efforts to educate people about transportation issues and potential solutions from a younger age than is typical for the TPB “public.”</w:t>
      </w:r>
    </w:p>
    <w:p w:rsid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68626D" w:rsidRDefault="0068626D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Slide 9: What’s Next</w:t>
      </w:r>
    </w:p>
    <w:p w:rsid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000000" w:rsidRDefault="0068626D" w:rsidP="001E36E2">
      <w:pPr>
        <w:numPr>
          <w:ilvl w:val="0"/>
          <w:numId w:val="30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E36E2">
        <w:rPr>
          <w:rFonts w:ascii="Tahoma" w:hAnsi="Tahoma" w:cs="Tahoma"/>
          <w:bCs/>
          <w:sz w:val="24"/>
          <w:szCs w:val="24"/>
        </w:rPr>
        <w:t xml:space="preserve">The consultant report was released on February 22. </w:t>
      </w:r>
    </w:p>
    <w:p w:rsidR="001E36E2" w:rsidRPr="001E36E2" w:rsidRDefault="001E36E2" w:rsidP="001E36E2">
      <w:pPr>
        <w:spacing w:after="0" w:line="240" w:lineRule="auto"/>
        <w:ind w:left="720"/>
        <w:rPr>
          <w:rFonts w:ascii="Tahoma" w:hAnsi="Tahoma" w:cs="Tahoma"/>
          <w:bCs/>
          <w:sz w:val="24"/>
          <w:szCs w:val="24"/>
        </w:rPr>
      </w:pPr>
    </w:p>
    <w:p w:rsidR="00000000" w:rsidRDefault="0068626D" w:rsidP="001E36E2">
      <w:pPr>
        <w:numPr>
          <w:ilvl w:val="0"/>
          <w:numId w:val="30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E36E2">
        <w:rPr>
          <w:rFonts w:ascii="Tahoma" w:hAnsi="Tahoma" w:cs="Tahoma"/>
          <w:bCs/>
          <w:sz w:val="24"/>
          <w:szCs w:val="24"/>
        </w:rPr>
        <w:t>TPB staff will discuss the report with the TPB Technical Committee, the Access for All Advisory Committee, a</w:t>
      </w:r>
      <w:r w:rsidRPr="001E36E2">
        <w:rPr>
          <w:rFonts w:ascii="Tahoma" w:hAnsi="Tahoma" w:cs="Tahoma"/>
          <w:bCs/>
          <w:sz w:val="24"/>
          <w:szCs w:val="24"/>
        </w:rPr>
        <w:t xml:space="preserve">nd the Citizens Advisory Committee. </w:t>
      </w:r>
    </w:p>
    <w:p w:rsidR="001E36E2" w:rsidRP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000000" w:rsidRDefault="0068626D" w:rsidP="001E36E2">
      <w:pPr>
        <w:numPr>
          <w:ilvl w:val="0"/>
          <w:numId w:val="30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E36E2">
        <w:rPr>
          <w:rFonts w:ascii="Tahoma" w:hAnsi="Tahoma" w:cs="Tahoma"/>
          <w:bCs/>
          <w:sz w:val="24"/>
          <w:szCs w:val="24"/>
        </w:rPr>
        <w:t xml:space="preserve">TPB staff will use the report to enhance our ongoing public involvement processes and inform new activities. </w:t>
      </w:r>
    </w:p>
    <w:p w:rsidR="001E36E2" w:rsidRDefault="001E36E2" w:rsidP="001E36E2">
      <w:pPr>
        <w:pStyle w:val="ListParagraph"/>
        <w:rPr>
          <w:rFonts w:ascii="Tahoma" w:hAnsi="Tahoma" w:cs="Tahoma"/>
          <w:bCs/>
          <w:sz w:val="24"/>
          <w:szCs w:val="24"/>
        </w:rPr>
      </w:pPr>
    </w:p>
    <w:p w:rsid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Slide 10</w:t>
      </w:r>
    </w:p>
    <w:p w:rsid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E36E2" w:rsidRP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E36E2">
        <w:rPr>
          <w:rFonts w:ascii="Tahoma" w:hAnsi="Tahoma" w:cs="Tahoma"/>
          <w:bCs/>
          <w:sz w:val="24"/>
          <w:szCs w:val="24"/>
        </w:rPr>
        <w:t>John Swanson</w:t>
      </w:r>
    </w:p>
    <w:p w:rsidR="001E36E2" w:rsidRP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E36E2">
        <w:rPr>
          <w:rFonts w:ascii="Tahoma" w:hAnsi="Tahoma" w:cs="Tahoma"/>
          <w:bCs/>
          <w:sz w:val="24"/>
          <w:szCs w:val="24"/>
        </w:rPr>
        <w:t>TPB Transportation Planner</w:t>
      </w:r>
    </w:p>
    <w:p w:rsidR="001E36E2" w:rsidRP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E36E2">
        <w:rPr>
          <w:rFonts w:ascii="Tahoma" w:hAnsi="Tahoma" w:cs="Tahoma"/>
          <w:bCs/>
          <w:sz w:val="24"/>
          <w:szCs w:val="24"/>
        </w:rPr>
        <w:t>(202) 962-3295</w:t>
      </w:r>
    </w:p>
    <w:p w:rsidR="001E36E2" w:rsidRP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hyperlink r:id="rId5" w:history="1">
        <w:r w:rsidRPr="001E36E2">
          <w:rPr>
            <w:rStyle w:val="Hyperlink"/>
            <w:rFonts w:ascii="Tahoma" w:hAnsi="Tahoma" w:cs="Tahoma"/>
            <w:bCs/>
            <w:sz w:val="24"/>
            <w:szCs w:val="24"/>
          </w:rPr>
          <w:t>jswanson</w:t>
        </w:r>
      </w:hyperlink>
      <w:hyperlink r:id="rId6" w:history="1">
        <w:r w:rsidRPr="001E36E2">
          <w:rPr>
            <w:rStyle w:val="Hyperlink"/>
            <w:rFonts w:ascii="Tahoma" w:hAnsi="Tahoma" w:cs="Tahoma"/>
            <w:bCs/>
            <w:sz w:val="24"/>
            <w:szCs w:val="24"/>
          </w:rPr>
          <w:t>@mwcog.org</w:t>
        </w:r>
      </w:hyperlink>
    </w:p>
    <w:p w:rsid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E36E2" w:rsidRP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E36E2">
        <w:rPr>
          <w:rFonts w:ascii="Tahoma" w:hAnsi="Tahoma" w:cs="Tahoma"/>
          <w:bCs/>
          <w:sz w:val="24"/>
          <w:szCs w:val="24"/>
        </w:rPr>
        <w:t>Metropolitan Washington Council of Governments</w:t>
      </w:r>
    </w:p>
    <w:p w:rsidR="001E36E2" w:rsidRP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E36E2">
        <w:rPr>
          <w:rFonts w:ascii="Tahoma" w:hAnsi="Tahoma" w:cs="Tahoma"/>
          <w:bCs/>
          <w:sz w:val="24"/>
          <w:szCs w:val="24"/>
        </w:rPr>
        <w:t>777 North Capitol Street NE, Suite 300</w:t>
      </w:r>
    </w:p>
    <w:p w:rsid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E36E2">
        <w:rPr>
          <w:rFonts w:ascii="Tahoma" w:hAnsi="Tahoma" w:cs="Tahoma"/>
          <w:bCs/>
          <w:sz w:val="24"/>
          <w:szCs w:val="24"/>
        </w:rPr>
        <w:t>Washington, DC 20002</w:t>
      </w:r>
    </w:p>
    <w:p w:rsid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E36E2">
        <w:rPr>
          <w:rFonts w:ascii="Tahoma" w:hAnsi="Tahoma" w:cs="Tahoma"/>
          <w:bCs/>
          <w:sz w:val="24"/>
          <w:szCs w:val="24"/>
        </w:rPr>
        <w:t>mwcog.org/TPB</w:t>
      </w:r>
    </w:p>
    <w:p w:rsidR="001E36E2" w:rsidRP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E36E2" w:rsidRPr="00522261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sectPr w:rsidR="001E36E2" w:rsidRPr="005222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Medium">
    <w:altName w:val="Franklin Gothic Medium"/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02D5E"/>
    <w:multiLevelType w:val="hybridMultilevel"/>
    <w:tmpl w:val="75E0A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F23FE"/>
    <w:multiLevelType w:val="hybridMultilevel"/>
    <w:tmpl w:val="23608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C63A7"/>
    <w:multiLevelType w:val="hybridMultilevel"/>
    <w:tmpl w:val="82186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8679B"/>
    <w:multiLevelType w:val="hybridMultilevel"/>
    <w:tmpl w:val="0A361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607C8C"/>
    <w:multiLevelType w:val="hybridMultilevel"/>
    <w:tmpl w:val="9E603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309DF"/>
    <w:multiLevelType w:val="hybridMultilevel"/>
    <w:tmpl w:val="29FE42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91F91"/>
    <w:multiLevelType w:val="hybridMultilevel"/>
    <w:tmpl w:val="9F8E7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938F9"/>
    <w:multiLevelType w:val="hybridMultilevel"/>
    <w:tmpl w:val="38D22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A65F92"/>
    <w:multiLevelType w:val="hybridMultilevel"/>
    <w:tmpl w:val="49D02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B61F0"/>
    <w:multiLevelType w:val="hybridMultilevel"/>
    <w:tmpl w:val="C2F23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C57F50"/>
    <w:multiLevelType w:val="hybridMultilevel"/>
    <w:tmpl w:val="48E02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F07A3B"/>
    <w:multiLevelType w:val="hybridMultilevel"/>
    <w:tmpl w:val="29FE42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17446E"/>
    <w:multiLevelType w:val="hybridMultilevel"/>
    <w:tmpl w:val="DE589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4C1D64"/>
    <w:multiLevelType w:val="hybridMultilevel"/>
    <w:tmpl w:val="1B145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B10E04"/>
    <w:multiLevelType w:val="hybridMultilevel"/>
    <w:tmpl w:val="A5EE1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302F82"/>
    <w:multiLevelType w:val="hybridMultilevel"/>
    <w:tmpl w:val="791A7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EC0F6C"/>
    <w:multiLevelType w:val="hybridMultilevel"/>
    <w:tmpl w:val="89B20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58295E"/>
    <w:multiLevelType w:val="hybridMultilevel"/>
    <w:tmpl w:val="75C6B322"/>
    <w:lvl w:ilvl="0" w:tplc="9990BB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9CAE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E04B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70AE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5099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EE01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EA41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A8FE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D04B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063598F"/>
    <w:multiLevelType w:val="hybridMultilevel"/>
    <w:tmpl w:val="0A581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C1275A"/>
    <w:multiLevelType w:val="hybridMultilevel"/>
    <w:tmpl w:val="DB40C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94515B"/>
    <w:multiLevelType w:val="hybridMultilevel"/>
    <w:tmpl w:val="D84C9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2C36"/>
    <w:multiLevelType w:val="hybridMultilevel"/>
    <w:tmpl w:val="78E8D5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C907818"/>
    <w:multiLevelType w:val="hybridMultilevel"/>
    <w:tmpl w:val="3E5832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771E52"/>
    <w:multiLevelType w:val="hybridMultilevel"/>
    <w:tmpl w:val="D674AC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F662AA"/>
    <w:multiLevelType w:val="hybridMultilevel"/>
    <w:tmpl w:val="CA804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90403F"/>
    <w:multiLevelType w:val="hybridMultilevel"/>
    <w:tmpl w:val="F320C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1A52BD"/>
    <w:multiLevelType w:val="hybridMultilevel"/>
    <w:tmpl w:val="588EC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2A49E4"/>
    <w:multiLevelType w:val="hybridMultilevel"/>
    <w:tmpl w:val="EEF02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BA65CA"/>
    <w:multiLevelType w:val="hybridMultilevel"/>
    <w:tmpl w:val="9E78D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E01D15"/>
    <w:multiLevelType w:val="hybridMultilevel"/>
    <w:tmpl w:val="AA863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3"/>
  </w:num>
  <w:num w:numId="3">
    <w:abstractNumId w:val="26"/>
  </w:num>
  <w:num w:numId="4">
    <w:abstractNumId w:val="18"/>
  </w:num>
  <w:num w:numId="5">
    <w:abstractNumId w:val="27"/>
  </w:num>
  <w:num w:numId="6">
    <w:abstractNumId w:val="20"/>
  </w:num>
  <w:num w:numId="7">
    <w:abstractNumId w:val="19"/>
  </w:num>
  <w:num w:numId="8">
    <w:abstractNumId w:val="1"/>
  </w:num>
  <w:num w:numId="9">
    <w:abstractNumId w:val="4"/>
  </w:num>
  <w:num w:numId="10">
    <w:abstractNumId w:val="2"/>
  </w:num>
  <w:num w:numId="11">
    <w:abstractNumId w:val="3"/>
  </w:num>
  <w:num w:numId="12">
    <w:abstractNumId w:val="24"/>
  </w:num>
  <w:num w:numId="13">
    <w:abstractNumId w:val="7"/>
  </w:num>
  <w:num w:numId="14">
    <w:abstractNumId w:val="8"/>
  </w:num>
  <w:num w:numId="15">
    <w:abstractNumId w:val="21"/>
  </w:num>
  <w:num w:numId="16">
    <w:abstractNumId w:val="11"/>
  </w:num>
  <w:num w:numId="17">
    <w:abstractNumId w:val="16"/>
  </w:num>
  <w:num w:numId="18">
    <w:abstractNumId w:val="5"/>
  </w:num>
  <w:num w:numId="19">
    <w:abstractNumId w:val="28"/>
  </w:num>
  <w:num w:numId="20">
    <w:abstractNumId w:val="15"/>
  </w:num>
  <w:num w:numId="21">
    <w:abstractNumId w:val="14"/>
  </w:num>
  <w:num w:numId="22">
    <w:abstractNumId w:val="0"/>
  </w:num>
  <w:num w:numId="23">
    <w:abstractNumId w:val="23"/>
  </w:num>
  <w:num w:numId="24">
    <w:abstractNumId w:val="6"/>
  </w:num>
  <w:num w:numId="25">
    <w:abstractNumId w:val="22"/>
  </w:num>
  <w:num w:numId="26">
    <w:abstractNumId w:val="12"/>
  </w:num>
  <w:num w:numId="27">
    <w:abstractNumId w:val="29"/>
  </w:num>
  <w:num w:numId="28">
    <w:abstractNumId w:val="9"/>
  </w:num>
  <w:num w:numId="29">
    <w:abstractNumId w:val="10"/>
  </w:num>
  <w:num w:numId="30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01E"/>
    <w:rsid w:val="00010137"/>
    <w:rsid w:val="00017C71"/>
    <w:rsid w:val="0002509E"/>
    <w:rsid w:val="000260BF"/>
    <w:rsid w:val="00052598"/>
    <w:rsid w:val="00057D20"/>
    <w:rsid w:val="00066C99"/>
    <w:rsid w:val="000A5C45"/>
    <w:rsid w:val="000E7F04"/>
    <w:rsid w:val="000F5515"/>
    <w:rsid w:val="001111B6"/>
    <w:rsid w:val="00141C1F"/>
    <w:rsid w:val="00164411"/>
    <w:rsid w:val="00170C5D"/>
    <w:rsid w:val="001735A8"/>
    <w:rsid w:val="001E36E2"/>
    <w:rsid w:val="001E6A3A"/>
    <w:rsid w:val="001E79CD"/>
    <w:rsid w:val="001F156E"/>
    <w:rsid w:val="00201832"/>
    <w:rsid w:val="00202625"/>
    <w:rsid w:val="00210B83"/>
    <w:rsid w:val="00240D91"/>
    <w:rsid w:val="002458A9"/>
    <w:rsid w:val="00246AEE"/>
    <w:rsid w:val="00286833"/>
    <w:rsid w:val="002C6F9D"/>
    <w:rsid w:val="002C7AEE"/>
    <w:rsid w:val="002D6545"/>
    <w:rsid w:val="002D68CA"/>
    <w:rsid w:val="002F1EB6"/>
    <w:rsid w:val="002F2391"/>
    <w:rsid w:val="00303EE5"/>
    <w:rsid w:val="00312FF0"/>
    <w:rsid w:val="00352C27"/>
    <w:rsid w:val="00356C0D"/>
    <w:rsid w:val="00377D26"/>
    <w:rsid w:val="003834FE"/>
    <w:rsid w:val="003C6C4B"/>
    <w:rsid w:val="003D2A8E"/>
    <w:rsid w:val="003D3DD2"/>
    <w:rsid w:val="003D4366"/>
    <w:rsid w:val="003F2325"/>
    <w:rsid w:val="003F5399"/>
    <w:rsid w:val="0040178F"/>
    <w:rsid w:val="004027F6"/>
    <w:rsid w:val="00415971"/>
    <w:rsid w:val="004164C2"/>
    <w:rsid w:val="00430791"/>
    <w:rsid w:val="00440B5B"/>
    <w:rsid w:val="00442F02"/>
    <w:rsid w:val="004629BF"/>
    <w:rsid w:val="004869C9"/>
    <w:rsid w:val="00497C37"/>
    <w:rsid w:val="004A432C"/>
    <w:rsid w:val="00513DDB"/>
    <w:rsid w:val="00522261"/>
    <w:rsid w:val="00535404"/>
    <w:rsid w:val="00556481"/>
    <w:rsid w:val="005600C3"/>
    <w:rsid w:val="00572D3B"/>
    <w:rsid w:val="00580F7D"/>
    <w:rsid w:val="00590664"/>
    <w:rsid w:val="00597304"/>
    <w:rsid w:val="005E1993"/>
    <w:rsid w:val="00606911"/>
    <w:rsid w:val="006223E2"/>
    <w:rsid w:val="00632E0A"/>
    <w:rsid w:val="00672A8A"/>
    <w:rsid w:val="0068626D"/>
    <w:rsid w:val="00691852"/>
    <w:rsid w:val="0069191B"/>
    <w:rsid w:val="006C7450"/>
    <w:rsid w:val="007317BE"/>
    <w:rsid w:val="00774E88"/>
    <w:rsid w:val="007B3A3A"/>
    <w:rsid w:val="007B7464"/>
    <w:rsid w:val="0080275A"/>
    <w:rsid w:val="00841ED3"/>
    <w:rsid w:val="00845DDE"/>
    <w:rsid w:val="00863F0B"/>
    <w:rsid w:val="00872269"/>
    <w:rsid w:val="008923C1"/>
    <w:rsid w:val="008A6179"/>
    <w:rsid w:val="008B6DC9"/>
    <w:rsid w:val="008C057C"/>
    <w:rsid w:val="008D2C59"/>
    <w:rsid w:val="008D791D"/>
    <w:rsid w:val="008E43C6"/>
    <w:rsid w:val="008E4B30"/>
    <w:rsid w:val="008F45F5"/>
    <w:rsid w:val="008F7E6B"/>
    <w:rsid w:val="00900361"/>
    <w:rsid w:val="00911857"/>
    <w:rsid w:val="009224E8"/>
    <w:rsid w:val="009256A8"/>
    <w:rsid w:val="00945C22"/>
    <w:rsid w:val="0095311E"/>
    <w:rsid w:val="00971BE2"/>
    <w:rsid w:val="00980B0D"/>
    <w:rsid w:val="00992E98"/>
    <w:rsid w:val="009A0271"/>
    <w:rsid w:val="009C2A22"/>
    <w:rsid w:val="009C7A98"/>
    <w:rsid w:val="009D14D0"/>
    <w:rsid w:val="009E4921"/>
    <w:rsid w:val="009F000D"/>
    <w:rsid w:val="009F1EAC"/>
    <w:rsid w:val="00A000CA"/>
    <w:rsid w:val="00A15528"/>
    <w:rsid w:val="00A36E77"/>
    <w:rsid w:val="00A60FCC"/>
    <w:rsid w:val="00A618C0"/>
    <w:rsid w:val="00A6445E"/>
    <w:rsid w:val="00AA5B4B"/>
    <w:rsid w:val="00AF2BE1"/>
    <w:rsid w:val="00AF331F"/>
    <w:rsid w:val="00B63019"/>
    <w:rsid w:val="00B7408E"/>
    <w:rsid w:val="00BD5E28"/>
    <w:rsid w:val="00BE54EA"/>
    <w:rsid w:val="00C04721"/>
    <w:rsid w:val="00C2006A"/>
    <w:rsid w:val="00C24EE4"/>
    <w:rsid w:val="00C34999"/>
    <w:rsid w:val="00C43F9D"/>
    <w:rsid w:val="00C55334"/>
    <w:rsid w:val="00C71D0E"/>
    <w:rsid w:val="00C728D2"/>
    <w:rsid w:val="00CB65CD"/>
    <w:rsid w:val="00CD6927"/>
    <w:rsid w:val="00D11820"/>
    <w:rsid w:val="00D4585C"/>
    <w:rsid w:val="00D678AB"/>
    <w:rsid w:val="00DC5F65"/>
    <w:rsid w:val="00DD232D"/>
    <w:rsid w:val="00DE3E14"/>
    <w:rsid w:val="00DE4774"/>
    <w:rsid w:val="00DF0DDF"/>
    <w:rsid w:val="00E0209C"/>
    <w:rsid w:val="00E03CEA"/>
    <w:rsid w:val="00E14F14"/>
    <w:rsid w:val="00E16327"/>
    <w:rsid w:val="00E36941"/>
    <w:rsid w:val="00EA0D05"/>
    <w:rsid w:val="00EA1F10"/>
    <w:rsid w:val="00EB3E1D"/>
    <w:rsid w:val="00EB4089"/>
    <w:rsid w:val="00EE1A59"/>
    <w:rsid w:val="00EF3FE2"/>
    <w:rsid w:val="00EF42AB"/>
    <w:rsid w:val="00F06151"/>
    <w:rsid w:val="00F11CD7"/>
    <w:rsid w:val="00F26A82"/>
    <w:rsid w:val="00F276B9"/>
    <w:rsid w:val="00F965EB"/>
    <w:rsid w:val="00FC1A37"/>
    <w:rsid w:val="00FC2682"/>
    <w:rsid w:val="00FE594A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FB68D"/>
  <w15:chartTrackingRefBased/>
  <w15:docId w15:val="{5F14AF2F-7A08-416E-9154-E887B416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3E14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301E"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Times New Roman" w:hAnsi="Times New Roman"/>
      <w:color w:val="000000"/>
      <w:kern w:val="24"/>
      <w:sz w:val="64"/>
      <w:szCs w:val="6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01E"/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character" w:styleId="Hyperlink">
    <w:name w:val="Hyperlink"/>
    <w:basedOn w:val="DefaultParagraphFont"/>
    <w:uiPriority w:val="99"/>
    <w:unhideWhenUsed/>
    <w:rsid w:val="00FF301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F301E"/>
    <w:pPr>
      <w:ind w:left="720"/>
      <w:contextualSpacing/>
    </w:pPr>
  </w:style>
  <w:style w:type="paragraph" w:customStyle="1" w:styleId="Default">
    <w:name w:val="Default"/>
    <w:rsid w:val="007B7464"/>
    <w:pPr>
      <w:autoSpaceDE w:val="0"/>
      <w:autoSpaceDN w:val="0"/>
      <w:adjustRightInd w:val="0"/>
      <w:spacing w:after="0" w:line="240" w:lineRule="auto"/>
    </w:pPr>
    <w:rPr>
      <w:rFonts w:ascii="Franklin Gothic Medium" w:hAnsi="Franklin Gothic Medium" w:cs="Franklin Gothic Medium"/>
      <w:color w:val="000000"/>
      <w:sz w:val="24"/>
      <w:szCs w:val="24"/>
    </w:rPr>
  </w:style>
  <w:style w:type="paragraph" w:styleId="NoSpacing">
    <w:name w:val="No Spacing"/>
    <w:uiPriority w:val="1"/>
    <w:qFormat/>
    <w:rsid w:val="00597304"/>
    <w:pPr>
      <w:spacing w:after="0" w:line="240" w:lineRule="auto"/>
    </w:pPr>
    <w:rPr>
      <w:rFonts w:ascii="Calibri" w:eastAsia="Times New Roman" w:hAnsi="Calibri" w:cs="Times New Roman"/>
    </w:rPr>
  </w:style>
  <w:style w:type="character" w:styleId="Mention">
    <w:name w:val="Mention"/>
    <w:basedOn w:val="DefaultParagraphFont"/>
    <w:uiPriority w:val="99"/>
    <w:semiHidden/>
    <w:unhideWhenUsed/>
    <w:rsid w:val="00597304"/>
    <w:rPr>
      <w:color w:val="2B579A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D118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50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09E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45C2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94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9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18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591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43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65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3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7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0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12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94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8881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61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4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499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93665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2833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82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4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24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2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544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110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8949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1078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6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4264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09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9914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386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1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5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6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148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21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2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60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6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23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20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42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17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19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69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73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48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54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37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57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7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031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7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5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59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6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8322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3956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696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8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6285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9323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31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63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382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51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6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360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2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37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4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121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9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3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765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0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907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23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428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252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410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093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6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796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1861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2972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97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5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7534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0700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47756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510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56127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339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29341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8813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5234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074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693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68644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0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843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8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08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46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6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2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71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6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54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5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8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520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9407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565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7111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5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9422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3894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822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81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037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179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39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337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4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782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9032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1877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6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1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9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6416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6485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98">
          <w:marLeft w:val="184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2862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727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0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76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11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056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88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708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swanson@mwcog.org" TargetMode="External"/><Relationship Id="rId5" Type="http://schemas.openxmlformats.org/officeDocument/2006/relationships/hyperlink" Target="mailto:jswanson@mwcog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Zeller</dc:creator>
  <cp:keywords/>
  <dc:description/>
  <cp:lastModifiedBy>Lynn Winchell-Mendy</cp:lastModifiedBy>
  <cp:revision>3</cp:revision>
  <cp:lastPrinted>2018-09-07T20:22:00Z</cp:lastPrinted>
  <dcterms:created xsi:type="dcterms:W3CDTF">2019-03-06T20:26:00Z</dcterms:created>
  <dcterms:modified xsi:type="dcterms:W3CDTF">2019-03-06T20:27:00Z</dcterms:modified>
</cp:coreProperties>
</file>