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A51" w:rsidRPr="008E0A51" w:rsidRDefault="008E0A51" w:rsidP="008E0A51">
      <w:pPr>
        <w:rPr>
          <w:rFonts w:ascii="Calibri" w:hAnsi="Calibri"/>
          <w:color w:val="auto"/>
          <w:sz w:val="26"/>
          <w:szCs w:val="26"/>
        </w:rPr>
      </w:pPr>
      <w:r w:rsidRPr="008E0A51">
        <w:rPr>
          <w:rFonts w:ascii="Calibri" w:hAnsi="Calibri"/>
          <w:color w:val="auto"/>
          <w:sz w:val="26"/>
          <w:szCs w:val="26"/>
        </w:rPr>
        <w:t xml:space="preserve">Key features of </w:t>
      </w:r>
      <w:r w:rsidRPr="008E0A51">
        <w:rPr>
          <w:rFonts w:ascii="Calibri" w:hAnsi="Calibri"/>
          <w:color w:val="auto"/>
          <w:sz w:val="26"/>
          <w:szCs w:val="26"/>
        </w:rPr>
        <w:t>F</w:t>
      </w:r>
      <w:r w:rsidRPr="008E0A51">
        <w:rPr>
          <w:rFonts w:ascii="Calibri" w:hAnsi="Calibri"/>
          <w:color w:val="auto"/>
          <w:sz w:val="26"/>
          <w:szCs w:val="26"/>
        </w:rPr>
        <w:t xml:space="preserve">Y </w:t>
      </w:r>
      <w:r w:rsidRPr="008E0A51">
        <w:rPr>
          <w:rFonts w:ascii="Calibri" w:hAnsi="Calibri"/>
          <w:color w:val="auto"/>
          <w:sz w:val="26"/>
          <w:szCs w:val="26"/>
          <w:u w:val="single"/>
        </w:rPr>
        <w:t>2014</w:t>
      </w:r>
      <w:r w:rsidRPr="008E0A51">
        <w:rPr>
          <w:rFonts w:ascii="Calibri" w:hAnsi="Calibri"/>
          <w:color w:val="auto"/>
          <w:sz w:val="26"/>
          <w:szCs w:val="26"/>
        </w:rPr>
        <w:t xml:space="preserve"> RWQM </w:t>
      </w:r>
      <w:r w:rsidRPr="008E0A51">
        <w:rPr>
          <w:rFonts w:ascii="Calibri" w:hAnsi="Calibri"/>
          <w:color w:val="auto"/>
          <w:sz w:val="26"/>
          <w:szCs w:val="26"/>
        </w:rPr>
        <w:t>Work Program</w:t>
      </w:r>
    </w:p>
    <w:p w:rsidR="008E0A51" w:rsidRPr="0070324A" w:rsidRDefault="0070324A" w:rsidP="0070324A">
      <w:pPr>
        <w:tabs>
          <w:tab w:val="left" w:pos="664"/>
        </w:tabs>
        <w:rPr>
          <w:rFonts w:ascii="Tahoma" w:hAnsi="Tahoma" w:cs="Tahoma"/>
          <w:color w:val="auto"/>
          <w:sz w:val="12"/>
          <w:szCs w:val="24"/>
        </w:rPr>
      </w:pPr>
      <w:r>
        <w:rPr>
          <w:rFonts w:ascii="Calibri" w:hAnsi="Calibri"/>
          <w:color w:val="auto"/>
          <w:sz w:val="16"/>
          <w:szCs w:val="24"/>
        </w:rPr>
        <w:tab/>
      </w:r>
    </w:p>
    <w:p w:rsidR="008E0A51" w:rsidRPr="008E0A51" w:rsidRDefault="008E0A51" w:rsidP="008E0A51">
      <w:pPr>
        <w:rPr>
          <w:rFonts w:ascii="Calibri" w:hAnsi="Calibri"/>
          <w:b/>
          <w:color w:val="auto"/>
          <w:sz w:val="28"/>
          <w:szCs w:val="24"/>
          <w:u w:val="single"/>
        </w:rPr>
      </w:pPr>
      <w:r w:rsidRPr="008E0A51">
        <w:rPr>
          <w:rFonts w:ascii="Calibri" w:hAnsi="Calibri"/>
          <w:b/>
          <w:color w:val="auto"/>
          <w:sz w:val="28"/>
          <w:szCs w:val="24"/>
          <w:u w:val="single"/>
        </w:rPr>
        <w:t>Overall Water Quality Goal &amp; Key Drivers</w:t>
      </w:r>
    </w:p>
    <w:p w:rsidR="008E0A51" w:rsidRPr="008E0A51" w:rsidRDefault="008E0A51" w:rsidP="008E0A51">
      <w:p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b/>
          <w:color w:val="auto"/>
          <w:sz w:val="24"/>
          <w:szCs w:val="26"/>
        </w:rPr>
        <w:t xml:space="preserve">Goal </w:t>
      </w:r>
      <w:r w:rsidRPr="008E0A51">
        <w:rPr>
          <w:rFonts w:ascii="Calibri" w:hAnsi="Calibri"/>
          <w:color w:val="auto"/>
          <w:sz w:val="24"/>
          <w:szCs w:val="26"/>
        </w:rPr>
        <w:t xml:space="preserve">– Continue to protect water quality </w:t>
      </w:r>
      <w:r w:rsidR="0070324A">
        <w:rPr>
          <w:rFonts w:ascii="Calibri" w:hAnsi="Calibri"/>
          <w:color w:val="auto"/>
          <w:sz w:val="24"/>
          <w:szCs w:val="26"/>
        </w:rPr>
        <w:t xml:space="preserve">&amp; </w:t>
      </w:r>
      <w:r w:rsidRPr="008E0A51">
        <w:rPr>
          <w:rFonts w:ascii="Calibri" w:hAnsi="Calibri"/>
          <w:color w:val="auto"/>
          <w:sz w:val="24"/>
          <w:szCs w:val="26"/>
        </w:rPr>
        <w:t xml:space="preserve">public health in a sustainable </w:t>
      </w:r>
      <w:r w:rsidR="0070324A">
        <w:rPr>
          <w:rFonts w:ascii="Calibri" w:hAnsi="Calibri"/>
          <w:color w:val="auto"/>
          <w:sz w:val="24"/>
          <w:szCs w:val="26"/>
        </w:rPr>
        <w:t xml:space="preserve">&amp; </w:t>
      </w:r>
      <w:r w:rsidRPr="008E0A51">
        <w:rPr>
          <w:rFonts w:ascii="Calibri" w:hAnsi="Calibri"/>
          <w:color w:val="auto"/>
          <w:sz w:val="24"/>
          <w:szCs w:val="26"/>
        </w:rPr>
        <w:t>affordable manner for the region.</w:t>
      </w:r>
    </w:p>
    <w:p w:rsidR="008E0A51" w:rsidRPr="008E0A51" w:rsidRDefault="008E0A51" w:rsidP="008E0A51">
      <w:p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b/>
          <w:color w:val="auto"/>
          <w:sz w:val="24"/>
          <w:szCs w:val="26"/>
        </w:rPr>
        <w:t>Drivers:</w:t>
      </w:r>
      <w:bookmarkStart w:id="0" w:name="_GoBack"/>
      <w:bookmarkEnd w:id="0"/>
    </w:p>
    <w:p w:rsidR="008E0A51" w:rsidRPr="008E0A51" w:rsidRDefault="008E0A51" w:rsidP="008E0A51">
      <w:pPr>
        <w:pStyle w:val="ListParagraph"/>
        <w:numPr>
          <w:ilvl w:val="0"/>
          <w:numId w:val="1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Permits and other regulatory requirements</w:t>
      </w:r>
    </w:p>
    <w:p w:rsidR="008E0A51" w:rsidRPr="008E0A51" w:rsidRDefault="008E0A51" w:rsidP="008E0A51">
      <w:pPr>
        <w:pStyle w:val="ListParagraph"/>
        <w:numPr>
          <w:ilvl w:val="0"/>
          <w:numId w:val="1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Chesapeake Bay restoration requirements</w:t>
      </w:r>
    </w:p>
    <w:p w:rsidR="008E0A51" w:rsidRPr="008E0A51" w:rsidRDefault="008E0A51" w:rsidP="008E0A51">
      <w:pPr>
        <w:pStyle w:val="ListParagraph"/>
        <w:numPr>
          <w:ilvl w:val="0"/>
          <w:numId w:val="1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Local water quality and restoration goals</w:t>
      </w:r>
    </w:p>
    <w:p w:rsidR="008E0A51" w:rsidRPr="008E0A51" w:rsidRDefault="008E0A51" w:rsidP="008E0A51">
      <w:pPr>
        <w:pStyle w:val="ListParagraph"/>
        <w:numPr>
          <w:ilvl w:val="0"/>
          <w:numId w:val="1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Other environmental objectives</w:t>
      </w:r>
    </w:p>
    <w:p w:rsidR="008E0A51" w:rsidRPr="0070324A" w:rsidRDefault="008E0A51" w:rsidP="008E0A51">
      <w:pPr>
        <w:rPr>
          <w:rFonts w:ascii="Calibri" w:hAnsi="Calibri"/>
          <w:color w:val="auto"/>
          <w:sz w:val="12"/>
          <w:szCs w:val="26"/>
        </w:rPr>
      </w:pPr>
    </w:p>
    <w:p w:rsidR="008E0A51" w:rsidRPr="008E0A51" w:rsidRDefault="008E0A51" w:rsidP="008E0A51">
      <w:pPr>
        <w:rPr>
          <w:rFonts w:ascii="Calibri" w:hAnsi="Calibri"/>
          <w:b/>
          <w:color w:val="auto"/>
          <w:sz w:val="28"/>
          <w:szCs w:val="24"/>
          <w:u w:val="single"/>
        </w:rPr>
      </w:pPr>
      <w:r w:rsidRPr="008E0A51">
        <w:rPr>
          <w:rFonts w:ascii="Calibri" w:hAnsi="Calibri"/>
          <w:b/>
          <w:color w:val="auto"/>
          <w:sz w:val="28"/>
          <w:szCs w:val="24"/>
          <w:u w:val="single"/>
        </w:rPr>
        <w:t>Challenges &amp; Priorities</w:t>
      </w:r>
    </w:p>
    <w:p w:rsidR="008E0A51" w:rsidRPr="008E0A51" w:rsidRDefault="008E0A51" w:rsidP="008E0A51">
      <w:p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>COG’s local governments and water utilities will need to address the following challenges: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Maintain existing/aging infrastructure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Build/implement new technologies &amp; systems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Meet existing/new regulatory requirements, schedules &amp; deadlines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Address extreme weather/climate change impacts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Respond to emerging issues &amp; meet multiple environmental objectives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Prepare to sustain efforts in face of continued growth and TMDL limitations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Address overall fund needs in an affordable &amp; sustainable manner</w:t>
      </w:r>
    </w:p>
    <w:p w:rsidR="008E0A51" w:rsidRPr="008E0A51" w:rsidRDefault="008E0A51" w:rsidP="008E0A51">
      <w:pPr>
        <w:pStyle w:val="ListParagraph"/>
        <w:numPr>
          <w:ilvl w:val="0"/>
          <w:numId w:val="2"/>
        </w:numPr>
        <w:rPr>
          <w:rFonts w:ascii="Calibri" w:hAnsi="Calibri"/>
          <w:color w:val="auto"/>
          <w:sz w:val="22"/>
          <w:szCs w:val="26"/>
        </w:rPr>
      </w:pPr>
      <w:r w:rsidRPr="008E0A51">
        <w:rPr>
          <w:rFonts w:ascii="Calibri" w:hAnsi="Calibri"/>
          <w:color w:val="auto"/>
          <w:sz w:val="22"/>
          <w:szCs w:val="26"/>
        </w:rPr>
        <w:t>Address work force issues</w:t>
      </w:r>
    </w:p>
    <w:p w:rsidR="008E0A51" w:rsidRPr="008E0A51" w:rsidRDefault="008E0A51" w:rsidP="008E0A51">
      <w:p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 xml:space="preserve">The priority associated with each of these challenges will of course vary, and will depend upon on the unique features </w:t>
      </w:r>
      <w:r w:rsidR="0070324A">
        <w:rPr>
          <w:rFonts w:ascii="Calibri" w:hAnsi="Calibri"/>
          <w:color w:val="auto"/>
          <w:sz w:val="24"/>
          <w:szCs w:val="26"/>
        </w:rPr>
        <w:t xml:space="preserve">&amp; </w:t>
      </w:r>
      <w:r w:rsidRPr="008E0A51">
        <w:rPr>
          <w:rFonts w:ascii="Calibri" w:hAnsi="Calibri"/>
          <w:color w:val="auto"/>
          <w:sz w:val="24"/>
          <w:szCs w:val="26"/>
        </w:rPr>
        <w:t>circumstances of each jurisdiction and water utility.</w:t>
      </w:r>
    </w:p>
    <w:p w:rsidR="008E0A51" w:rsidRPr="0070324A" w:rsidRDefault="008E0A51" w:rsidP="008E0A51">
      <w:pPr>
        <w:rPr>
          <w:rFonts w:ascii="Calibri" w:hAnsi="Calibri"/>
          <w:color w:val="auto"/>
          <w:sz w:val="12"/>
          <w:szCs w:val="24"/>
        </w:rPr>
      </w:pPr>
    </w:p>
    <w:p w:rsidR="008E0A51" w:rsidRPr="008E0A51" w:rsidRDefault="008E0A51" w:rsidP="008E0A51">
      <w:pPr>
        <w:rPr>
          <w:rFonts w:ascii="Calibri" w:hAnsi="Calibri"/>
          <w:b/>
          <w:color w:val="auto"/>
          <w:sz w:val="28"/>
          <w:szCs w:val="24"/>
          <w:u w:val="single"/>
        </w:rPr>
      </w:pPr>
      <w:r w:rsidRPr="008E0A51">
        <w:rPr>
          <w:rFonts w:ascii="Calibri" w:hAnsi="Calibri"/>
          <w:b/>
          <w:color w:val="auto"/>
          <w:sz w:val="28"/>
          <w:szCs w:val="24"/>
          <w:u w:val="single"/>
        </w:rPr>
        <w:t xml:space="preserve">Key Initiatives &amp; Deliverables </w:t>
      </w:r>
      <w:r w:rsidRPr="008E0A51">
        <w:rPr>
          <w:rFonts w:ascii="Calibri" w:hAnsi="Calibri"/>
          <w:b/>
          <w:color w:val="auto"/>
          <w:sz w:val="28"/>
          <w:szCs w:val="24"/>
          <w:u w:val="single"/>
        </w:rPr>
        <w:t xml:space="preserve">- </w:t>
      </w:r>
      <w:r w:rsidRPr="008E0A51">
        <w:rPr>
          <w:rFonts w:ascii="Calibri" w:hAnsi="Calibri"/>
          <w:b/>
          <w:color w:val="548DD4" w:themeColor="text2" w:themeTint="99"/>
          <w:sz w:val="28"/>
          <w:szCs w:val="24"/>
          <w:u w:val="single"/>
        </w:rPr>
        <w:t>STATUS</w:t>
      </w:r>
    </w:p>
    <w:p w:rsidR="008E0A51" w:rsidRPr="008E0A51" w:rsidRDefault="008E0A51" w:rsidP="008E0A51">
      <w:pPr>
        <w:pStyle w:val="ListParagraph"/>
        <w:numPr>
          <w:ilvl w:val="0"/>
          <w:numId w:val="3"/>
        </w:num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>Input on the Bay Program’s current initiatives &amp; proposed new Bay Agreement</w:t>
      </w:r>
      <w:r>
        <w:rPr>
          <w:rFonts w:ascii="Calibri" w:hAnsi="Calibri"/>
          <w:color w:val="auto"/>
          <w:sz w:val="24"/>
          <w:szCs w:val="26"/>
        </w:rPr>
        <w:t xml:space="preserve"> - 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</w:rPr>
        <w:t>PENDING</w:t>
      </w:r>
    </w:p>
    <w:p w:rsidR="008E0A51" w:rsidRPr="008E0A51" w:rsidRDefault="008E0A51" w:rsidP="008E0A51">
      <w:pPr>
        <w:pStyle w:val="ListParagraph"/>
        <w:numPr>
          <w:ilvl w:val="0"/>
          <w:numId w:val="3"/>
        </w:num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>Continued collaboration with US Conference of Mayors &amp; others to advocate for affordable, feasible, sustainable &amp; holistic solutions to address water quality issues</w:t>
      </w:r>
      <w:r>
        <w:rPr>
          <w:rFonts w:ascii="Calibri" w:hAnsi="Calibri"/>
          <w:color w:val="auto"/>
          <w:sz w:val="24"/>
          <w:szCs w:val="26"/>
        </w:rPr>
        <w:t xml:space="preserve"> - 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</w:rPr>
        <w:t>ONGOING</w:t>
      </w:r>
    </w:p>
    <w:p w:rsidR="008E0A51" w:rsidRPr="008E0A51" w:rsidRDefault="008E0A51" w:rsidP="008E0A51">
      <w:pPr>
        <w:pStyle w:val="ListParagraph"/>
        <w:numPr>
          <w:ilvl w:val="0"/>
          <w:numId w:val="3"/>
        </w:num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>A Potomac River water quality trends report/factsheet</w:t>
      </w:r>
      <w:r>
        <w:rPr>
          <w:rFonts w:ascii="Calibri" w:hAnsi="Calibri"/>
          <w:color w:val="auto"/>
          <w:sz w:val="24"/>
          <w:szCs w:val="26"/>
        </w:rPr>
        <w:t xml:space="preserve"> – 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</w:rPr>
        <w:t>1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  <w:vertAlign w:val="superscript"/>
        </w:rPr>
        <w:t>st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</w:rPr>
        <w:t xml:space="preserve"> Factsheet DONE</w:t>
      </w:r>
    </w:p>
    <w:p w:rsidR="008E0A51" w:rsidRPr="008E0A51" w:rsidRDefault="008E0A51" w:rsidP="008E0A51">
      <w:pPr>
        <w:pStyle w:val="ListParagraph"/>
        <w:numPr>
          <w:ilvl w:val="0"/>
          <w:numId w:val="3"/>
        </w:num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>Regional wastewater flow projections &amp; implementation status report</w:t>
      </w:r>
      <w:r>
        <w:rPr>
          <w:rFonts w:ascii="Calibri" w:hAnsi="Calibri"/>
          <w:color w:val="auto"/>
          <w:sz w:val="24"/>
          <w:szCs w:val="26"/>
        </w:rPr>
        <w:t xml:space="preserve"> -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</w:rPr>
        <w:t>DONE</w:t>
      </w:r>
    </w:p>
    <w:p w:rsidR="008E0A51" w:rsidRPr="008E0A51" w:rsidRDefault="008E0A51" w:rsidP="008E0A51">
      <w:pPr>
        <w:pStyle w:val="ListParagraph"/>
        <w:numPr>
          <w:ilvl w:val="0"/>
          <w:numId w:val="3"/>
        </w:num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>A regional water resource infrastructure forum (in collaboration with COG’s members &amp; national organizations) to present challenges &amp;  opportunities  – including regional  infrastructure needs, costs, funding options, &amp; work force issues</w:t>
      </w:r>
      <w:r>
        <w:rPr>
          <w:rFonts w:ascii="Calibri" w:hAnsi="Calibri"/>
          <w:color w:val="auto"/>
          <w:sz w:val="24"/>
          <w:szCs w:val="26"/>
        </w:rPr>
        <w:t xml:space="preserve"> – 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</w:rPr>
        <w:t>BEING PLANNED (Spring 2014)</w:t>
      </w:r>
      <w:r w:rsidRPr="008E0A51">
        <w:rPr>
          <w:rFonts w:ascii="Calibri" w:hAnsi="Calibri"/>
          <w:color w:val="548DD4" w:themeColor="text2" w:themeTint="99"/>
          <w:sz w:val="24"/>
          <w:szCs w:val="26"/>
        </w:rPr>
        <w:t xml:space="preserve"> – Will supplement COG’s Regional Infrastructure/Region Forward efforts</w:t>
      </w:r>
    </w:p>
    <w:p w:rsidR="008E0A51" w:rsidRPr="000D5884" w:rsidRDefault="008E0A51" w:rsidP="008E0A51">
      <w:pPr>
        <w:pStyle w:val="ListParagraph"/>
        <w:numPr>
          <w:ilvl w:val="0"/>
          <w:numId w:val="3"/>
        </w:numPr>
        <w:rPr>
          <w:rFonts w:ascii="Calibri" w:hAnsi="Calibri"/>
          <w:color w:val="auto"/>
          <w:sz w:val="24"/>
          <w:szCs w:val="26"/>
        </w:rPr>
      </w:pPr>
      <w:r w:rsidRPr="008E0A51">
        <w:rPr>
          <w:rFonts w:ascii="Calibri" w:hAnsi="Calibri"/>
          <w:color w:val="auto"/>
          <w:sz w:val="24"/>
          <w:szCs w:val="26"/>
        </w:rPr>
        <w:t>Outreach products (e.g., factsheets, webinars, &amp; other mechanisms)  to communicate the benefits &amp; challenges of these water resource issues for COG’s members</w:t>
      </w:r>
      <w:r>
        <w:rPr>
          <w:rFonts w:ascii="Calibri" w:hAnsi="Calibri"/>
          <w:color w:val="auto"/>
          <w:sz w:val="24"/>
          <w:szCs w:val="26"/>
        </w:rPr>
        <w:t xml:space="preserve"> </w:t>
      </w:r>
      <w:r w:rsidR="000D5884">
        <w:rPr>
          <w:rFonts w:ascii="Calibri" w:hAnsi="Calibri"/>
          <w:color w:val="auto"/>
          <w:sz w:val="24"/>
          <w:szCs w:val="26"/>
        </w:rPr>
        <w:t>–</w:t>
      </w:r>
      <w:r>
        <w:rPr>
          <w:rFonts w:ascii="Calibri" w:hAnsi="Calibri"/>
          <w:color w:val="auto"/>
          <w:sz w:val="24"/>
          <w:szCs w:val="26"/>
        </w:rPr>
        <w:t xml:space="preserve"> </w:t>
      </w:r>
      <w:r w:rsidRPr="008E0A51">
        <w:rPr>
          <w:rFonts w:ascii="Calibri" w:hAnsi="Calibri"/>
          <w:b/>
          <w:color w:val="548DD4" w:themeColor="text2" w:themeTint="99"/>
          <w:sz w:val="24"/>
          <w:szCs w:val="26"/>
        </w:rPr>
        <w:t>ONGOING</w:t>
      </w:r>
    </w:p>
    <w:p w:rsidR="00933D75" w:rsidRPr="00933D75" w:rsidRDefault="00933D75" w:rsidP="000D5884">
      <w:pPr>
        <w:pStyle w:val="ListParagraph"/>
        <w:numPr>
          <w:ilvl w:val="1"/>
          <w:numId w:val="3"/>
        </w:numPr>
        <w:rPr>
          <w:rFonts w:ascii="Calibri" w:hAnsi="Calibri"/>
          <w:color w:val="548DD4" w:themeColor="text2" w:themeTint="99"/>
          <w:sz w:val="24"/>
          <w:szCs w:val="26"/>
        </w:rPr>
      </w:pPr>
      <w:r w:rsidRPr="0000607F">
        <w:rPr>
          <w:rFonts w:ascii="Calibri" w:hAnsi="Calibri"/>
          <w:b/>
          <w:color w:val="548DD4" w:themeColor="text2" w:themeTint="99"/>
          <w:sz w:val="24"/>
          <w:szCs w:val="26"/>
        </w:rPr>
        <w:t>Joint meeting w/ CEEPC</w:t>
      </w:r>
      <w:r w:rsidRPr="00933D75">
        <w:rPr>
          <w:rFonts w:ascii="Calibri" w:hAnsi="Calibri"/>
          <w:color w:val="548DD4" w:themeColor="text2" w:themeTint="99"/>
          <w:sz w:val="24"/>
          <w:szCs w:val="26"/>
        </w:rPr>
        <w:t xml:space="preserve"> – July 2013</w:t>
      </w:r>
    </w:p>
    <w:p w:rsidR="00933D75" w:rsidRPr="00933D75" w:rsidRDefault="00933D75" w:rsidP="000D5884">
      <w:pPr>
        <w:pStyle w:val="ListParagraph"/>
        <w:numPr>
          <w:ilvl w:val="1"/>
          <w:numId w:val="3"/>
        </w:numPr>
        <w:rPr>
          <w:rFonts w:ascii="Calibri" w:hAnsi="Calibri"/>
          <w:color w:val="548DD4" w:themeColor="text2" w:themeTint="99"/>
          <w:sz w:val="24"/>
          <w:szCs w:val="26"/>
        </w:rPr>
      </w:pPr>
      <w:r w:rsidRPr="0000607F">
        <w:rPr>
          <w:rFonts w:ascii="Calibri" w:hAnsi="Calibri"/>
          <w:b/>
          <w:color w:val="548DD4" w:themeColor="text2" w:themeTint="99"/>
          <w:sz w:val="24"/>
          <w:szCs w:val="26"/>
        </w:rPr>
        <w:t>USCM/Affordability</w:t>
      </w:r>
      <w:r w:rsidRPr="00933D75">
        <w:rPr>
          <w:rFonts w:ascii="Calibri" w:hAnsi="Calibri"/>
          <w:color w:val="548DD4" w:themeColor="text2" w:themeTint="99"/>
          <w:sz w:val="24"/>
          <w:szCs w:val="26"/>
        </w:rPr>
        <w:t xml:space="preserve"> – September 2013</w:t>
      </w:r>
    </w:p>
    <w:p w:rsidR="000D5884" w:rsidRPr="00933D75" w:rsidRDefault="000D5884" w:rsidP="000D5884">
      <w:pPr>
        <w:pStyle w:val="ListParagraph"/>
        <w:numPr>
          <w:ilvl w:val="1"/>
          <w:numId w:val="3"/>
        </w:numPr>
        <w:rPr>
          <w:rFonts w:ascii="Calibri" w:hAnsi="Calibri"/>
          <w:color w:val="548DD4" w:themeColor="text2" w:themeTint="99"/>
          <w:sz w:val="24"/>
          <w:szCs w:val="26"/>
        </w:rPr>
      </w:pPr>
      <w:r w:rsidRPr="0000607F">
        <w:rPr>
          <w:rFonts w:ascii="Calibri" w:hAnsi="Calibri"/>
          <w:b/>
          <w:color w:val="548DD4" w:themeColor="text2" w:themeTint="99"/>
          <w:sz w:val="24"/>
          <w:szCs w:val="26"/>
        </w:rPr>
        <w:t xml:space="preserve">Water </w:t>
      </w:r>
      <w:r w:rsidR="0000607F">
        <w:rPr>
          <w:rFonts w:ascii="Calibri" w:hAnsi="Calibri"/>
          <w:b/>
          <w:color w:val="548DD4" w:themeColor="text2" w:themeTint="99"/>
          <w:sz w:val="24"/>
          <w:szCs w:val="26"/>
        </w:rPr>
        <w:t>S</w:t>
      </w:r>
      <w:r w:rsidRPr="0000607F">
        <w:rPr>
          <w:rFonts w:ascii="Calibri" w:hAnsi="Calibri"/>
          <w:b/>
          <w:color w:val="548DD4" w:themeColor="text2" w:themeTint="99"/>
          <w:sz w:val="24"/>
          <w:szCs w:val="26"/>
        </w:rPr>
        <w:t>upply/</w:t>
      </w:r>
      <w:r w:rsidR="0000607F">
        <w:rPr>
          <w:rFonts w:ascii="Calibri" w:hAnsi="Calibri"/>
          <w:b/>
          <w:color w:val="548DD4" w:themeColor="text2" w:themeTint="99"/>
          <w:sz w:val="24"/>
          <w:szCs w:val="26"/>
        </w:rPr>
        <w:t>Q</w:t>
      </w:r>
      <w:r w:rsidRPr="0000607F">
        <w:rPr>
          <w:rFonts w:ascii="Calibri" w:hAnsi="Calibri"/>
          <w:b/>
          <w:color w:val="548DD4" w:themeColor="text2" w:themeTint="99"/>
          <w:sz w:val="24"/>
          <w:szCs w:val="26"/>
        </w:rPr>
        <w:t>uantity</w:t>
      </w:r>
      <w:r w:rsidR="00933D75" w:rsidRPr="0000607F">
        <w:rPr>
          <w:rFonts w:ascii="Calibri" w:hAnsi="Calibri"/>
          <w:b/>
          <w:color w:val="548DD4" w:themeColor="text2" w:themeTint="99"/>
          <w:sz w:val="24"/>
          <w:szCs w:val="26"/>
        </w:rPr>
        <w:t xml:space="preserve">  &amp; Growth</w:t>
      </w:r>
      <w:r w:rsidR="00933D75" w:rsidRPr="00933D75">
        <w:rPr>
          <w:rFonts w:ascii="Calibri" w:hAnsi="Calibri"/>
          <w:color w:val="548DD4" w:themeColor="text2" w:themeTint="99"/>
          <w:sz w:val="24"/>
          <w:szCs w:val="26"/>
        </w:rPr>
        <w:t xml:space="preserve"> – November 2013</w:t>
      </w:r>
    </w:p>
    <w:p w:rsidR="00933D75" w:rsidRPr="00933D75" w:rsidRDefault="00933D75" w:rsidP="000D5884">
      <w:pPr>
        <w:pStyle w:val="ListParagraph"/>
        <w:numPr>
          <w:ilvl w:val="1"/>
          <w:numId w:val="3"/>
        </w:numPr>
        <w:rPr>
          <w:rFonts w:ascii="Calibri" w:hAnsi="Calibri"/>
          <w:color w:val="548DD4" w:themeColor="text2" w:themeTint="99"/>
          <w:sz w:val="24"/>
          <w:szCs w:val="26"/>
        </w:rPr>
      </w:pPr>
      <w:r w:rsidRPr="0000607F">
        <w:rPr>
          <w:rFonts w:ascii="Calibri" w:hAnsi="Calibri"/>
          <w:b/>
          <w:color w:val="548DD4" w:themeColor="text2" w:themeTint="99"/>
          <w:sz w:val="24"/>
          <w:szCs w:val="26"/>
        </w:rPr>
        <w:t>Legislation</w:t>
      </w:r>
      <w:r w:rsidRPr="00933D75">
        <w:rPr>
          <w:rFonts w:ascii="Calibri" w:hAnsi="Calibri"/>
          <w:color w:val="548DD4" w:themeColor="text2" w:themeTint="99"/>
          <w:sz w:val="24"/>
          <w:szCs w:val="26"/>
        </w:rPr>
        <w:t xml:space="preserve"> – January 2014</w:t>
      </w:r>
    </w:p>
    <w:p w:rsidR="00FC1E7E" w:rsidRPr="0070324A" w:rsidRDefault="00FC1E7E">
      <w:pPr>
        <w:rPr>
          <w:rFonts w:ascii="Tahoma" w:hAnsi="Tahoma" w:cs="Tahoma"/>
          <w:sz w:val="14"/>
        </w:rPr>
      </w:pPr>
    </w:p>
    <w:p w:rsidR="008E0A51" w:rsidRPr="003D4500" w:rsidRDefault="008E0A51">
      <w:pPr>
        <w:rPr>
          <w:rFonts w:ascii="Tahoma" w:hAnsi="Tahoma" w:cs="Tahoma"/>
          <w:color w:val="548DD4" w:themeColor="text2" w:themeTint="99"/>
          <w:sz w:val="28"/>
        </w:rPr>
      </w:pPr>
      <w:r w:rsidRPr="003D4500">
        <w:rPr>
          <w:rFonts w:ascii="Tahoma" w:hAnsi="Tahoma" w:cs="Tahoma"/>
          <w:b/>
          <w:color w:val="548DD4" w:themeColor="text2" w:themeTint="99"/>
          <w:sz w:val="28"/>
          <w:u w:val="single"/>
        </w:rPr>
        <w:t xml:space="preserve">Proposed </w:t>
      </w:r>
      <w:r w:rsidR="0070324A" w:rsidRPr="003D4500">
        <w:rPr>
          <w:rFonts w:ascii="Tahoma" w:hAnsi="Tahoma" w:cs="Tahoma"/>
          <w:b/>
          <w:color w:val="548DD4" w:themeColor="text2" w:themeTint="99"/>
          <w:sz w:val="28"/>
          <w:u w:val="single"/>
        </w:rPr>
        <w:t xml:space="preserve">Key </w:t>
      </w:r>
      <w:r w:rsidRPr="003D4500">
        <w:rPr>
          <w:rFonts w:ascii="Tahoma" w:hAnsi="Tahoma" w:cs="Tahoma"/>
          <w:b/>
          <w:color w:val="548DD4" w:themeColor="text2" w:themeTint="99"/>
          <w:sz w:val="28"/>
          <w:u w:val="single"/>
        </w:rPr>
        <w:t>Topics/Presentations for Upcoming CBPC Meetings</w:t>
      </w:r>
    </w:p>
    <w:p w:rsidR="008D5EE6" w:rsidRPr="0070324A" w:rsidRDefault="008D5EE6" w:rsidP="008E0A51">
      <w:pPr>
        <w:pStyle w:val="ListParagraph"/>
        <w:numPr>
          <w:ilvl w:val="0"/>
          <w:numId w:val="4"/>
        </w:numPr>
        <w:rPr>
          <w:rFonts w:ascii="Tahoma" w:hAnsi="Tahoma" w:cs="Tahoma"/>
          <w:color w:val="548DD4" w:themeColor="text2" w:themeTint="99"/>
          <w:sz w:val="22"/>
        </w:rPr>
      </w:pPr>
      <w:r w:rsidRPr="0070324A">
        <w:rPr>
          <w:rFonts w:ascii="Tahoma" w:hAnsi="Tahoma" w:cs="Tahoma"/>
          <w:color w:val="548DD4" w:themeColor="text2" w:themeTint="99"/>
          <w:sz w:val="22"/>
        </w:rPr>
        <w:t>Conowingo Dam &amp; Bay TMDL/Water Quality Implications – March 2014</w:t>
      </w:r>
    </w:p>
    <w:p w:rsidR="008D5EE6" w:rsidRPr="0070324A" w:rsidRDefault="008D5EE6" w:rsidP="008E0A51">
      <w:pPr>
        <w:pStyle w:val="ListParagraph"/>
        <w:numPr>
          <w:ilvl w:val="0"/>
          <w:numId w:val="4"/>
        </w:numPr>
        <w:rPr>
          <w:rFonts w:ascii="Tahoma" w:hAnsi="Tahoma" w:cs="Tahoma"/>
          <w:color w:val="548DD4" w:themeColor="text2" w:themeTint="99"/>
          <w:sz w:val="22"/>
        </w:rPr>
      </w:pPr>
      <w:r w:rsidRPr="0070324A">
        <w:rPr>
          <w:rFonts w:ascii="Tahoma" w:hAnsi="Tahoma" w:cs="Tahoma"/>
          <w:color w:val="548DD4" w:themeColor="text2" w:themeTint="99"/>
          <w:sz w:val="22"/>
        </w:rPr>
        <w:t>DC Water’s Green Infrastructure Initiative - TBD</w:t>
      </w:r>
    </w:p>
    <w:p w:rsidR="008D5EE6" w:rsidRPr="0070324A" w:rsidRDefault="008D5EE6" w:rsidP="008E0A51">
      <w:pPr>
        <w:pStyle w:val="ListParagraph"/>
        <w:numPr>
          <w:ilvl w:val="0"/>
          <w:numId w:val="4"/>
        </w:numPr>
        <w:rPr>
          <w:rFonts w:ascii="Tahoma" w:hAnsi="Tahoma" w:cs="Tahoma"/>
          <w:color w:val="548DD4" w:themeColor="text2" w:themeTint="99"/>
          <w:sz w:val="22"/>
        </w:rPr>
      </w:pPr>
      <w:r w:rsidRPr="0070324A">
        <w:rPr>
          <w:rFonts w:ascii="Tahoma" w:hAnsi="Tahoma" w:cs="Tahoma"/>
          <w:color w:val="548DD4" w:themeColor="text2" w:themeTint="99"/>
          <w:sz w:val="22"/>
        </w:rPr>
        <w:t>Chesapeake Bay Program Forum – May</w:t>
      </w:r>
    </w:p>
    <w:p w:rsidR="008D5EE6" w:rsidRPr="0070324A" w:rsidRDefault="008D5EE6" w:rsidP="008E0A51">
      <w:pPr>
        <w:pStyle w:val="ListParagraph"/>
        <w:numPr>
          <w:ilvl w:val="0"/>
          <w:numId w:val="4"/>
        </w:numPr>
        <w:rPr>
          <w:rFonts w:ascii="Tahoma" w:hAnsi="Tahoma" w:cs="Tahoma"/>
          <w:color w:val="548DD4" w:themeColor="text2" w:themeTint="99"/>
          <w:sz w:val="22"/>
        </w:rPr>
      </w:pPr>
      <w:r w:rsidRPr="0070324A">
        <w:rPr>
          <w:rFonts w:ascii="Tahoma" w:hAnsi="Tahoma" w:cs="Tahoma"/>
          <w:color w:val="548DD4" w:themeColor="text2" w:themeTint="99"/>
          <w:sz w:val="22"/>
        </w:rPr>
        <w:t>Outreach Efforts (all water infrastructure) – July</w:t>
      </w:r>
    </w:p>
    <w:p w:rsidR="008D5EE6" w:rsidRPr="0070324A" w:rsidRDefault="008D5EE6" w:rsidP="008E0A51">
      <w:pPr>
        <w:pStyle w:val="ListParagraph"/>
        <w:numPr>
          <w:ilvl w:val="0"/>
          <w:numId w:val="4"/>
        </w:numPr>
        <w:rPr>
          <w:rFonts w:ascii="Tahoma" w:hAnsi="Tahoma" w:cs="Tahoma"/>
          <w:color w:val="548DD4" w:themeColor="text2" w:themeTint="99"/>
          <w:sz w:val="22"/>
        </w:rPr>
      </w:pPr>
      <w:r w:rsidRPr="0070324A">
        <w:rPr>
          <w:rFonts w:ascii="Tahoma" w:hAnsi="Tahoma" w:cs="Tahoma"/>
          <w:color w:val="548DD4" w:themeColor="text2" w:themeTint="99"/>
          <w:sz w:val="22"/>
        </w:rPr>
        <w:t>Stormwater Program Updates (regulatory &amp; Prince George’s Co. P3 effort) – July (tentative)</w:t>
      </w:r>
    </w:p>
    <w:p w:rsidR="008D5EE6" w:rsidRPr="0070324A" w:rsidRDefault="008D5EE6" w:rsidP="008D5EE6">
      <w:pPr>
        <w:pStyle w:val="ListParagraph"/>
        <w:numPr>
          <w:ilvl w:val="0"/>
          <w:numId w:val="4"/>
        </w:numPr>
        <w:rPr>
          <w:rFonts w:ascii="Tahoma" w:hAnsi="Tahoma" w:cs="Tahoma"/>
          <w:color w:val="548DD4" w:themeColor="text2" w:themeTint="99"/>
          <w:sz w:val="22"/>
        </w:rPr>
      </w:pPr>
      <w:r w:rsidRPr="0070324A">
        <w:rPr>
          <w:rFonts w:ascii="Tahoma" w:hAnsi="Tahoma" w:cs="Tahoma"/>
          <w:color w:val="548DD4" w:themeColor="text2" w:themeTint="99"/>
          <w:sz w:val="22"/>
        </w:rPr>
        <w:t>Local Water Quality (streams &amp; links to Potomac/Bay) – TBD</w:t>
      </w:r>
    </w:p>
    <w:p w:rsidR="00487387" w:rsidRPr="0070324A" w:rsidRDefault="008D5EE6" w:rsidP="0070324A">
      <w:pPr>
        <w:pStyle w:val="ListParagraph"/>
        <w:numPr>
          <w:ilvl w:val="0"/>
          <w:numId w:val="4"/>
        </w:numPr>
        <w:rPr>
          <w:rFonts w:ascii="Tahoma" w:hAnsi="Tahoma" w:cs="Tahoma"/>
          <w:sz w:val="24"/>
        </w:rPr>
      </w:pPr>
      <w:r w:rsidRPr="0070324A">
        <w:rPr>
          <w:rFonts w:ascii="Tahoma" w:hAnsi="Tahoma" w:cs="Tahoma"/>
          <w:color w:val="548DD4" w:themeColor="text2" w:themeTint="99"/>
          <w:sz w:val="22"/>
        </w:rPr>
        <w:t xml:space="preserve">Potomac &amp; Bay Water Quality </w:t>
      </w:r>
      <w:r w:rsidR="0070324A" w:rsidRPr="0070324A">
        <w:rPr>
          <w:rFonts w:ascii="Tahoma" w:hAnsi="Tahoma" w:cs="Tahoma"/>
          <w:color w:val="548DD4" w:themeColor="text2" w:themeTint="99"/>
          <w:sz w:val="22"/>
        </w:rPr>
        <w:t xml:space="preserve">Trends &amp; Challenges </w:t>
      </w:r>
      <w:r w:rsidRPr="0070324A">
        <w:rPr>
          <w:rFonts w:ascii="Tahoma" w:hAnsi="Tahoma" w:cs="Tahoma"/>
          <w:color w:val="548DD4" w:themeColor="text2" w:themeTint="99"/>
          <w:sz w:val="22"/>
        </w:rPr>
        <w:t>(updates) – Fall 2014</w:t>
      </w:r>
    </w:p>
    <w:sectPr w:rsidR="00487387" w:rsidRPr="0070324A" w:rsidSect="003D4500">
      <w:headerReference w:type="default" r:id="rId8"/>
      <w:footerReference w:type="default" r:id="rId9"/>
      <w:pgSz w:w="12240" w:h="15840"/>
      <w:pgMar w:top="140" w:right="720" w:bottom="720" w:left="720" w:header="720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A51" w:rsidRDefault="008E0A51" w:rsidP="008E0A51">
      <w:r>
        <w:separator/>
      </w:r>
    </w:p>
  </w:endnote>
  <w:endnote w:type="continuationSeparator" w:id="0">
    <w:p w:rsidR="008E0A51" w:rsidRDefault="008E0A51" w:rsidP="008E0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2980" w:rsidRPr="00752980" w:rsidRDefault="00752980" w:rsidP="00752980">
    <w:pPr>
      <w:pStyle w:val="Footer"/>
      <w:jc w:val="right"/>
      <w:rPr>
        <w:rFonts w:ascii="Tahoma" w:hAnsi="Tahoma" w:cs="Tahoma"/>
        <w:sz w:val="16"/>
      </w:rPr>
    </w:pPr>
    <w:r w:rsidRPr="00752980">
      <w:rPr>
        <w:rFonts w:ascii="Tahoma" w:hAnsi="Tahoma" w:cs="Tahoma"/>
        <w:sz w:val="16"/>
      </w:rPr>
      <w:fldChar w:fldCharType="begin"/>
    </w:r>
    <w:r w:rsidRPr="00752980">
      <w:rPr>
        <w:rFonts w:ascii="Tahoma" w:hAnsi="Tahoma" w:cs="Tahoma"/>
        <w:sz w:val="16"/>
      </w:rPr>
      <w:instrText xml:space="preserve"> FILENAME  \p  \* MERGEFORMAT </w:instrText>
    </w:r>
    <w:r w:rsidRPr="00752980">
      <w:rPr>
        <w:rFonts w:ascii="Tahoma" w:hAnsi="Tahoma" w:cs="Tahoma"/>
        <w:sz w:val="16"/>
      </w:rPr>
      <w:fldChar w:fldCharType="separate"/>
    </w:r>
    <w:r w:rsidR="00982D50">
      <w:rPr>
        <w:rFonts w:ascii="Tahoma" w:hAnsi="Tahoma" w:cs="Tahoma"/>
        <w:noProof/>
        <w:sz w:val="16"/>
      </w:rPr>
      <w:t>I:\CHESBAY\2014 CBPC\Jan 2014 CBPC\CBPC Priorities - 2014_DRAFT_011714.docx</w:t>
    </w:r>
    <w:r w:rsidRPr="00752980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A51" w:rsidRDefault="008E0A51" w:rsidP="008E0A51">
      <w:r>
        <w:separator/>
      </w:r>
    </w:p>
  </w:footnote>
  <w:footnote w:type="continuationSeparator" w:id="0">
    <w:p w:rsidR="008E0A51" w:rsidRDefault="008E0A51" w:rsidP="008E0A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A51" w:rsidRPr="008E0A51" w:rsidRDefault="008E0A51" w:rsidP="008E0A51">
    <w:pPr>
      <w:pStyle w:val="Header"/>
      <w:jc w:val="center"/>
      <w:rPr>
        <w:rFonts w:ascii="Tahoma" w:hAnsi="Tahoma" w:cs="Tahoma"/>
        <w:b/>
        <w:sz w:val="28"/>
      </w:rPr>
    </w:pPr>
    <w:r w:rsidRPr="008E0A51">
      <w:rPr>
        <w:rFonts w:ascii="Tahoma" w:hAnsi="Tahoma" w:cs="Tahoma"/>
        <w:b/>
        <w:sz w:val="28"/>
      </w:rPr>
      <w:t>COG’s Regional Water Quality Management &amp; CBPC Priorities</w:t>
    </w:r>
  </w:p>
  <w:p w:rsidR="008E0A51" w:rsidRDefault="008E0A51" w:rsidP="008E0A51">
    <w:pPr>
      <w:pStyle w:val="Header"/>
      <w:jc w:val="center"/>
      <w:rPr>
        <w:rFonts w:ascii="Tahoma" w:hAnsi="Tahoma" w:cs="Tahoma"/>
        <w:sz w:val="24"/>
      </w:rPr>
    </w:pPr>
    <w:r w:rsidRPr="008E0A51">
      <w:rPr>
        <w:rFonts w:ascii="Tahoma" w:hAnsi="Tahoma" w:cs="Tahoma"/>
        <w:b/>
        <w:sz w:val="28"/>
      </w:rPr>
      <w:t>Updates &amp; Suggested Focus for 2014</w:t>
    </w:r>
    <w:r w:rsidRPr="008E0A51">
      <w:rPr>
        <w:rFonts w:ascii="Tahoma" w:hAnsi="Tahoma" w:cs="Tahoma"/>
        <w:sz w:val="28"/>
      </w:rPr>
      <w:t xml:space="preserve"> </w:t>
    </w:r>
    <w:r w:rsidRPr="008E0A51">
      <w:rPr>
        <w:rFonts w:ascii="Tahoma" w:hAnsi="Tahoma" w:cs="Tahoma"/>
        <w:i/>
        <w:sz w:val="24"/>
      </w:rPr>
      <w:t>(CBPC draft, 1/17/14)</w:t>
    </w:r>
  </w:p>
  <w:p w:rsidR="008E0A51" w:rsidRPr="003D4500" w:rsidRDefault="008E0A51" w:rsidP="008E0A51">
    <w:pPr>
      <w:pStyle w:val="Header"/>
      <w:jc w:val="center"/>
      <w:rPr>
        <w:rFonts w:ascii="Tahoma" w:hAnsi="Tahoma" w:cs="Tahoma"/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6C2A"/>
    <w:multiLevelType w:val="hybridMultilevel"/>
    <w:tmpl w:val="B1522A3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92253A"/>
    <w:multiLevelType w:val="hybridMultilevel"/>
    <w:tmpl w:val="B82025A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732738"/>
    <w:multiLevelType w:val="hybridMultilevel"/>
    <w:tmpl w:val="43B49AD4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DA4E93"/>
    <w:multiLevelType w:val="hybridMultilevel"/>
    <w:tmpl w:val="496283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A51"/>
    <w:rsid w:val="0000607F"/>
    <w:rsid w:val="000D5884"/>
    <w:rsid w:val="00145D0F"/>
    <w:rsid w:val="003D4500"/>
    <w:rsid w:val="00487387"/>
    <w:rsid w:val="0070324A"/>
    <w:rsid w:val="00752980"/>
    <w:rsid w:val="008D5EE6"/>
    <w:rsid w:val="008E0A51"/>
    <w:rsid w:val="00933D75"/>
    <w:rsid w:val="00982D50"/>
    <w:rsid w:val="00C94424"/>
    <w:rsid w:val="00D074E9"/>
    <w:rsid w:val="00FC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5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5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A51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0A51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0A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0A51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E0A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0A51"/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tspano</dc:creator>
  <cp:lastModifiedBy>tspano</cp:lastModifiedBy>
  <cp:revision>2</cp:revision>
  <cp:lastPrinted>2014-01-17T15:41:00Z</cp:lastPrinted>
  <dcterms:created xsi:type="dcterms:W3CDTF">2014-01-17T15:42:00Z</dcterms:created>
  <dcterms:modified xsi:type="dcterms:W3CDTF">2014-01-17T15:42:00Z</dcterms:modified>
</cp:coreProperties>
</file>