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0E0" w:rsidRDefault="000A00E0" w:rsidP="000A00E0">
      <w:pPr>
        <w:pStyle w:val="ListParagraph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Attachment F</w:t>
      </w:r>
      <w:r w:rsidR="00CD00AB" w:rsidRPr="000A00E0">
        <w:rPr>
          <w:b/>
          <w:sz w:val="32"/>
          <w:szCs w:val="32"/>
        </w:rPr>
        <w:t>:</w:t>
      </w:r>
    </w:p>
    <w:p w:rsidR="00CA7F40" w:rsidRDefault="00B92772" w:rsidP="000A00E0">
      <w:pPr>
        <w:pStyle w:val="ListParagraph"/>
        <w:ind w:left="0"/>
        <w:jc w:val="center"/>
        <w:rPr>
          <w:b/>
          <w:sz w:val="40"/>
          <w:szCs w:val="40"/>
        </w:rPr>
      </w:pPr>
      <w:r w:rsidRPr="000A00E0">
        <w:rPr>
          <w:b/>
          <w:sz w:val="32"/>
          <w:szCs w:val="32"/>
        </w:rPr>
        <w:t xml:space="preserve">Proposed </w:t>
      </w:r>
      <w:proofErr w:type="spellStart"/>
      <w:r w:rsidR="000A00E0">
        <w:rPr>
          <w:b/>
          <w:sz w:val="32"/>
          <w:szCs w:val="32"/>
        </w:rPr>
        <w:t>MetroAccess</w:t>
      </w:r>
      <w:proofErr w:type="spellEnd"/>
      <w:r w:rsidR="000A00E0">
        <w:rPr>
          <w:b/>
          <w:sz w:val="32"/>
          <w:szCs w:val="32"/>
        </w:rPr>
        <w:t xml:space="preserve"> C</w:t>
      </w:r>
      <w:r w:rsidR="00CA7F40" w:rsidRPr="000A00E0">
        <w:rPr>
          <w:b/>
          <w:sz w:val="32"/>
          <w:szCs w:val="32"/>
        </w:rPr>
        <w:t>hanges</w:t>
      </w:r>
    </w:p>
    <w:p w:rsidR="00CD00AB" w:rsidRPr="00CD00AB" w:rsidRDefault="00CD00AB" w:rsidP="00CD00AB">
      <w:pPr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00AB">
        <w:rPr>
          <w:b/>
          <w:sz w:val="24"/>
          <w:szCs w:val="24"/>
        </w:rPr>
        <w:t xml:space="preserve">Align </w:t>
      </w:r>
      <w:proofErr w:type="spellStart"/>
      <w:r w:rsidRPr="00CD00AB">
        <w:rPr>
          <w:b/>
          <w:sz w:val="24"/>
          <w:szCs w:val="24"/>
        </w:rPr>
        <w:t>MetroAccess</w:t>
      </w:r>
      <w:proofErr w:type="spellEnd"/>
      <w:r w:rsidRPr="00CD00AB">
        <w:rPr>
          <w:b/>
          <w:sz w:val="24"/>
          <w:szCs w:val="24"/>
        </w:rPr>
        <w:t xml:space="preserve"> service area with the ADA definition in terms of service hours and locations, and/or charge a premium for service provided to locations beyond the ¾-mile corridor around fixed-route services.  The premium for the zones would be: 1 ($5 extra), 2 ($10 extra), 3</w:t>
      </w:r>
      <w:r>
        <w:rPr>
          <w:b/>
          <w:sz w:val="24"/>
          <w:szCs w:val="24"/>
        </w:rPr>
        <w:t xml:space="preserve"> ($15 extra), and 4 ($20 extra).</w:t>
      </w:r>
    </w:p>
    <w:p w:rsidR="00CD00AB" w:rsidRPr="00CD00AB" w:rsidRDefault="00CD00AB" w:rsidP="00CD00AB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CD00AB">
        <w:rPr>
          <w:b/>
          <w:sz w:val="24"/>
          <w:szCs w:val="24"/>
        </w:rPr>
        <w:t>Option 1.</w:t>
      </w:r>
      <w:proofErr w:type="gramEnd"/>
      <w:r w:rsidRPr="00CD00AB">
        <w:rPr>
          <w:sz w:val="24"/>
          <w:szCs w:val="24"/>
        </w:rPr>
        <w:t xml:space="preserve"> Align </w:t>
      </w:r>
      <w:proofErr w:type="spellStart"/>
      <w:r w:rsidRPr="00CD00AB">
        <w:rPr>
          <w:sz w:val="24"/>
          <w:szCs w:val="24"/>
        </w:rPr>
        <w:t>MetroAccess</w:t>
      </w:r>
      <w:proofErr w:type="spellEnd"/>
      <w:r w:rsidRPr="00CD00AB">
        <w:rPr>
          <w:sz w:val="24"/>
          <w:szCs w:val="24"/>
        </w:rPr>
        <w:t xml:space="preserve"> service area with ADA definition to expand and contract based on the availability of fixed-route service by day, time, and location. This means that no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service would be offered for trips that either start or end beyond ¾ mile of existing fixed-route services (otherwise known as the ADA corridor) that would otherwise be operating at the day/time/location of the desired trip. </w:t>
      </w:r>
    </w:p>
    <w:p w:rsidR="00CD00AB" w:rsidRPr="00CD00AB" w:rsidRDefault="00CD00AB" w:rsidP="00DA656E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  <w:proofErr w:type="gramStart"/>
      <w:r w:rsidRPr="00CD00AB">
        <w:rPr>
          <w:b/>
          <w:sz w:val="24"/>
          <w:szCs w:val="24"/>
        </w:rPr>
        <w:t>Option 2</w:t>
      </w:r>
      <w:r w:rsidRPr="00CD00AB">
        <w:rPr>
          <w:sz w:val="24"/>
          <w:szCs w:val="24"/>
        </w:rPr>
        <w:t>.</w:t>
      </w:r>
      <w:proofErr w:type="gramEnd"/>
      <w:r w:rsidRPr="00CD00AB">
        <w:rPr>
          <w:sz w:val="24"/>
          <w:szCs w:val="24"/>
        </w:rPr>
        <w:t xml:space="preserve"> Align </w:t>
      </w:r>
      <w:proofErr w:type="spellStart"/>
      <w:r w:rsidRPr="00CD00AB">
        <w:rPr>
          <w:sz w:val="24"/>
          <w:szCs w:val="24"/>
        </w:rPr>
        <w:t>MetroAccess</w:t>
      </w:r>
      <w:proofErr w:type="spellEnd"/>
      <w:r w:rsidRPr="00CD00AB">
        <w:rPr>
          <w:sz w:val="24"/>
          <w:szCs w:val="24"/>
        </w:rPr>
        <w:t xml:space="preserve"> service area with ADA definition as in Option 1, except that service would be provided beyond the ADA corridor but at a premium fare added to the base fare depending on the existing zone structure that are discussed in </w:t>
      </w:r>
      <w:r w:rsidRPr="00CD00AB">
        <w:rPr>
          <w:b/>
          <w:sz w:val="24"/>
          <w:szCs w:val="24"/>
        </w:rPr>
        <w:t>Attachment A</w:t>
      </w:r>
      <w:r w:rsidR="00322A2D">
        <w:rPr>
          <w:b/>
          <w:sz w:val="24"/>
          <w:szCs w:val="24"/>
        </w:rPr>
        <w:t>:</w:t>
      </w:r>
      <w:r w:rsidRPr="00CD00AB">
        <w:rPr>
          <w:b/>
          <w:sz w:val="24"/>
          <w:szCs w:val="24"/>
        </w:rPr>
        <w:t xml:space="preserve"> Fare Increases</w:t>
      </w:r>
      <w:r w:rsidRPr="00CD00AB">
        <w:rPr>
          <w:sz w:val="24"/>
          <w:szCs w:val="24"/>
        </w:rPr>
        <w:t>:</w:t>
      </w:r>
    </w:p>
    <w:p w:rsidR="00CD00AB" w:rsidRPr="00CD00AB" w:rsidRDefault="00CD00AB" w:rsidP="00DA656E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firstLine="720"/>
        <w:rPr>
          <w:sz w:val="24"/>
          <w:szCs w:val="24"/>
        </w:rPr>
      </w:pPr>
      <w:r w:rsidRPr="00CD00AB">
        <w:rPr>
          <w:sz w:val="24"/>
          <w:szCs w:val="24"/>
        </w:rPr>
        <w:t xml:space="preserve">Zone 1, up to 3 miles beyond the corridor would carry a $5 premium fare; </w:t>
      </w:r>
    </w:p>
    <w:p w:rsidR="00CD00AB" w:rsidRPr="00CD00AB" w:rsidRDefault="00CD00AB" w:rsidP="00DA656E">
      <w:pPr>
        <w:spacing w:after="0" w:line="240" w:lineRule="auto"/>
        <w:ind w:firstLine="720"/>
        <w:rPr>
          <w:sz w:val="24"/>
          <w:szCs w:val="24"/>
        </w:rPr>
      </w:pPr>
      <w:r w:rsidRPr="00CD00AB">
        <w:rPr>
          <w:sz w:val="24"/>
          <w:szCs w:val="24"/>
        </w:rPr>
        <w:t xml:space="preserve">Zone 2, between 3 and 6 miles beyond the corridor would carry a $10 premium fare; </w:t>
      </w: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  <w:r w:rsidRPr="00CD00AB">
        <w:rPr>
          <w:sz w:val="24"/>
          <w:szCs w:val="24"/>
        </w:rPr>
        <w:t xml:space="preserve">Zone 3, between 6 and 9 miles beyond the corridor </w:t>
      </w:r>
      <w:r w:rsidR="00DA656E">
        <w:rPr>
          <w:sz w:val="24"/>
          <w:szCs w:val="24"/>
        </w:rPr>
        <w:t xml:space="preserve">would carry a $15 premium fare; </w:t>
      </w:r>
      <w:r w:rsidRPr="00CD00AB">
        <w:rPr>
          <w:sz w:val="24"/>
          <w:szCs w:val="24"/>
        </w:rPr>
        <w:t xml:space="preserve">and </w:t>
      </w:r>
    </w:p>
    <w:p w:rsidR="00CD00AB" w:rsidRPr="00CD00AB" w:rsidRDefault="00CD00AB" w:rsidP="00DA656E">
      <w:pPr>
        <w:spacing w:after="0" w:line="240" w:lineRule="auto"/>
        <w:ind w:firstLine="720"/>
        <w:rPr>
          <w:sz w:val="24"/>
          <w:szCs w:val="24"/>
        </w:rPr>
      </w:pPr>
      <w:r w:rsidRPr="00CD00AB">
        <w:rPr>
          <w:sz w:val="24"/>
          <w:szCs w:val="24"/>
        </w:rPr>
        <w:t>Zone 4, more than 9 miles beyond the corridor would carry a $20 premium fare.</w:t>
      </w:r>
    </w:p>
    <w:p w:rsidR="00CD00AB" w:rsidRPr="00CD00AB" w:rsidRDefault="00CD00AB" w:rsidP="00DA656E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left="360"/>
        <w:rPr>
          <w:sz w:val="24"/>
          <w:szCs w:val="24"/>
        </w:rPr>
      </w:pPr>
      <w:r w:rsidRPr="00CD00AB">
        <w:rPr>
          <w:sz w:val="24"/>
          <w:szCs w:val="24"/>
        </w:rPr>
        <w:t xml:space="preserve">The boundaries of the </w:t>
      </w:r>
      <w:proofErr w:type="spellStart"/>
      <w:r w:rsidRPr="00CD00AB">
        <w:rPr>
          <w:sz w:val="24"/>
          <w:szCs w:val="24"/>
        </w:rPr>
        <w:t>MetroAccess</w:t>
      </w:r>
      <w:proofErr w:type="spellEnd"/>
      <w:r w:rsidRPr="00CD00AB">
        <w:rPr>
          <w:sz w:val="24"/>
          <w:szCs w:val="24"/>
        </w:rPr>
        <w:t xml:space="preserve"> service area are presently coincident with the County lines of the member jurisdictions. Under the proposed changes, Option 1 would reduce the service area to that legally required under the ADA; whereas Option 2 would maintain the existing geographic boundaries but would impose an increase in premium fares for those trips that extend beyond the legally required service area.</w:t>
      </w:r>
    </w:p>
    <w:p w:rsidR="00CD00AB" w:rsidRPr="00CD00AB" w:rsidRDefault="00CD00AB" w:rsidP="00CD00AB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CD00AB">
      <w:pPr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00AB">
        <w:rPr>
          <w:b/>
          <w:sz w:val="24"/>
          <w:szCs w:val="24"/>
        </w:rPr>
        <w:t xml:space="preserve">Align </w:t>
      </w:r>
      <w:proofErr w:type="spellStart"/>
      <w:r w:rsidRPr="00CD00AB">
        <w:rPr>
          <w:b/>
          <w:sz w:val="24"/>
          <w:szCs w:val="24"/>
        </w:rPr>
        <w:t>MetroAccess</w:t>
      </w:r>
      <w:proofErr w:type="spellEnd"/>
      <w:r w:rsidRPr="00CD00AB">
        <w:rPr>
          <w:b/>
          <w:sz w:val="24"/>
          <w:szCs w:val="24"/>
        </w:rPr>
        <w:t xml:space="preserve"> fare structure to the maximum allowed under the ADA definition (twice the equivalent fixed-route fare)</w:t>
      </w:r>
      <w:r>
        <w:rPr>
          <w:b/>
          <w:sz w:val="24"/>
          <w:szCs w:val="24"/>
        </w:rPr>
        <w:t>.</w:t>
      </w:r>
    </w:p>
    <w:p w:rsidR="00CD00AB" w:rsidRPr="00CD00AB" w:rsidRDefault="00CD00AB" w:rsidP="00CD00AB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  <w:r w:rsidRPr="00CD00AB">
        <w:rPr>
          <w:sz w:val="24"/>
          <w:szCs w:val="24"/>
        </w:rPr>
        <w:t xml:space="preserve">The travel path between origin and destination for each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trip will be measured against Metro’s Trip Planner to identify what fixed-route services would be available and required to provide a comparable trip. </w:t>
      </w:r>
      <w:r w:rsidRPr="00CD00AB">
        <w:rPr>
          <w:b/>
          <w:i/>
          <w:sz w:val="24"/>
          <w:szCs w:val="24"/>
        </w:rPr>
        <w:t>Comparable trip</w:t>
      </w:r>
      <w:r w:rsidRPr="00CD00AB">
        <w:rPr>
          <w:sz w:val="24"/>
          <w:szCs w:val="24"/>
        </w:rPr>
        <w:t xml:space="preserve"> shall be defined as any combination of available bus and/or rail services that would facilitate travel between the requested origin and destination for the shortest possible duration. The fare for the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trip will then be calculated as </w:t>
      </w:r>
      <w:r w:rsidRPr="00CD00AB">
        <w:rPr>
          <w:b/>
          <w:sz w:val="24"/>
          <w:szCs w:val="24"/>
        </w:rPr>
        <w:t>twice</w:t>
      </w:r>
      <w:r w:rsidRPr="00CD00AB">
        <w:rPr>
          <w:sz w:val="24"/>
          <w:szCs w:val="24"/>
        </w:rPr>
        <w:t xml:space="preserve"> the fare of the comparable trip. </w:t>
      </w: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</w:p>
    <w:p w:rsidR="00CD00AB" w:rsidRPr="00CD00AB" w:rsidRDefault="00CD00AB" w:rsidP="00DA656E">
      <w:pPr>
        <w:spacing w:after="0" w:line="240" w:lineRule="auto"/>
        <w:ind w:left="720"/>
        <w:rPr>
          <w:sz w:val="24"/>
          <w:szCs w:val="24"/>
        </w:rPr>
      </w:pPr>
      <w:r w:rsidRPr="00CD00AB">
        <w:rPr>
          <w:sz w:val="24"/>
          <w:szCs w:val="24"/>
        </w:rPr>
        <w:t xml:space="preserve">These proposed fare changes are discussed in </w:t>
      </w:r>
      <w:r w:rsidRPr="00CD00AB">
        <w:rPr>
          <w:b/>
          <w:sz w:val="24"/>
          <w:szCs w:val="24"/>
        </w:rPr>
        <w:t>Attachment A</w:t>
      </w:r>
      <w:r w:rsidR="00322A2D">
        <w:rPr>
          <w:b/>
          <w:sz w:val="24"/>
          <w:szCs w:val="24"/>
        </w:rPr>
        <w:t>:</w:t>
      </w:r>
      <w:r w:rsidRPr="00CD00AB">
        <w:rPr>
          <w:b/>
          <w:sz w:val="24"/>
          <w:szCs w:val="24"/>
        </w:rPr>
        <w:t xml:space="preserve"> Fare Increases.</w:t>
      </w:r>
    </w:p>
    <w:p w:rsidR="00CD00AB" w:rsidRPr="00CD00AB" w:rsidRDefault="00071FFE" w:rsidP="00CD00A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D00AB" w:rsidRPr="00CD00AB" w:rsidRDefault="00CD00AB" w:rsidP="00CD00AB">
      <w:pPr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 w:rsidRPr="00CD00AB">
        <w:rPr>
          <w:b/>
          <w:sz w:val="24"/>
          <w:szCs w:val="24"/>
        </w:rPr>
        <w:t>Align Free Ride Program with conditional eligibility.</w:t>
      </w:r>
    </w:p>
    <w:p w:rsidR="00CD00AB" w:rsidRPr="00CD00AB" w:rsidRDefault="00CD00AB" w:rsidP="00CD00AB">
      <w:pPr>
        <w:spacing w:after="0" w:line="240" w:lineRule="auto"/>
        <w:rPr>
          <w:sz w:val="24"/>
          <w:szCs w:val="24"/>
        </w:rPr>
      </w:pPr>
    </w:p>
    <w:p w:rsidR="00CD00AB" w:rsidRPr="00CD00AB" w:rsidRDefault="00CD00AB" w:rsidP="0090300D">
      <w:pPr>
        <w:spacing w:after="0" w:line="240" w:lineRule="auto"/>
        <w:ind w:left="720"/>
        <w:rPr>
          <w:sz w:val="24"/>
          <w:szCs w:val="24"/>
        </w:rPr>
      </w:pPr>
      <w:r w:rsidRPr="00CD00AB">
        <w:rPr>
          <w:sz w:val="24"/>
          <w:szCs w:val="24"/>
        </w:rPr>
        <w:t xml:space="preserve">Currently, all duly registered </w:t>
      </w:r>
      <w:proofErr w:type="spellStart"/>
      <w:r w:rsidRPr="00CD00AB">
        <w:rPr>
          <w:sz w:val="24"/>
          <w:szCs w:val="24"/>
        </w:rPr>
        <w:t>MetroAccess</w:t>
      </w:r>
      <w:proofErr w:type="spellEnd"/>
      <w:r w:rsidRPr="00CD00AB">
        <w:rPr>
          <w:sz w:val="24"/>
          <w:szCs w:val="24"/>
        </w:rPr>
        <w:t xml:space="preserve"> customers are permitted to ride free without limitation on </w:t>
      </w:r>
      <w:proofErr w:type="spellStart"/>
      <w:r w:rsidRPr="00CD00AB">
        <w:rPr>
          <w:sz w:val="24"/>
          <w:szCs w:val="24"/>
        </w:rPr>
        <w:t>Metrobus</w:t>
      </w:r>
      <w:proofErr w:type="spellEnd"/>
      <w:r w:rsidRPr="00CD00AB">
        <w:rPr>
          <w:sz w:val="24"/>
          <w:szCs w:val="24"/>
        </w:rPr>
        <w:t xml:space="preserve"> and Metrorai</w:t>
      </w:r>
      <w:r w:rsidR="0090300D">
        <w:rPr>
          <w:sz w:val="24"/>
          <w:szCs w:val="24"/>
        </w:rPr>
        <w:t xml:space="preserve">l.  </w:t>
      </w:r>
      <w:r w:rsidRPr="00CD00AB">
        <w:rPr>
          <w:sz w:val="24"/>
          <w:szCs w:val="24"/>
        </w:rPr>
        <w:t xml:space="preserve">The proposed change would limit this privilege to those customers who are found to be conditionally eligible for </w:t>
      </w:r>
      <w:proofErr w:type="spellStart"/>
      <w:r w:rsidRPr="00CD00AB">
        <w:rPr>
          <w:sz w:val="24"/>
          <w:szCs w:val="24"/>
        </w:rPr>
        <w:t>MetroAccess</w:t>
      </w:r>
      <w:proofErr w:type="spellEnd"/>
      <w:r w:rsidRPr="00CD00AB">
        <w:rPr>
          <w:sz w:val="24"/>
          <w:szCs w:val="24"/>
        </w:rPr>
        <w:t xml:space="preserve">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service.</w:t>
      </w:r>
      <w:r w:rsidR="0090300D">
        <w:rPr>
          <w:sz w:val="24"/>
          <w:szCs w:val="24"/>
        </w:rPr>
        <w:t xml:space="preserve">  </w:t>
      </w:r>
      <w:r w:rsidR="0090300D" w:rsidRPr="0090300D">
        <w:rPr>
          <w:sz w:val="24"/>
          <w:szCs w:val="24"/>
        </w:rPr>
        <w:t>The impact of this change would become effective as each individual customer participates in the assessment process, either as a new applicant or an existing customer applying for recertification.</w:t>
      </w:r>
      <w:r w:rsidR="0090300D">
        <w:rPr>
          <w:sz w:val="24"/>
          <w:szCs w:val="24"/>
        </w:rPr>
        <w:t xml:space="preserve">  </w:t>
      </w:r>
      <w:r w:rsidRPr="00CD00AB">
        <w:rPr>
          <w:sz w:val="24"/>
          <w:szCs w:val="24"/>
        </w:rPr>
        <w:t xml:space="preserve">Conditional eligibility shall be defined as eligibility for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service for certain trips in which prevailing conditions would make use of fixed-route service impossible for the customer in question. The basis for providing full </w:t>
      </w:r>
      <w:proofErr w:type="spellStart"/>
      <w:r w:rsidRPr="00CD00AB">
        <w:rPr>
          <w:sz w:val="24"/>
          <w:szCs w:val="24"/>
        </w:rPr>
        <w:t>paratransit</w:t>
      </w:r>
      <w:proofErr w:type="spellEnd"/>
      <w:r w:rsidRPr="00CD00AB">
        <w:rPr>
          <w:sz w:val="24"/>
          <w:szCs w:val="24"/>
        </w:rPr>
        <w:t xml:space="preserve"> eligibility is that the customer is not able to use fixed-route services due to their disability and would therefore have no need for the Free Ride Program. </w:t>
      </w:r>
    </w:p>
    <w:p w:rsidR="00CD00AB" w:rsidRDefault="00CD00AB" w:rsidP="00CD00AB">
      <w:pPr>
        <w:spacing w:after="0" w:line="240" w:lineRule="auto"/>
        <w:rPr>
          <w:sz w:val="28"/>
          <w:szCs w:val="28"/>
        </w:rPr>
      </w:pPr>
    </w:p>
    <w:p w:rsidR="00CD00AB" w:rsidRPr="00CD00AB" w:rsidRDefault="00CD00AB" w:rsidP="00CD00AB">
      <w:pPr>
        <w:rPr>
          <w:sz w:val="28"/>
          <w:szCs w:val="28"/>
        </w:rPr>
      </w:pPr>
    </w:p>
    <w:p w:rsidR="00CD00AB" w:rsidRPr="00CD00AB" w:rsidRDefault="00CD00AB" w:rsidP="00CD00AB">
      <w:pPr>
        <w:rPr>
          <w:sz w:val="28"/>
          <w:szCs w:val="28"/>
        </w:rPr>
      </w:pPr>
    </w:p>
    <w:p w:rsidR="00CD00AB" w:rsidRPr="00CD00AB" w:rsidRDefault="00CD00AB" w:rsidP="00CD00AB">
      <w:pPr>
        <w:rPr>
          <w:sz w:val="28"/>
          <w:szCs w:val="28"/>
        </w:rPr>
      </w:pPr>
    </w:p>
    <w:p w:rsidR="00CD00AB" w:rsidRPr="00CD00AB" w:rsidRDefault="00CD00AB" w:rsidP="00CD00AB">
      <w:pPr>
        <w:rPr>
          <w:sz w:val="28"/>
          <w:szCs w:val="28"/>
        </w:rPr>
      </w:pPr>
    </w:p>
    <w:p w:rsidR="00CD00AB" w:rsidRPr="00CD00AB" w:rsidRDefault="00CD00AB" w:rsidP="00CD00AB">
      <w:pPr>
        <w:rPr>
          <w:sz w:val="28"/>
          <w:szCs w:val="28"/>
        </w:rPr>
      </w:pPr>
    </w:p>
    <w:p w:rsidR="00CD00AB" w:rsidRDefault="00CD00AB" w:rsidP="00CD00AB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D00AB" w:rsidSect="000A00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809" w:rsidRDefault="00254809" w:rsidP="004E0679">
      <w:pPr>
        <w:spacing w:after="0" w:line="240" w:lineRule="auto"/>
      </w:pPr>
      <w:r>
        <w:separator/>
      </w:r>
    </w:p>
  </w:endnote>
  <w:endnote w:type="continuationSeparator" w:id="1">
    <w:p w:rsidR="00254809" w:rsidRDefault="00254809" w:rsidP="004E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Footer"/>
      <w:pBdr>
        <w:bottom w:val="single" w:sz="6" w:space="1" w:color="auto"/>
      </w:pBdr>
    </w:pPr>
  </w:p>
  <w:p w:rsidR="00254809" w:rsidRDefault="00254809" w:rsidP="004E0679">
    <w:pPr>
      <w:pStyle w:val="Footer"/>
      <w:jc w:val="right"/>
    </w:pPr>
    <w:r>
      <w:t xml:space="preserve">Page </w:t>
    </w:r>
    <w:fldSimple w:instr=" PAGE   \* MERGEFORMAT ">
      <w:r w:rsidR="00AD5C66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809" w:rsidRDefault="00254809" w:rsidP="004E0679">
      <w:pPr>
        <w:spacing w:after="0" w:line="240" w:lineRule="auto"/>
      </w:pPr>
      <w:r>
        <w:separator/>
      </w:r>
    </w:p>
  </w:footnote>
  <w:footnote w:type="continuationSeparator" w:id="1">
    <w:p w:rsidR="00254809" w:rsidRDefault="00254809" w:rsidP="004E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809" w:rsidRDefault="0025480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C0102"/>
    <w:multiLevelType w:val="hybridMultilevel"/>
    <w:tmpl w:val="CD6653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652C4B"/>
    <w:multiLevelType w:val="hybridMultilevel"/>
    <w:tmpl w:val="F148140C"/>
    <w:lvl w:ilvl="0" w:tplc="CCF0A7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0CB3CD3"/>
    <w:multiLevelType w:val="hybridMultilevel"/>
    <w:tmpl w:val="60AC40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55A5D"/>
    <w:multiLevelType w:val="hybridMultilevel"/>
    <w:tmpl w:val="BB94B572"/>
    <w:lvl w:ilvl="0" w:tplc="29E0D09A">
      <w:start w:val="1"/>
      <w:numFmt w:val="bullet"/>
      <w:lvlText w:val="•"/>
      <w:lvlJc w:val="left"/>
      <w:pPr>
        <w:ind w:left="720" w:hanging="360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7F3C96"/>
    <w:multiLevelType w:val="hybridMultilevel"/>
    <w:tmpl w:val="FC5C05C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23482D"/>
    <w:multiLevelType w:val="hybridMultilevel"/>
    <w:tmpl w:val="550881B6"/>
    <w:lvl w:ilvl="0" w:tplc="8D64A2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3440A"/>
    <w:multiLevelType w:val="hybridMultilevel"/>
    <w:tmpl w:val="DF321698"/>
    <w:lvl w:ilvl="0" w:tplc="29E0D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5456C2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A0182C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B83B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806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EEC0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46E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16260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F8402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870CCC"/>
    <w:multiLevelType w:val="hybridMultilevel"/>
    <w:tmpl w:val="081C942A"/>
    <w:lvl w:ilvl="0" w:tplc="050E28F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D290AB2"/>
    <w:multiLevelType w:val="hybridMultilevel"/>
    <w:tmpl w:val="CE68E61A"/>
    <w:lvl w:ilvl="0" w:tplc="C1903572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48E464C"/>
    <w:multiLevelType w:val="hybridMultilevel"/>
    <w:tmpl w:val="18D28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9"/>
  </w:num>
  <w:num w:numId="8">
    <w:abstractNumId w:val="7"/>
  </w:num>
  <w:num w:numId="9">
    <w:abstractNumId w:val="2"/>
  </w:num>
  <w:num w:numId="1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7F1"/>
    <w:rsid w:val="00004E03"/>
    <w:rsid w:val="00036ABF"/>
    <w:rsid w:val="000425AD"/>
    <w:rsid w:val="00071FFE"/>
    <w:rsid w:val="00083652"/>
    <w:rsid w:val="000A00E0"/>
    <w:rsid w:val="000A5EF7"/>
    <w:rsid w:val="000B259E"/>
    <w:rsid w:val="00156D8D"/>
    <w:rsid w:val="001704FA"/>
    <w:rsid w:val="001A63AF"/>
    <w:rsid w:val="001F4815"/>
    <w:rsid w:val="00220251"/>
    <w:rsid w:val="002242FD"/>
    <w:rsid w:val="00254809"/>
    <w:rsid w:val="002D46AE"/>
    <w:rsid w:val="00312281"/>
    <w:rsid w:val="00322A2D"/>
    <w:rsid w:val="00343195"/>
    <w:rsid w:val="0034520D"/>
    <w:rsid w:val="003469C3"/>
    <w:rsid w:val="0037698B"/>
    <w:rsid w:val="00382CCC"/>
    <w:rsid w:val="003B6425"/>
    <w:rsid w:val="003B6DB5"/>
    <w:rsid w:val="003F7759"/>
    <w:rsid w:val="00445A9E"/>
    <w:rsid w:val="004518B0"/>
    <w:rsid w:val="00483D1C"/>
    <w:rsid w:val="004C63D3"/>
    <w:rsid w:val="004E0679"/>
    <w:rsid w:val="0050333E"/>
    <w:rsid w:val="00561102"/>
    <w:rsid w:val="00562751"/>
    <w:rsid w:val="00595992"/>
    <w:rsid w:val="005C2FBD"/>
    <w:rsid w:val="005D0AAD"/>
    <w:rsid w:val="005E1BA6"/>
    <w:rsid w:val="005F78D5"/>
    <w:rsid w:val="006026E5"/>
    <w:rsid w:val="00610D0E"/>
    <w:rsid w:val="0062254F"/>
    <w:rsid w:val="006519F6"/>
    <w:rsid w:val="0066400D"/>
    <w:rsid w:val="006A5635"/>
    <w:rsid w:val="006B3A9F"/>
    <w:rsid w:val="006B4AD3"/>
    <w:rsid w:val="00716CE3"/>
    <w:rsid w:val="0074519A"/>
    <w:rsid w:val="00766D8A"/>
    <w:rsid w:val="007831DB"/>
    <w:rsid w:val="007C2A4C"/>
    <w:rsid w:val="00814E0D"/>
    <w:rsid w:val="0082221B"/>
    <w:rsid w:val="00850F92"/>
    <w:rsid w:val="008520AE"/>
    <w:rsid w:val="00856425"/>
    <w:rsid w:val="00875E58"/>
    <w:rsid w:val="008C353F"/>
    <w:rsid w:val="0090300D"/>
    <w:rsid w:val="00917D66"/>
    <w:rsid w:val="009417F1"/>
    <w:rsid w:val="009872D6"/>
    <w:rsid w:val="009F41B9"/>
    <w:rsid w:val="00A1231F"/>
    <w:rsid w:val="00A20E1D"/>
    <w:rsid w:val="00A639A9"/>
    <w:rsid w:val="00A71E33"/>
    <w:rsid w:val="00A958D1"/>
    <w:rsid w:val="00AB0E8B"/>
    <w:rsid w:val="00AD5C66"/>
    <w:rsid w:val="00B3738F"/>
    <w:rsid w:val="00B82EC3"/>
    <w:rsid w:val="00B92772"/>
    <w:rsid w:val="00BB4381"/>
    <w:rsid w:val="00BC2382"/>
    <w:rsid w:val="00BC71F3"/>
    <w:rsid w:val="00C27274"/>
    <w:rsid w:val="00C30DF0"/>
    <w:rsid w:val="00C47E3C"/>
    <w:rsid w:val="00C54D85"/>
    <w:rsid w:val="00C71255"/>
    <w:rsid w:val="00C83663"/>
    <w:rsid w:val="00C93E14"/>
    <w:rsid w:val="00CA7F40"/>
    <w:rsid w:val="00CD00AB"/>
    <w:rsid w:val="00CD16EF"/>
    <w:rsid w:val="00CF301A"/>
    <w:rsid w:val="00D1215C"/>
    <w:rsid w:val="00D84512"/>
    <w:rsid w:val="00DA176A"/>
    <w:rsid w:val="00DA656E"/>
    <w:rsid w:val="00DB28D7"/>
    <w:rsid w:val="00E40F85"/>
    <w:rsid w:val="00E47149"/>
    <w:rsid w:val="00E60092"/>
    <w:rsid w:val="00EB3207"/>
    <w:rsid w:val="00EB466E"/>
    <w:rsid w:val="00F13218"/>
    <w:rsid w:val="00F13F47"/>
    <w:rsid w:val="00F53538"/>
    <w:rsid w:val="00F7757C"/>
    <w:rsid w:val="00FE4824"/>
    <w:rsid w:val="00FE5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9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7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8D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E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0679"/>
  </w:style>
  <w:style w:type="paragraph" w:styleId="Footer">
    <w:name w:val="footer"/>
    <w:basedOn w:val="Normal"/>
    <w:link w:val="FooterChar"/>
    <w:uiPriority w:val="99"/>
    <w:semiHidden/>
    <w:unhideWhenUsed/>
    <w:rsid w:val="004E0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0679"/>
  </w:style>
  <w:style w:type="character" w:styleId="Strong">
    <w:name w:val="Strong"/>
    <w:basedOn w:val="DefaultParagraphFont"/>
    <w:uiPriority w:val="22"/>
    <w:qFormat/>
    <w:rsid w:val="00CA7F40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83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1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1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1D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F13F4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3F47"/>
    <w:rPr>
      <w:color w:val="800080"/>
      <w:u w:val="single"/>
    </w:rPr>
  </w:style>
  <w:style w:type="paragraph" w:customStyle="1" w:styleId="xl66">
    <w:name w:val="xl66"/>
    <w:basedOn w:val="Normal"/>
    <w:rsid w:val="00F13F4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rsid w:val="00F13F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3F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3F4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2">
    <w:name w:val="xl72"/>
    <w:basedOn w:val="Normal"/>
    <w:rsid w:val="00F13F4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3F47"/>
    <w:pP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5">
    <w:name w:val="xl75"/>
    <w:basedOn w:val="Normal"/>
    <w:rsid w:val="00F13F47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6">
    <w:name w:val="xl76"/>
    <w:basedOn w:val="Normal"/>
    <w:rsid w:val="00F13F47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rsid w:val="00F13F47"/>
    <w:pPr>
      <w:shd w:val="clear" w:color="000000" w:fill="D7E4B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8">
    <w:name w:val="xl78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9">
    <w:name w:val="xl79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0">
    <w:name w:val="xl80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1">
    <w:name w:val="xl81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2">
    <w:name w:val="xl82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83">
    <w:name w:val="xl83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84">
    <w:name w:val="xl84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5">
    <w:name w:val="xl85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86">
    <w:name w:val="xl86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7">
    <w:name w:val="xl87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8">
    <w:name w:val="xl88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89">
    <w:name w:val="xl89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0">
    <w:name w:val="xl90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1">
    <w:name w:val="xl91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2">
    <w:name w:val="xl92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93">
    <w:name w:val="xl93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</w:rPr>
  </w:style>
  <w:style w:type="paragraph" w:customStyle="1" w:styleId="xl94">
    <w:name w:val="xl94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5">
    <w:name w:val="xl95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6">
    <w:name w:val="xl96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8">
    <w:name w:val="xl98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99">
    <w:name w:val="xl99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paragraph" w:customStyle="1" w:styleId="xl100">
    <w:name w:val="xl100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1">
    <w:name w:val="xl101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2">
    <w:name w:val="xl102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3">
    <w:name w:val="xl103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4">
    <w:name w:val="xl104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5">
    <w:name w:val="xl105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6">
    <w:name w:val="xl106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7">
    <w:name w:val="xl107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108">
    <w:name w:val="xl108"/>
    <w:basedOn w:val="Normal"/>
    <w:rsid w:val="00F13F4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2242FD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5">
    <w:name w:val="xl65"/>
    <w:basedOn w:val="Normal"/>
    <w:rsid w:val="002242F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1">
    <w:name w:val="xl71"/>
    <w:basedOn w:val="Normal"/>
    <w:rsid w:val="002242FD"/>
    <w:pPr>
      <w:shd w:val="clear" w:color="000000" w:fill="E5E0EC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3">
    <w:name w:val="xl73"/>
    <w:basedOn w:val="Normal"/>
    <w:rsid w:val="002242FD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09">
    <w:name w:val="xl109"/>
    <w:basedOn w:val="Normal"/>
    <w:rsid w:val="002242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0">
    <w:name w:val="xl110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2">
    <w:name w:val="xl112"/>
    <w:basedOn w:val="Normal"/>
    <w:rsid w:val="002242F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paragraph" w:customStyle="1" w:styleId="xl114">
    <w:name w:val="xl114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5">
    <w:name w:val="xl115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6">
    <w:name w:val="xl116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7">
    <w:name w:val="xl117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8">
    <w:name w:val="xl118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19">
    <w:name w:val="xl119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0">
    <w:name w:val="xl120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1">
    <w:name w:val="xl121"/>
    <w:basedOn w:val="Normal"/>
    <w:rsid w:val="002242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22">
    <w:name w:val="xl122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123">
    <w:name w:val="xl123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70">
    <w:name w:val="xl70"/>
    <w:basedOn w:val="Normal"/>
    <w:rsid w:val="002242F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FD9CA-8CAB-4F59-AA3B-74898C720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2936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METRO</Company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E011175</dc:creator>
  <cp:keywords/>
  <dc:description/>
  <cp:lastModifiedBy>C107571</cp:lastModifiedBy>
  <cp:revision>2</cp:revision>
  <cp:lastPrinted>2010-03-04T15:43:00Z</cp:lastPrinted>
  <dcterms:created xsi:type="dcterms:W3CDTF">2010-03-08T18:16:00Z</dcterms:created>
  <dcterms:modified xsi:type="dcterms:W3CDTF">2010-03-08T18:16:00Z</dcterms:modified>
</cp:coreProperties>
</file>