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52" w:rsidRPr="003104F6" w:rsidRDefault="000B7846" w:rsidP="000B7846">
      <w:pPr>
        <w:spacing w:after="0"/>
        <w:jc w:val="center"/>
        <w:rPr>
          <w:b/>
          <w:color w:val="548DD4" w:themeColor="text2" w:themeTint="99"/>
          <w:sz w:val="36"/>
          <w:szCs w:val="36"/>
        </w:rPr>
      </w:pPr>
      <w:r w:rsidRPr="003104F6">
        <w:rPr>
          <w:b/>
          <w:color w:val="548DD4" w:themeColor="text2" w:themeTint="99"/>
          <w:sz w:val="36"/>
          <w:szCs w:val="36"/>
        </w:rPr>
        <w:t>State Legislative Update</w:t>
      </w:r>
    </w:p>
    <w:p w:rsidR="000B7846" w:rsidRDefault="000B7846" w:rsidP="000B7846">
      <w:pPr>
        <w:spacing w:after="0"/>
        <w:jc w:val="center"/>
      </w:pPr>
      <w:r>
        <w:rPr>
          <w:b/>
        </w:rPr>
        <w:t>3/15/2012</w:t>
      </w:r>
    </w:p>
    <w:p w:rsidR="000B7846" w:rsidRDefault="000B7846" w:rsidP="000B7846">
      <w:pPr>
        <w:spacing w:after="0"/>
      </w:pPr>
    </w:p>
    <w:p w:rsidR="000B7846" w:rsidRDefault="000B7846" w:rsidP="000B7846">
      <w:pPr>
        <w:spacing w:after="0"/>
      </w:pPr>
    </w:p>
    <w:p w:rsidR="000B7846" w:rsidRPr="003104F6" w:rsidRDefault="000B7846" w:rsidP="000B7846">
      <w:pPr>
        <w:spacing w:after="0"/>
        <w:rPr>
          <w:color w:val="548DD4" w:themeColor="text2" w:themeTint="99"/>
          <w:sz w:val="28"/>
          <w:szCs w:val="28"/>
        </w:rPr>
      </w:pPr>
      <w:r w:rsidRPr="003104F6">
        <w:rPr>
          <w:b/>
          <w:color w:val="548DD4" w:themeColor="text2" w:themeTint="99"/>
          <w:sz w:val="28"/>
          <w:szCs w:val="28"/>
        </w:rPr>
        <w:t>District of Columbia</w:t>
      </w:r>
    </w:p>
    <w:p w:rsidR="000B7846" w:rsidRDefault="000B7846" w:rsidP="000B7846">
      <w:pPr>
        <w:spacing w:after="0"/>
      </w:pPr>
    </w:p>
    <w:p w:rsidR="000B7846" w:rsidRPr="003104F6" w:rsidRDefault="000B7846" w:rsidP="000B7846">
      <w:pPr>
        <w:spacing w:after="0"/>
        <w:rPr>
          <w:b/>
        </w:rPr>
      </w:pPr>
      <w:r w:rsidRPr="003104F6">
        <w:rPr>
          <w:b/>
        </w:rPr>
        <w:t>Community Renewables Energy Act of 2012</w:t>
      </w:r>
    </w:p>
    <w:p w:rsidR="000B7846" w:rsidRDefault="000B7846" w:rsidP="000B7846">
      <w:pPr>
        <w:pStyle w:val="ListParagraph"/>
        <w:numPr>
          <w:ilvl w:val="0"/>
          <w:numId w:val="1"/>
        </w:numPr>
        <w:spacing w:after="0"/>
      </w:pPr>
      <w:r>
        <w:t>Sponsors:</w:t>
      </w:r>
      <w:r>
        <w:tab/>
        <w:t xml:space="preserve">Alexander, </w:t>
      </w:r>
      <w:proofErr w:type="spellStart"/>
      <w:r>
        <w:t>Cheh</w:t>
      </w:r>
      <w:proofErr w:type="spellEnd"/>
    </w:p>
    <w:p w:rsidR="000B7846" w:rsidRDefault="000B7846" w:rsidP="000B7846">
      <w:pPr>
        <w:pStyle w:val="ListParagraph"/>
        <w:numPr>
          <w:ilvl w:val="0"/>
          <w:numId w:val="1"/>
        </w:numPr>
        <w:spacing w:after="0"/>
      </w:pPr>
      <w:r>
        <w:t>Status:</w:t>
      </w:r>
      <w:r>
        <w:tab/>
      </w:r>
      <w:r w:rsidRPr="000B7846">
        <w:rPr>
          <w:b/>
        </w:rPr>
        <w:t>Introduced March 6</w:t>
      </w:r>
    </w:p>
    <w:p w:rsidR="000B7846" w:rsidRDefault="000B7846" w:rsidP="000B7846">
      <w:pPr>
        <w:pStyle w:val="ListParagraph"/>
        <w:numPr>
          <w:ilvl w:val="0"/>
          <w:numId w:val="1"/>
        </w:numPr>
        <w:spacing w:after="0"/>
      </w:pPr>
      <w:r>
        <w:t xml:space="preserve">Enables energy customers to subscribe to Community Energy Generating Facilities. </w:t>
      </w:r>
    </w:p>
    <w:p w:rsidR="000B7846" w:rsidRDefault="000B7846" w:rsidP="000B7846">
      <w:pPr>
        <w:spacing w:after="0"/>
      </w:pPr>
    </w:p>
    <w:p w:rsidR="000B7846" w:rsidRDefault="000B7846" w:rsidP="000B7846">
      <w:pPr>
        <w:spacing w:after="0"/>
      </w:pPr>
    </w:p>
    <w:p w:rsidR="000B7846" w:rsidRPr="003104F6" w:rsidRDefault="000B7846" w:rsidP="000B7846">
      <w:pPr>
        <w:spacing w:after="0"/>
        <w:rPr>
          <w:color w:val="548DD4" w:themeColor="text2" w:themeTint="99"/>
          <w:sz w:val="28"/>
          <w:szCs w:val="28"/>
        </w:rPr>
      </w:pPr>
      <w:r w:rsidRPr="003104F6">
        <w:rPr>
          <w:b/>
          <w:color w:val="548DD4" w:themeColor="text2" w:themeTint="99"/>
          <w:sz w:val="28"/>
          <w:szCs w:val="28"/>
        </w:rPr>
        <w:t>Virginia</w:t>
      </w:r>
    </w:p>
    <w:p w:rsidR="000B7846" w:rsidRDefault="000B7846" w:rsidP="000B7846">
      <w:pPr>
        <w:spacing w:after="0"/>
        <w:rPr>
          <w:u w:val="single"/>
        </w:rPr>
      </w:pPr>
    </w:p>
    <w:p w:rsidR="000B7846" w:rsidRPr="003104F6" w:rsidRDefault="000B7846" w:rsidP="000B7846">
      <w:pPr>
        <w:pStyle w:val="Default"/>
        <w:rPr>
          <w:rFonts w:ascii="Calibri" w:hAnsi="Calibri" w:cs="Calibri"/>
          <w:b/>
          <w:sz w:val="22"/>
          <w:szCs w:val="22"/>
        </w:rPr>
      </w:pPr>
      <w:r w:rsidRPr="003104F6">
        <w:rPr>
          <w:rFonts w:ascii="Calibri" w:hAnsi="Calibri" w:cs="Calibri"/>
          <w:b/>
          <w:sz w:val="22"/>
          <w:szCs w:val="22"/>
        </w:rPr>
        <w:t>HB129 – Purchases from Net Metering Sellers</w:t>
      </w:r>
    </w:p>
    <w:p w:rsidR="000B7846" w:rsidRDefault="000B7846" w:rsidP="000B7846">
      <w:pPr>
        <w:pStyle w:val="ListParagraph"/>
        <w:numPr>
          <w:ilvl w:val="0"/>
          <w:numId w:val="2"/>
        </w:numPr>
        <w:spacing w:after="0"/>
      </w:pPr>
      <w:r w:rsidRPr="000B7846">
        <w:t xml:space="preserve">Sponsor:  </w:t>
      </w:r>
      <w:r>
        <w:tab/>
        <w:t>Kilgore</w:t>
      </w:r>
    </w:p>
    <w:p w:rsidR="000B7846" w:rsidRDefault="000B7846" w:rsidP="000B7846">
      <w:pPr>
        <w:pStyle w:val="ListParagraph"/>
        <w:numPr>
          <w:ilvl w:val="0"/>
          <w:numId w:val="2"/>
        </w:numPr>
        <w:spacing w:after="0"/>
      </w:pPr>
      <w:r>
        <w:t>Status:</w:t>
      </w:r>
      <w:r>
        <w:tab/>
      </w:r>
      <w:r>
        <w:tab/>
        <w:t xml:space="preserve">House: </w:t>
      </w:r>
      <w:r w:rsidRPr="000B7846">
        <w:t>Passed 2/6 (97-Y, 0-N, 1-A)</w:t>
      </w:r>
    </w:p>
    <w:p w:rsidR="000B7846" w:rsidRDefault="000B7846" w:rsidP="000B7846">
      <w:pPr>
        <w:spacing w:after="0"/>
        <w:ind w:left="1440" w:firstLine="720"/>
      </w:pPr>
      <w:r>
        <w:t xml:space="preserve">Senate:  </w:t>
      </w:r>
      <w:r w:rsidRPr="000B7846">
        <w:rPr>
          <w:b/>
        </w:rPr>
        <w:t>Continued to 2013</w:t>
      </w:r>
      <w:r>
        <w:t xml:space="preserve"> </w:t>
      </w:r>
      <w:proofErr w:type="gramStart"/>
      <w:r>
        <w:t xml:space="preserve">by  </w:t>
      </w:r>
      <w:proofErr w:type="spellStart"/>
      <w:r>
        <w:t>C</w:t>
      </w:r>
      <w:r w:rsidRPr="000B7846">
        <w:t>mte</w:t>
      </w:r>
      <w:proofErr w:type="spellEnd"/>
      <w:proofErr w:type="gramEnd"/>
      <w:r w:rsidRPr="000B7846">
        <w:t xml:space="preserve"> on Commerce and Labor (13-Y 2-N 1-A)</w:t>
      </w:r>
    </w:p>
    <w:p w:rsidR="007D79B6" w:rsidRDefault="007D79B6" w:rsidP="000B7846">
      <w:pPr>
        <w:pStyle w:val="ListParagraph"/>
        <w:numPr>
          <w:ilvl w:val="0"/>
          <w:numId w:val="3"/>
        </w:numPr>
        <w:spacing w:after="0"/>
      </w:pPr>
      <w:r>
        <w:t>Letter of support submitted</w:t>
      </w:r>
    </w:p>
    <w:p w:rsidR="000B7846" w:rsidRDefault="000B7846" w:rsidP="000B7846">
      <w:pPr>
        <w:pStyle w:val="ListParagraph"/>
        <w:numPr>
          <w:ilvl w:val="0"/>
          <w:numId w:val="3"/>
        </w:numPr>
        <w:spacing w:after="0"/>
      </w:pPr>
      <w:r>
        <w:t>A</w:t>
      </w:r>
      <w:r w:rsidRPr="000B7846">
        <w:t>uthorize</w:t>
      </w:r>
      <w:r>
        <w:t>s</w:t>
      </w:r>
      <w:r w:rsidRPr="000B7846">
        <w:t xml:space="preserve"> Power Purchase Agreements (PPAs) between customer-generators and the third-party owners of renewable energy Net Energy Metering (NEM) systems.</w:t>
      </w:r>
    </w:p>
    <w:p w:rsidR="000B7846" w:rsidRDefault="000B7846" w:rsidP="000B7846">
      <w:pPr>
        <w:spacing w:after="0"/>
      </w:pPr>
    </w:p>
    <w:p w:rsidR="000B7846" w:rsidRDefault="000B7846" w:rsidP="000B7846">
      <w:pPr>
        <w:spacing w:after="0"/>
      </w:pPr>
    </w:p>
    <w:p w:rsidR="000B7846" w:rsidRPr="003104F6" w:rsidRDefault="000B7846" w:rsidP="000B7846">
      <w:pPr>
        <w:spacing w:after="0"/>
        <w:rPr>
          <w:b/>
        </w:rPr>
      </w:pPr>
      <w:r w:rsidRPr="003104F6">
        <w:rPr>
          <w:b/>
        </w:rPr>
        <w:t>HB 1177 – Virginia Energy Plan Objectives</w:t>
      </w:r>
    </w:p>
    <w:p w:rsidR="000B7846" w:rsidRDefault="000B7846" w:rsidP="000B7846">
      <w:pPr>
        <w:pStyle w:val="ListParagraph"/>
        <w:numPr>
          <w:ilvl w:val="0"/>
          <w:numId w:val="3"/>
        </w:numPr>
        <w:spacing w:after="0"/>
      </w:pPr>
      <w:r>
        <w:t>Sponsor:</w:t>
      </w:r>
      <w:r>
        <w:tab/>
        <w:t>Watson</w:t>
      </w:r>
    </w:p>
    <w:p w:rsidR="000B7846" w:rsidRPr="000B7846" w:rsidRDefault="000B7846" w:rsidP="000B7846">
      <w:pPr>
        <w:pStyle w:val="ListParagraph"/>
        <w:numPr>
          <w:ilvl w:val="0"/>
          <w:numId w:val="3"/>
        </w:numPr>
        <w:spacing w:after="0"/>
      </w:pPr>
      <w:r>
        <w:t>Status:</w:t>
      </w:r>
      <w:r>
        <w:tab/>
      </w:r>
      <w:r>
        <w:tab/>
        <w:t xml:space="preserve">House: Passed 2/6 </w:t>
      </w:r>
      <w:r w:rsidRPr="000B7846">
        <w:rPr>
          <w:rFonts w:ascii="Calibri" w:hAnsi="Calibri" w:cs="Calibri"/>
        </w:rPr>
        <w:t>(95-Y 2-N)</w:t>
      </w:r>
    </w:p>
    <w:p w:rsidR="000B7846" w:rsidRPr="000B7846" w:rsidRDefault="000B7846" w:rsidP="000B7846">
      <w:pPr>
        <w:spacing w:after="0"/>
        <w:ind w:left="1440" w:firstLine="720"/>
        <w:rPr>
          <w:b/>
        </w:rPr>
      </w:pPr>
      <w:r w:rsidRPr="000B7846">
        <w:rPr>
          <w:b/>
        </w:rPr>
        <w:t>Senate: Passed 2/27/2012 (39-Y 0-N)</w:t>
      </w:r>
    </w:p>
    <w:p w:rsidR="000B7846" w:rsidRPr="000B7846" w:rsidRDefault="000B7846" w:rsidP="000B7846">
      <w:pPr>
        <w:spacing w:after="0"/>
        <w:ind w:left="1440" w:firstLine="720"/>
        <w:rPr>
          <w:b/>
        </w:rPr>
      </w:pPr>
      <w:r w:rsidRPr="000B7846">
        <w:rPr>
          <w:b/>
        </w:rPr>
        <w:t>Awaiting Governor’s signature</w:t>
      </w:r>
    </w:p>
    <w:p w:rsidR="000B7846" w:rsidRDefault="000B7846" w:rsidP="007D79B6">
      <w:pPr>
        <w:pStyle w:val="ListParagraph"/>
        <w:numPr>
          <w:ilvl w:val="0"/>
          <w:numId w:val="4"/>
        </w:numPr>
        <w:spacing w:before="120" w:after="0"/>
      </w:pPr>
      <w:r>
        <w:t>Adds two items to statement of energy policy objectives</w:t>
      </w:r>
    </w:p>
    <w:p w:rsidR="000B7846" w:rsidRDefault="000B7846" w:rsidP="000B7846">
      <w:pPr>
        <w:pStyle w:val="ListParagraph"/>
        <w:numPr>
          <w:ilvl w:val="1"/>
          <w:numId w:val="4"/>
        </w:numPr>
        <w:spacing w:after="0"/>
      </w:pPr>
      <w:r>
        <w:t>Ensuring adequate supply and Virginia-based production capacity</w:t>
      </w:r>
    </w:p>
    <w:p w:rsidR="000B7846" w:rsidRDefault="000B7846" w:rsidP="000B7846">
      <w:pPr>
        <w:pStyle w:val="ListParagraph"/>
        <w:numPr>
          <w:ilvl w:val="1"/>
          <w:numId w:val="4"/>
        </w:numPr>
        <w:spacing w:after="0"/>
      </w:pPr>
      <w:r>
        <w:t>Minimizing the Commonwealth’s exposure to price volatility through greater energy independence</w:t>
      </w:r>
    </w:p>
    <w:p w:rsidR="000B7846" w:rsidRDefault="000B7846" w:rsidP="000B7846">
      <w:pPr>
        <w:spacing w:after="0"/>
      </w:pPr>
    </w:p>
    <w:p w:rsidR="000B7846" w:rsidRDefault="000B7846" w:rsidP="000B7846">
      <w:pPr>
        <w:spacing w:after="0"/>
      </w:pPr>
    </w:p>
    <w:p w:rsidR="007D79B6" w:rsidRDefault="007D79B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B7846" w:rsidRPr="003104F6" w:rsidRDefault="000B7846" w:rsidP="000B7846">
      <w:pPr>
        <w:spacing w:after="0"/>
        <w:rPr>
          <w:color w:val="548DD4" w:themeColor="text2" w:themeTint="99"/>
          <w:sz w:val="28"/>
          <w:szCs w:val="28"/>
        </w:rPr>
      </w:pPr>
      <w:r w:rsidRPr="003104F6">
        <w:rPr>
          <w:b/>
          <w:color w:val="548DD4" w:themeColor="text2" w:themeTint="99"/>
          <w:sz w:val="28"/>
          <w:szCs w:val="28"/>
        </w:rPr>
        <w:lastRenderedPageBreak/>
        <w:t>Maryland</w:t>
      </w:r>
    </w:p>
    <w:p w:rsidR="000B7846" w:rsidRDefault="000B7846" w:rsidP="000B7846">
      <w:pPr>
        <w:spacing w:after="0"/>
        <w:rPr>
          <w:u w:val="single"/>
        </w:rPr>
      </w:pPr>
    </w:p>
    <w:p w:rsidR="00F51F52" w:rsidRPr="003104F6" w:rsidRDefault="00F51F52" w:rsidP="00F51F52">
      <w:pPr>
        <w:spacing w:after="0"/>
        <w:rPr>
          <w:b/>
        </w:rPr>
      </w:pPr>
      <w:r w:rsidRPr="003104F6">
        <w:rPr>
          <w:b/>
        </w:rPr>
        <w:t>HB 108 / SB 340 – Vehicle Laws – Stopping, Standing, Parking in Plug-In Vehicle Charging Stations</w:t>
      </w:r>
    </w:p>
    <w:p w:rsidR="00F51F52" w:rsidRDefault="00F51F52" w:rsidP="00F51F52">
      <w:pPr>
        <w:pStyle w:val="ListParagraph"/>
        <w:numPr>
          <w:ilvl w:val="0"/>
          <w:numId w:val="13"/>
        </w:numPr>
        <w:spacing w:after="0"/>
      </w:pPr>
      <w:r>
        <w:t>Sponsor:</w:t>
      </w:r>
      <w:r>
        <w:tab/>
      </w:r>
      <w:proofErr w:type="spellStart"/>
      <w:r>
        <w:t>Raskin</w:t>
      </w:r>
      <w:proofErr w:type="spellEnd"/>
    </w:p>
    <w:p w:rsidR="00F51F52" w:rsidRDefault="00F51F52" w:rsidP="00F51F52">
      <w:pPr>
        <w:pStyle w:val="ListParagraph"/>
        <w:numPr>
          <w:ilvl w:val="0"/>
          <w:numId w:val="13"/>
        </w:numPr>
        <w:spacing w:after="0"/>
      </w:pPr>
      <w:r>
        <w:t>Status:</w:t>
      </w:r>
      <w:r>
        <w:tab/>
      </w:r>
      <w:r>
        <w:tab/>
        <w:t>House: Hearing 3/7 in Environmental Matters</w:t>
      </w:r>
    </w:p>
    <w:p w:rsidR="00F51F52" w:rsidRDefault="00F51F52" w:rsidP="00F51F52">
      <w:pPr>
        <w:spacing w:after="0"/>
        <w:ind w:left="2160"/>
      </w:pPr>
      <w:r>
        <w:t xml:space="preserve">Senate: </w:t>
      </w:r>
      <w:r w:rsidRPr="004D2845">
        <w:rPr>
          <w:b/>
        </w:rPr>
        <w:t>3/12 Reported out of Judicial Proceedings (36 Y-10 N)</w:t>
      </w:r>
      <w:proofErr w:type="gramStart"/>
      <w:r>
        <w:rPr>
          <w:b/>
        </w:rPr>
        <w:t>;  A</w:t>
      </w:r>
      <w:r w:rsidRPr="004D2845">
        <w:rPr>
          <w:b/>
        </w:rPr>
        <w:t>mendments</w:t>
      </w:r>
      <w:proofErr w:type="gramEnd"/>
      <w:r>
        <w:rPr>
          <w:b/>
        </w:rPr>
        <w:t xml:space="preserve"> made on the floor</w:t>
      </w:r>
    </w:p>
    <w:p w:rsidR="00F51F52" w:rsidRDefault="00F51F52" w:rsidP="00F51F52">
      <w:pPr>
        <w:pStyle w:val="ListParagraph"/>
        <w:numPr>
          <w:ilvl w:val="0"/>
          <w:numId w:val="14"/>
        </w:numPr>
        <w:spacing w:after="0"/>
      </w:pPr>
      <w:r w:rsidRPr="004D2845">
        <w:t>Prohibits a conventional vehicle from stopping, standing or parking in a marked plug-in-vehicle charging station</w:t>
      </w:r>
      <w:r>
        <w:t>.</w:t>
      </w:r>
    </w:p>
    <w:p w:rsidR="00F51F52" w:rsidRDefault="00F51F52" w:rsidP="00F51F52">
      <w:pPr>
        <w:pStyle w:val="ListParagraph"/>
        <w:numPr>
          <w:ilvl w:val="0"/>
          <w:numId w:val="14"/>
        </w:numPr>
        <w:spacing w:after="0"/>
      </w:pPr>
      <w:r>
        <w:t>Amended to add that:</w:t>
      </w:r>
      <w:r w:rsidRPr="004D2845">
        <w:t xml:space="preserve">  (1) EVs must be plugged into the charging station while parking there, and must vacate the spot upon full charge; and (2) any fees collected will be distributed to the state Transportation Trust fund.   It is now up for a floor vote in the Senate.</w:t>
      </w:r>
    </w:p>
    <w:p w:rsidR="00F51F52" w:rsidRDefault="00F51F52" w:rsidP="000B7846">
      <w:pPr>
        <w:spacing w:after="0"/>
        <w:rPr>
          <w:u w:val="single"/>
        </w:rPr>
      </w:pPr>
    </w:p>
    <w:p w:rsidR="00F51F52" w:rsidRDefault="00F51F52" w:rsidP="000B7846">
      <w:pPr>
        <w:spacing w:after="0"/>
        <w:rPr>
          <w:u w:val="single"/>
        </w:rPr>
      </w:pPr>
    </w:p>
    <w:p w:rsidR="000B7846" w:rsidRPr="003104F6" w:rsidRDefault="000B7846" w:rsidP="000B7846">
      <w:pPr>
        <w:spacing w:after="0"/>
        <w:rPr>
          <w:b/>
        </w:rPr>
      </w:pPr>
      <w:r w:rsidRPr="003104F6">
        <w:rPr>
          <w:b/>
        </w:rPr>
        <w:t>HB 441 / SB 237 – Maryland Offshore Wind Energy Act of 2012</w:t>
      </w:r>
    </w:p>
    <w:p w:rsidR="007D79B6" w:rsidRDefault="007D79B6" w:rsidP="007D79B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ind w:left="2160" w:hanging="1800"/>
      </w:pPr>
      <w:r>
        <w:t>Sponsors:</w:t>
      </w:r>
      <w:r>
        <w:tab/>
      </w:r>
      <w:r w:rsidRPr="007D79B6">
        <w:t xml:space="preserve">The Speaker (By Request - Administration) and Delegates </w:t>
      </w:r>
      <w:proofErr w:type="spellStart"/>
      <w:r w:rsidRPr="007D79B6">
        <w:t>Hucker</w:t>
      </w:r>
      <w:proofErr w:type="spellEnd"/>
      <w:r w:rsidRPr="007D79B6">
        <w:t xml:space="preserve">, Barnes, </w:t>
      </w:r>
      <w:proofErr w:type="spellStart"/>
      <w:r w:rsidRPr="007D79B6">
        <w:t>Barve</w:t>
      </w:r>
      <w:proofErr w:type="spellEnd"/>
      <w:r w:rsidRPr="007D79B6">
        <w:t xml:space="preserve">, </w:t>
      </w:r>
      <w:proofErr w:type="spellStart"/>
      <w:r w:rsidRPr="007D79B6">
        <w:t>Bobo</w:t>
      </w:r>
      <w:proofErr w:type="spellEnd"/>
      <w:r w:rsidRPr="007D79B6">
        <w:t xml:space="preserve">, Cardin, </w:t>
      </w:r>
      <w:proofErr w:type="spellStart"/>
      <w:r w:rsidRPr="007D79B6">
        <w:t>Frush</w:t>
      </w:r>
      <w:proofErr w:type="spellEnd"/>
      <w:r w:rsidRPr="007D79B6">
        <w:t xml:space="preserve">, Hubbard, Jones, </w:t>
      </w:r>
      <w:proofErr w:type="spellStart"/>
      <w:r w:rsidRPr="007D79B6">
        <w:t>Mizeur</w:t>
      </w:r>
      <w:proofErr w:type="spellEnd"/>
      <w:r w:rsidRPr="007D79B6">
        <w:t xml:space="preserve">, Ross, Stein, and </w:t>
      </w:r>
      <w:proofErr w:type="spellStart"/>
      <w:r w:rsidRPr="007D79B6">
        <w:t>Waldstreicher</w:t>
      </w:r>
      <w:proofErr w:type="spellEnd"/>
    </w:p>
    <w:p w:rsidR="007D79B6" w:rsidRPr="007D79B6" w:rsidRDefault="007D79B6" w:rsidP="007D79B6">
      <w:pPr>
        <w:pStyle w:val="ListParagraph"/>
        <w:numPr>
          <w:ilvl w:val="0"/>
          <w:numId w:val="3"/>
        </w:numPr>
        <w:spacing w:after="0"/>
      </w:pPr>
      <w:r w:rsidRPr="007D79B6">
        <w:t>Status:</w:t>
      </w:r>
      <w:r w:rsidRPr="007D79B6">
        <w:tab/>
      </w:r>
      <w:r w:rsidRPr="007D79B6">
        <w:tab/>
        <w:t>House:  Hearing 2/23 in Economic Matters</w:t>
      </w:r>
    </w:p>
    <w:p w:rsidR="007D79B6" w:rsidRDefault="007D79B6" w:rsidP="007D79B6">
      <w:pPr>
        <w:pStyle w:val="ListParagraph"/>
        <w:spacing w:after="0"/>
        <w:ind w:left="2160"/>
      </w:pPr>
      <w:r w:rsidRPr="007D79B6">
        <w:t>Senate: Hearing 2/14 in Senate Finance</w:t>
      </w:r>
    </w:p>
    <w:p w:rsidR="007D79B6" w:rsidRDefault="007D79B6" w:rsidP="007D79B6">
      <w:pPr>
        <w:pStyle w:val="ListParagraph"/>
        <w:numPr>
          <w:ilvl w:val="0"/>
          <w:numId w:val="6"/>
        </w:numPr>
        <w:spacing w:after="0"/>
      </w:pPr>
      <w:r>
        <w:t>Letter of support submitted</w:t>
      </w:r>
    </w:p>
    <w:p w:rsidR="007D79B6" w:rsidRPr="007D79B6" w:rsidRDefault="007D79B6" w:rsidP="007D79B6">
      <w:pPr>
        <w:pStyle w:val="ListParagraph"/>
        <w:numPr>
          <w:ilvl w:val="0"/>
          <w:numId w:val="6"/>
        </w:numPr>
        <w:spacing w:after="0" w:line="240" w:lineRule="auto"/>
        <w:ind w:right="144"/>
        <w:rPr>
          <w:rFonts w:ascii="Calibri" w:eastAsia="Times New Roman" w:hAnsi="Calibri" w:cs="Calibri"/>
          <w:color w:val="000000"/>
        </w:rPr>
      </w:pPr>
      <w:r w:rsidRPr="007D79B6">
        <w:rPr>
          <w:rFonts w:ascii="Calibri" w:eastAsia="Times New Roman" w:hAnsi="Calibri" w:cs="Calibri"/>
          <w:color w:val="000000"/>
        </w:rPr>
        <w:t xml:space="preserve">Alters Maryland’s RPS </w:t>
      </w:r>
      <w:proofErr w:type="gramStart"/>
      <w:r w:rsidRPr="007D79B6">
        <w:rPr>
          <w:rFonts w:ascii="Calibri" w:eastAsia="Times New Roman" w:hAnsi="Calibri" w:cs="Calibri"/>
          <w:color w:val="000000"/>
        </w:rPr>
        <w:t>requirement</w:t>
      </w:r>
      <w:proofErr w:type="gramEnd"/>
      <w:r w:rsidRPr="007D79B6">
        <w:rPr>
          <w:rFonts w:ascii="Calibri" w:eastAsia="Times New Roman" w:hAnsi="Calibri" w:cs="Calibri"/>
          <w:color w:val="000000"/>
        </w:rPr>
        <w:t xml:space="preserve"> to include offshore wind energy carve-out (ORECs); includes price controls.</w:t>
      </w:r>
    </w:p>
    <w:p w:rsidR="007D79B6" w:rsidRDefault="007D79B6" w:rsidP="007D79B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D79B6" w:rsidRDefault="007D79B6" w:rsidP="007D79B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D79B6" w:rsidRPr="003104F6" w:rsidRDefault="007D79B6" w:rsidP="007D79B6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3104F6">
        <w:rPr>
          <w:rFonts w:ascii="Calibri" w:eastAsia="Times New Roman" w:hAnsi="Calibri" w:cs="Calibri"/>
          <w:b/>
          <w:color w:val="000000"/>
        </w:rPr>
        <w:t>MD HB 864 / SB 595 - Community Energy-Generating Facilities and Net Energy Metering</w:t>
      </w:r>
    </w:p>
    <w:p w:rsidR="007D79B6" w:rsidRDefault="007D79B6" w:rsidP="007D79B6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2160" w:hanging="1800"/>
        <w:rPr>
          <w:rFonts w:ascii="Calibri" w:eastAsia="Times New Roman" w:hAnsi="Calibri" w:cs="Calibri"/>
          <w:color w:val="000000"/>
        </w:rPr>
      </w:pPr>
      <w:r w:rsidRPr="007D79B6">
        <w:rPr>
          <w:rFonts w:ascii="Calibri" w:eastAsia="Times New Roman" w:hAnsi="Calibri" w:cs="Calibri"/>
          <w:color w:val="000000"/>
        </w:rPr>
        <w:t xml:space="preserve">Sponsors: </w:t>
      </w:r>
      <w:r w:rsidRPr="007D79B6">
        <w:rPr>
          <w:rFonts w:ascii="Calibri" w:eastAsia="Times New Roman" w:hAnsi="Calibri" w:cs="Calibri"/>
          <w:color w:val="000000"/>
        </w:rPr>
        <w:tab/>
        <w:t xml:space="preserve">Stein, </w:t>
      </w:r>
      <w:proofErr w:type="spellStart"/>
      <w:r w:rsidRPr="007D79B6">
        <w:rPr>
          <w:rFonts w:ascii="Calibri" w:eastAsia="Times New Roman" w:hAnsi="Calibri" w:cs="Calibri"/>
          <w:color w:val="000000"/>
        </w:rPr>
        <w:t>Clippinger</w:t>
      </w:r>
      <w:proofErr w:type="spellEnd"/>
      <w:r w:rsidRPr="007D79B6">
        <w:rPr>
          <w:rFonts w:ascii="Calibri" w:eastAsia="Times New Roman" w:hAnsi="Calibri" w:cs="Calibri"/>
          <w:color w:val="000000"/>
        </w:rPr>
        <w:t xml:space="preserve">, Barkley, Cardin, Feldman, Healey, </w:t>
      </w:r>
      <w:proofErr w:type="spellStart"/>
      <w:r w:rsidRPr="007D79B6">
        <w:rPr>
          <w:rFonts w:ascii="Calibri" w:eastAsia="Times New Roman" w:hAnsi="Calibri" w:cs="Calibri"/>
          <w:color w:val="000000"/>
        </w:rPr>
        <w:t>Hucker</w:t>
      </w:r>
      <w:proofErr w:type="spellEnd"/>
      <w:r w:rsidRPr="007D79B6">
        <w:rPr>
          <w:rFonts w:ascii="Calibri" w:eastAsia="Times New Roman" w:hAnsi="Calibri" w:cs="Calibri"/>
          <w:color w:val="000000"/>
        </w:rPr>
        <w:t xml:space="preserve">, Jameson, Lafferty, </w:t>
      </w:r>
      <w:proofErr w:type="spellStart"/>
      <w:r w:rsidRPr="007D79B6">
        <w:rPr>
          <w:rFonts w:ascii="Calibri" w:eastAsia="Times New Roman" w:hAnsi="Calibri" w:cs="Calibri"/>
          <w:color w:val="000000"/>
        </w:rPr>
        <w:t>Morhaim</w:t>
      </w:r>
      <w:proofErr w:type="spellEnd"/>
      <w:r w:rsidRPr="007D79B6">
        <w:rPr>
          <w:rFonts w:ascii="Calibri" w:eastAsia="Times New Roman" w:hAnsi="Calibri" w:cs="Calibri"/>
          <w:color w:val="000000"/>
        </w:rPr>
        <w:t>, and Ross</w:t>
      </w:r>
    </w:p>
    <w:p w:rsidR="007D79B6" w:rsidRDefault="007D79B6" w:rsidP="007D79B6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2160" w:hanging="180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Status:</w:t>
      </w:r>
      <w:r>
        <w:rPr>
          <w:rFonts w:ascii="Calibri" w:eastAsia="Times New Roman" w:hAnsi="Calibri" w:cs="Calibri"/>
          <w:color w:val="000000"/>
        </w:rPr>
        <w:tab/>
        <w:t>House: Hearing 3/8 in Economic Matters</w:t>
      </w:r>
    </w:p>
    <w:p w:rsidR="007D79B6" w:rsidRDefault="007D79B6" w:rsidP="007D79B6">
      <w:pPr>
        <w:tabs>
          <w:tab w:val="left" w:pos="720"/>
        </w:tabs>
        <w:spacing w:after="0" w:line="240" w:lineRule="auto"/>
        <w:ind w:left="21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Senate: Hearing 3/6 in Senate Finance</w:t>
      </w:r>
    </w:p>
    <w:p w:rsidR="007D79B6" w:rsidRDefault="007D79B6" w:rsidP="007D79B6">
      <w:pPr>
        <w:pStyle w:val="ListParagraph"/>
        <w:numPr>
          <w:ilvl w:val="0"/>
          <w:numId w:val="8"/>
        </w:numPr>
        <w:spacing w:after="0"/>
      </w:pPr>
      <w:r>
        <w:t>Letter of support submitted</w:t>
      </w:r>
    </w:p>
    <w:p w:rsidR="007D79B6" w:rsidRDefault="007D79B6" w:rsidP="007D79B6">
      <w:pPr>
        <w:pStyle w:val="Defaul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2900DE">
        <w:rPr>
          <w:rFonts w:ascii="Calibri" w:hAnsi="Calibri" w:cs="Calibri"/>
          <w:sz w:val="22"/>
          <w:szCs w:val="22"/>
        </w:rPr>
        <w:t>xcludes community g</w:t>
      </w:r>
      <w:r>
        <w:rPr>
          <w:rFonts w:ascii="Calibri" w:hAnsi="Calibri" w:cs="Calibri"/>
          <w:sz w:val="22"/>
          <w:szCs w:val="22"/>
        </w:rPr>
        <w:t xml:space="preserve">enerators of on-site renewable </w:t>
      </w:r>
      <w:r w:rsidRPr="002900DE">
        <w:rPr>
          <w:rFonts w:ascii="Calibri" w:hAnsi="Calibri" w:cs="Calibri"/>
          <w:sz w:val="22"/>
          <w:szCs w:val="22"/>
        </w:rPr>
        <w:t>from the classification of “electric company” and allow</w:t>
      </w:r>
      <w:r>
        <w:rPr>
          <w:rFonts w:ascii="Calibri" w:hAnsi="Calibri" w:cs="Calibri"/>
          <w:sz w:val="22"/>
          <w:szCs w:val="22"/>
        </w:rPr>
        <w:t>s</w:t>
      </w:r>
      <w:r w:rsidRPr="002900DE">
        <w:rPr>
          <w:rFonts w:ascii="Calibri" w:hAnsi="Calibri" w:cs="Calibri"/>
          <w:sz w:val="22"/>
          <w:szCs w:val="22"/>
        </w:rPr>
        <w:t xml:space="preserve"> them to participate in net meter</w:t>
      </w:r>
      <w:r>
        <w:rPr>
          <w:rFonts w:ascii="Calibri" w:hAnsi="Calibri" w:cs="Calibri"/>
          <w:sz w:val="22"/>
          <w:szCs w:val="22"/>
        </w:rPr>
        <w:t>ing</w:t>
      </w:r>
      <w:r w:rsidRPr="002900DE">
        <w:rPr>
          <w:rFonts w:ascii="Calibri" w:hAnsi="Calibri" w:cs="Calibri"/>
          <w:sz w:val="22"/>
          <w:szCs w:val="22"/>
        </w:rPr>
        <w:t xml:space="preserve"> contract</w:t>
      </w:r>
      <w:r>
        <w:rPr>
          <w:rFonts w:ascii="Calibri" w:hAnsi="Calibri" w:cs="Calibri"/>
          <w:sz w:val="22"/>
          <w:szCs w:val="22"/>
        </w:rPr>
        <w:t>s.</w:t>
      </w:r>
    </w:p>
    <w:p w:rsidR="007D79B6" w:rsidRDefault="007D79B6" w:rsidP="007D79B6">
      <w:pPr>
        <w:pStyle w:val="Defaul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 to 1,500MW of capacity from community generators</w:t>
      </w:r>
    </w:p>
    <w:p w:rsidR="007D79B6" w:rsidRDefault="007D79B6" w:rsidP="007D79B6">
      <w:pPr>
        <w:pStyle w:val="Defaul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Each generator up to 2MW capacity</w:t>
      </w:r>
    </w:p>
    <w:p w:rsidR="007D79B6" w:rsidRDefault="007D79B6" w:rsidP="007D79B6">
      <w:pPr>
        <w:pStyle w:val="Defaul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Biomass, micro CHP, solar, fuel cell, wind, or closed conduit hydro</w:t>
      </w:r>
    </w:p>
    <w:p w:rsidR="007D79B6" w:rsidRDefault="007D79B6" w:rsidP="007D79B6">
      <w:pPr>
        <w:tabs>
          <w:tab w:val="left" w:pos="720"/>
        </w:tabs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D79B6" w:rsidRDefault="007D79B6" w:rsidP="007D79B6">
      <w:pPr>
        <w:tabs>
          <w:tab w:val="left" w:pos="720"/>
        </w:tabs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D79B6" w:rsidRPr="003104F6" w:rsidRDefault="007D79B6" w:rsidP="007D79B6">
      <w:pPr>
        <w:tabs>
          <w:tab w:val="left" w:pos="720"/>
        </w:tabs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3104F6">
        <w:rPr>
          <w:rFonts w:ascii="Calibri" w:eastAsia="Times New Roman" w:hAnsi="Calibri" w:cs="Calibri"/>
          <w:b/>
          <w:color w:val="000000"/>
        </w:rPr>
        <w:t>HB 628 / SB 688 – Street Lighting – Purchase of Equipment by Local Government</w:t>
      </w:r>
    </w:p>
    <w:p w:rsidR="007D79B6" w:rsidRDefault="007D79B6" w:rsidP="007D79B6">
      <w:pPr>
        <w:pStyle w:val="Defaul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Sponsor: </w:t>
      </w:r>
      <w:r>
        <w:rPr>
          <w:rFonts w:ascii="Calibri" w:hAnsi="Calibri" w:cs="Calibri"/>
          <w:sz w:val="22"/>
          <w:szCs w:val="22"/>
        </w:rPr>
        <w:tab/>
        <w:t>Carr</w:t>
      </w:r>
    </w:p>
    <w:p w:rsidR="007D79B6" w:rsidRDefault="007D79B6" w:rsidP="007D79B6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Status: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House: Hearing 2/23 in Economic Matters</w:t>
      </w:r>
    </w:p>
    <w:p w:rsidR="007D79B6" w:rsidRDefault="007D79B6" w:rsidP="007D79B6">
      <w:pPr>
        <w:tabs>
          <w:tab w:val="left" w:pos="720"/>
        </w:tabs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Senate: Hearing 3/8 in Senate Education, Health, and Environmental Affairs</w:t>
      </w:r>
    </w:p>
    <w:p w:rsidR="007D79B6" w:rsidRDefault="007D79B6" w:rsidP="007D79B6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Letter of support submitted</w:t>
      </w:r>
    </w:p>
    <w:p w:rsidR="007D79B6" w:rsidRDefault="007D79B6" w:rsidP="007D79B6">
      <w:pPr>
        <w:pStyle w:val="Defaul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Establishes rules by which a local government can condemn and purchase utility-owned streetlights at fair market value</w:t>
      </w:r>
    </w:p>
    <w:p w:rsidR="004D2845" w:rsidRPr="003104F6" w:rsidRDefault="004D2845" w:rsidP="004D2845">
      <w:pPr>
        <w:spacing w:after="0"/>
        <w:rPr>
          <w:b/>
        </w:rPr>
      </w:pPr>
      <w:r w:rsidRPr="003104F6">
        <w:rPr>
          <w:b/>
        </w:rPr>
        <w:lastRenderedPageBreak/>
        <w:t>HB 1280 / SB 997 – Public Utilities – Electric Vehicle Users and Charging Stations</w:t>
      </w:r>
    </w:p>
    <w:p w:rsidR="004D2845" w:rsidRDefault="004D2845" w:rsidP="004D2845">
      <w:pPr>
        <w:pStyle w:val="ListParagraph"/>
        <w:numPr>
          <w:ilvl w:val="0"/>
          <w:numId w:val="15"/>
        </w:numPr>
        <w:spacing w:after="0"/>
      </w:pPr>
      <w:r>
        <w:t>Sponsors:</w:t>
      </w:r>
      <w:r>
        <w:tab/>
      </w:r>
      <w:r w:rsidRPr="005D0698">
        <w:t>McHale and Malone</w:t>
      </w:r>
    </w:p>
    <w:p w:rsidR="004D2845" w:rsidRDefault="004D2845" w:rsidP="004D2845">
      <w:pPr>
        <w:pStyle w:val="ListParagraph"/>
        <w:numPr>
          <w:ilvl w:val="0"/>
          <w:numId w:val="15"/>
        </w:numPr>
        <w:spacing w:after="0"/>
      </w:pPr>
      <w:r>
        <w:t>Status:</w:t>
      </w:r>
      <w:r>
        <w:tab/>
      </w:r>
      <w:r>
        <w:tab/>
        <w:t>House: Hearing 3/15 in Economic Matters</w:t>
      </w:r>
    </w:p>
    <w:p w:rsidR="004D2845" w:rsidRDefault="004D2845" w:rsidP="004D2845">
      <w:pPr>
        <w:spacing w:after="0"/>
        <w:ind w:left="2160"/>
      </w:pPr>
      <w:r>
        <w:t>Senate: Hearing 3/20 in Finance</w:t>
      </w:r>
    </w:p>
    <w:p w:rsidR="004D2845" w:rsidRDefault="004D2845" w:rsidP="004D2845">
      <w:pPr>
        <w:pStyle w:val="ListParagraph"/>
        <w:numPr>
          <w:ilvl w:val="0"/>
          <w:numId w:val="16"/>
        </w:numPr>
        <w:spacing w:after="0"/>
      </w:pPr>
      <w:r>
        <w:t>Letter of support submitted</w:t>
      </w:r>
    </w:p>
    <w:p w:rsidR="004D2845" w:rsidRDefault="004D2845" w:rsidP="004D2845">
      <w:pPr>
        <w:pStyle w:val="ListParagraph"/>
        <w:numPr>
          <w:ilvl w:val="0"/>
          <w:numId w:val="16"/>
        </w:numPr>
        <w:spacing w:after="0"/>
      </w:pPr>
      <w:r>
        <w:t>Exempts plug in vehicle charging stations from being considered as electric utilities</w:t>
      </w:r>
    </w:p>
    <w:p w:rsidR="004D2845" w:rsidRDefault="004D2845" w:rsidP="004D2845">
      <w:pPr>
        <w:spacing w:after="0"/>
      </w:pPr>
    </w:p>
    <w:p w:rsidR="004D2845" w:rsidRDefault="004D2845" w:rsidP="004D2845">
      <w:pPr>
        <w:spacing w:after="0"/>
      </w:pPr>
    </w:p>
    <w:p w:rsidR="004D2845" w:rsidRPr="003104F6" w:rsidRDefault="004D2845" w:rsidP="004D2845">
      <w:pPr>
        <w:spacing w:after="0"/>
        <w:rPr>
          <w:b/>
        </w:rPr>
      </w:pPr>
      <w:r w:rsidRPr="003104F6">
        <w:rPr>
          <w:b/>
        </w:rPr>
        <w:t>HB 1279 / SB 998 – Motor Vehicle Administration – Plug-In Vehicles – Disclosure of Public Information</w:t>
      </w:r>
    </w:p>
    <w:p w:rsidR="004D2845" w:rsidRDefault="004D2845" w:rsidP="004D2845">
      <w:pPr>
        <w:pStyle w:val="ListParagraph"/>
        <w:numPr>
          <w:ilvl w:val="0"/>
          <w:numId w:val="17"/>
        </w:numPr>
        <w:spacing w:after="0"/>
      </w:pPr>
      <w:r>
        <w:t>Sponsors:</w:t>
      </w:r>
      <w:r>
        <w:tab/>
      </w:r>
      <w:r w:rsidRPr="005D0698">
        <w:t>Malone and McHale</w:t>
      </w:r>
    </w:p>
    <w:p w:rsidR="004D2845" w:rsidRDefault="004D2845" w:rsidP="004D2845">
      <w:pPr>
        <w:pStyle w:val="ListParagraph"/>
        <w:numPr>
          <w:ilvl w:val="0"/>
          <w:numId w:val="17"/>
        </w:numPr>
        <w:spacing w:after="0"/>
      </w:pPr>
      <w:r>
        <w:t>Status:</w:t>
      </w:r>
      <w:r>
        <w:tab/>
      </w:r>
      <w:r>
        <w:tab/>
        <w:t>House: Hearing 2/14 in Environmental Matters</w:t>
      </w:r>
    </w:p>
    <w:p w:rsidR="004D2845" w:rsidRDefault="004D2845" w:rsidP="004D2845">
      <w:pPr>
        <w:spacing w:after="0"/>
        <w:ind w:left="2160"/>
      </w:pPr>
      <w:r>
        <w:t>Senate: Hearing 3/20 in Senate Finance</w:t>
      </w:r>
    </w:p>
    <w:p w:rsidR="004D2845" w:rsidRDefault="004D2845" w:rsidP="004D2845">
      <w:pPr>
        <w:pStyle w:val="ListParagraph"/>
        <w:numPr>
          <w:ilvl w:val="0"/>
          <w:numId w:val="18"/>
        </w:numPr>
        <w:spacing w:after="0"/>
      </w:pPr>
      <w:r w:rsidRPr="004D2845">
        <w:t>The motor vehicle administration would be allowed to disclose the address of owners of plug-in vehicles to utility companies for planning purposes</w:t>
      </w:r>
    </w:p>
    <w:p w:rsidR="004D2845" w:rsidRDefault="004D2845" w:rsidP="004D2845">
      <w:pPr>
        <w:spacing w:after="0"/>
      </w:pPr>
    </w:p>
    <w:p w:rsidR="004D2845" w:rsidRDefault="004D2845" w:rsidP="004D2845">
      <w:pPr>
        <w:spacing w:after="0"/>
      </w:pPr>
    </w:p>
    <w:p w:rsidR="004D2845" w:rsidRPr="003104F6" w:rsidRDefault="004D2845" w:rsidP="004D2845">
      <w:pPr>
        <w:spacing w:after="0"/>
        <w:rPr>
          <w:b/>
        </w:rPr>
      </w:pPr>
      <w:r w:rsidRPr="003104F6">
        <w:rPr>
          <w:b/>
        </w:rPr>
        <w:t>HB 1088 – Electricity and Gas – Energy Efficiency On-Bill Financing Program</w:t>
      </w:r>
    </w:p>
    <w:p w:rsidR="004D2845" w:rsidRDefault="004D2845" w:rsidP="004D2845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ind w:left="2160" w:hanging="1800"/>
      </w:pPr>
      <w:r>
        <w:t xml:space="preserve">Sponsors: </w:t>
      </w:r>
      <w:r>
        <w:tab/>
      </w:r>
      <w:r w:rsidRPr="00125865">
        <w:t xml:space="preserve">Kramer, </w:t>
      </w:r>
      <w:proofErr w:type="spellStart"/>
      <w:r w:rsidRPr="00125865">
        <w:t>Arora</w:t>
      </w:r>
      <w:proofErr w:type="spellEnd"/>
      <w:r w:rsidRPr="00125865">
        <w:t xml:space="preserve">, Barkley, Carr, Frick, </w:t>
      </w:r>
      <w:proofErr w:type="spellStart"/>
      <w:r w:rsidRPr="00125865">
        <w:t>Kipke</w:t>
      </w:r>
      <w:proofErr w:type="spellEnd"/>
      <w:r w:rsidRPr="00125865">
        <w:t xml:space="preserve">, </w:t>
      </w:r>
      <w:proofErr w:type="spellStart"/>
      <w:r w:rsidRPr="00125865">
        <w:t>Luedtke</w:t>
      </w:r>
      <w:proofErr w:type="spellEnd"/>
      <w:r w:rsidRPr="00125865">
        <w:t xml:space="preserve">, B. Robinson, Rudolph, Summers, and </w:t>
      </w:r>
      <w:proofErr w:type="spellStart"/>
      <w:r w:rsidRPr="00125865">
        <w:t>Valderrama</w:t>
      </w:r>
      <w:proofErr w:type="spellEnd"/>
    </w:p>
    <w:p w:rsidR="004D2845" w:rsidRDefault="004D2845" w:rsidP="004D2845">
      <w:pPr>
        <w:pStyle w:val="ListParagraph"/>
        <w:numPr>
          <w:ilvl w:val="0"/>
          <w:numId w:val="18"/>
        </w:numPr>
        <w:spacing w:after="0"/>
      </w:pPr>
      <w:r>
        <w:t>Status:</w:t>
      </w:r>
      <w:r>
        <w:tab/>
      </w:r>
      <w:r>
        <w:tab/>
        <w:t>House: Hearing 3/9 Economic Matters</w:t>
      </w:r>
    </w:p>
    <w:p w:rsidR="004D2845" w:rsidRDefault="004D2845" w:rsidP="004D2845">
      <w:pPr>
        <w:pStyle w:val="ListParagraph"/>
        <w:numPr>
          <w:ilvl w:val="0"/>
          <w:numId w:val="18"/>
        </w:numPr>
        <w:spacing w:after="0"/>
      </w:pPr>
      <w:r>
        <w:t>Letter of support submitted</w:t>
      </w:r>
    </w:p>
    <w:p w:rsidR="004D2845" w:rsidRDefault="004D2845" w:rsidP="004D2845">
      <w:pPr>
        <w:pStyle w:val="ListParagraph"/>
        <w:numPr>
          <w:ilvl w:val="0"/>
          <w:numId w:val="18"/>
        </w:numPr>
        <w:spacing w:after="0"/>
      </w:pPr>
      <w:r w:rsidRPr="004D2845">
        <w:t>Establishes an on-bill efficiency finance program for residential and commercial properties</w:t>
      </w:r>
    </w:p>
    <w:p w:rsidR="004D2845" w:rsidRDefault="004D2845" w:rsidP="004D2845">
      <w:pPr>
        <w:spacing w:after="0"/>
      </w:pPr>
    </w:p>
    <w:p w:rsidR="004D2845" w:rsidRDefault="004D2845" w:rsidP="004D2845">
      <w:pPr>
        <w:spacing w:after="0"/>
      </w:pPr>
    </w:p>
    <w:p w:rsidR="004D2845" w:rsidRPr="003104F6" w:rsidRDefault="004D2845" w:rsidP="004D2845">
      <w:pPr>
        <w:spacing w:after="0"/>
        <w:rPr>
          <w:b/>
        </w:rPr>
      </w:pPr>
      <w:r w:rsidRPr="003104F6">
        <w:rPr>
          <w:b/>
        </w:rPr>
        <w:t>HB 995 – Maryland Energy Administration – Sustainable Energy Regulated Entity Program</w:t>
      </w:r>
    </w:p>
    <w:p w:rsidR="004D2845" w:rsidRPr="004D2845" w:rsidRDefault="004D2845" w:rsidP="004D2845">
      <w:pPr>
        <w:pStyle w:val="ListParagraph"/>
        <w:numPr>
          <w:ilvl w:val="0"/>
          <w:numId w:val="19"/>
        </w:numPr>
        <w:spacing w:after="0"/>
      </w:pPr>
      <w:r>
        <w:t>Sponsors:</w:t>
      </w:r>
      <w:r>
        <w:tab/>
      </w:r>
      <w:proofErr w:type="spellStart"/>
      <w:r>
        <w:t>Niemann</w:t>
      </w:r>
      <w:proofErr w:type="spellEnd"/>
    </w:p>
    <w:p w:rsidR="004D2845" w:rsidRDefault="004D2845" w:rsidP="004D2845">
      <w:pPr>
        <w:pStyle w:val="ListParagraph"/>
        <w:numPr>
          <w:ilvl w:val="0"/>
          <w:numId w:val="19"/>
        </w:numPr>
        <w:spacing w:after="0"/>
      </w:pPr>
      <w:r>
        <w:t>Status:</w:t>
      </w:r>
      <w:r>
        <w:tab/>
      </w:r>
      <w:r>
        <w:tab/>
        <w:t>House: Hearing 3/8 Economic Matters</w:t>
      </w:r>
    </w:p>
    <w:p w:rsidR="004D2845" w:rsidRDefault="004D2845" w:rsidP="004D2845">
      <w:pPr>
        <w:pStyle w:val="ListParagraph"/>
        <w:numPr>
          <w:ilvl w:val="0"/>
          <w:numId w:val="19"/>
        </w:numPr>
        <w:spacing w:after="0"/>
      </w:pPr>
      <w:r w:rsidRPr="004D2845">
        <w:t>Creates loan program for energy efficiency upgrades that is managed through assessments.  These assessments stay with the property, like a lien, but don’t take precedence over a mortgage.  Potential to sidestep PACE complications.</w:t>
      </w:r>
    </w:p>
    <w:p w:rsidR="004D2845" w:rsidRDefault="004D2845" w:rsidP="004D2845">
      <w:pPr>
        <w:pStyle w:val="ListParagraph"/>
        <w:spacing w:after="0"/>
      </w:pPr>
    </w:p>
    <w:p w:rsidR="007D79B6" w:rsidRPr="007D79B6" w:rsidRDefault="007D79B6" w:rsidP="007D79B6">
      <w:pPr>
        <w:spacing w:after="0"/>
        <w:ind w:left="2160"/>
      </w:pPr>
      <w:r w:rsidRPr="007D79B6">
        <w:br/>
      </w:r>
    </w:p>
    <w:p w:rsidR="007D79B6" w:rsidRPr="007D79B6" w:rsidRDefault="007D79B6" w:rsidP="000B7846">
      <w:pPr>
        <w:spacing w:after="0"/>
      </w:pPr>
    </w:p>
    <w:sectPr w:rsidR="007D79B6" w:rsidRPr="007D79B6" w:rsidSect="00A32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956"/>
    <w:multiLevelType w:val="hybridMultilevel"/>
    <w:tmpl w:val="4D64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D3D6E"/>
    <w:multiLevelType w:val="hybridMultilevel"/>
    <w:tmpl w:val="EAC6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B62EC"/>
    <w:multiLevelType w:val="hybridMultilevel"/>
    <w:tmpl w:val="81F8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021E0"/>
    <w:multiLevelType w:val="hybridMultilevel"/>
    <w:tmpl w:val="8B2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74256"/>
    <w:multiLevelType w:val="hybridMultilevel"/>
    <w:tmpl w:val="2DB0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02F27"/>
    <w:multiLevelType w:val="hybridMultilevel"/>
    <w:tmpl w:val="BBA2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32469"/>
    <w:multiLevelType w:val="hybridMultilevel"/>
    <w:tmpl w:val="3752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876B9"/>
    <w:multiLevelType w:val="hybridMultilevel"/>
    <w:tmpl w:val="DBAA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33EFE"/>
    <w:multiLevelType w:val="hybridMultilevel"/>
    <w:tmpl w:val="A90E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C3D22"/>
    <w:multiLevelType w:val="hybridMultilevel"/>
    <w:tmpl w:val="F20C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7429B"/>
    <w:multiLevelType w:val="hybridMultilevel"/>
    <w:tmpl w:val="D316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14F1E"/>
    <w:multiLevelType w:val="hybridMultilevel"/>
    <w:tmpl w:val="14A4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E7415"/>
    <w:multiLevelType w:val="hybridMultilevel"/>
    <w:tmpl w:val="1C94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11DAA"/>
    <w:multiLevelType w:val="hybridMultilevel"/>
    <w:tmpl w:val="2156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B4293"/>
    <w:multiLevelType w:val="hybridMultilevel"/>
    <w:tmpl w:val="8606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B64EB"/>
    <w:multiLevelType w:val="hybridMultilevel"/>
    <w:tmpl w:val="ABD6C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A66429"/>
    <w:multiLevelType w:val="hybridMultilevel"/>
    <w:tmpl w:val="98E2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1225E"/>
    <w:multiLevelType w:val="hybridMultilevel"/>
    <w:tmpl w:val="68589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CC44D1"/>
    <w:multiLevelType w:val="hybridMultilevel"/>
    <w:tmpl w:val="89A2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0"/>
  </w:num>
  <w:num w:numId="5">
    <w:abstractNumId w:val="17"/>
  </w:num>
  <w:num w:numId="6">
    <w:abstractNumId w:val="6"/>
  </w:num>
  <w:num w:numId="7">
    <w:abstractNumId w:val="18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16"/>
  </w:num>
  <w:num w:numId="13">
    <w:abstractNumId w:val="11"/>
  </w:num>
  <w:num w:numId="14">
    <w:abstractNumId w:val="2"/>
  </w:num>
  <w:num w:numId="15">
    <w:abstractNumId w:val="7"/>
  </w:num>
  <w:num w:numId="16">
    <w:abstractNumId w:val="14"/>
  </w:num>
  <w:num w:numId="17">
    <w:abstractNumId w:val="10"/>
  </w:num>
  <w:num w:numId="18">
    <w:abstractNumId w:val="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0B7846"/>
    <w:rsid w:val="000B7846"/>
    <w:rsid w:val="003104F6"/>
    <w:rsid w:val="00460002"/>
    <w:rsid w:val="004B42E9"/>
    <w:rsid w:val="004C79BA"/>
    <w:rsid w:val="004D2845"/>
    <w:rsid w:val="006D6E43"/>
    <w:rsid w:val="006F73E5"/>
    <w:rsid w:val="007D79B6"/>
    <w:rsid w:val="009D06EF"/>
    <w:rsid w:val="00A32620"/>
    <w:rsid w:val="00E34558"/>
    <w:rsid w:val="00E6163E"/>
    <w:rsid w:val="00F517D7"/>
    <w:rsid w:val="00F51F52"/>
    <w:rsid w:val="00F5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846"/>
    <w:pPr>
      <w:ind w:left="720"/>
      <w:contextualSpacing/>
    </w:pPr>
  </w:style>
  <w:style w:type="paragraph" w:customStyle="1" w:styleId="Default">
    <w:name w:val="Default"/>
    <w:rsid w:val="000B78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5857-1C55-48BA-BA21-A508A16E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Allman</dc:creator>
  <cp:lastModifiedBy>Julia Allman</cp:lastModifiedBy>
  <cp:revision>2</cp:revision>
  <dcterms:created xsi:type="dcterms:W3CDTF">2012-03-15T12:55:00Z</dcterms:created>
  <dcterms:modified xsi:type="dcterms:W3CDTF">2012-03-15T13:28:00Z</dcterms:modified>
</cp:coreProperties>
</file>